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Times New Roman" w:cs="Times New Roman" w:eastAsia="Times New Roman" w:hAnsi="Times New Roman"/>
          <w:b/>
          <w:bCs/>
          <w:sz w:val="24"/>
          <w:szCs w:val="24"/>
        </w:rPr>
        <w:t xml:space="preserve">STROBE Statement — Checklist of items that should be included in reports of observational studies</w:t>
      </w:r>
    </w:p>
    <w:p>
      <w:pPr>
        <w:spacing w:after="60" w:line="280"/>
        <w:jc w:val="center"/>
      </w:pPr>
      <w:r>
        <w:rPr>
          <w:rFonts w:ascii="Times New Roman" w:cs="Times New Roman" w:eastAsia="Times New Roman" w:hAnsi="Times New Roman"/>
          <w:b/>
          <w:bCs/>
          <w:i w:val="false"/>
          <w:iCs w:val="false"/>
          <w:sz w:val="20"/>
          <w:szCs w:val="20"/>
        </w:rPr>
        <w:t xml:space="preserve">Manuscript: </w:t>
      </w:r>
      <w:r>
        <w:rPr>
          <w:rFonts w:ascii="Times New Roman" w:cs="Times New Roman" w:eastAsia="Times New Roman" w:hAnsi="Times New Roman"/>
          <w:b w:val="false"/>
          <w:bCs w:val="false"/>
          <w:i w:val="false"/>
          <w:iCs w:val="false"/>
          <w:sz w:val="20"/>
          <w:szCs w:val="20"/>
        </w:rPr>
        <w:t xml:space="preserve">Cervicovaginal microbial colonization in preterm labour and preterm premature rupture of membranes and its association with maternal and neonatal outcomes: a prospective observational study from a tertiary care centre in South India</w:t>
      </w:r>
    </w:p>
    <w:p>
      <w:pPr>
        <w:spacing w:after="200" w:line="280"/>
        <w:jc w:val="center"/>
      </w:pPr>
      <w:r>
        <w:rPr>
          <w:rFonts w:ascii="Times New Roman" w:cs="Times New Roman" w:eastAsia="Times New Roman" w:hAnsi="Times New Roman"/>
          <w:b w:val="false"/>
          <w:bCs w:val="false"/>
          <w:i/>
          <w:iCs/>
          <w:sz w:val="20"/>
          <w:szCs w:val="20"/>
        </w:rPr>
        <w:t xml:space="preserve">Study design: cross-sectional/prospective cohort comparison (abnormal vs normal vaginal flora)</w:t>
      </w:r>
    </w:p>
    <w:tbl>
      <w:tblPr>
        <w:tblW w:type="dxa" w:w="13500"/>
        <w:tblBorders>
          <w:top w:val="single" w:color="888888" w:sz="4"/>
          <w:left w:val="single" w:color="888888" w:sz="4"/>
          <w:bottom w:val="single" w:color="888888" w:sz="4"/>
          <w:right w:val="single" w:color="888888" w:sz="4"/>
          <w:insideH w:val="single" w:color="888888" w:sz="4"/>
          <w:insideV w:val="single" w:color="888888" w:sz="4"/>
        </w:tblBorders>
      </w:tblPr>
      <w:tblGrid>
        <w:gridCol w:w="900"/>
        <w:gridCol w:w="2500"/>
        <w:gridCol w:w="7900"/>
        <w:gridCol w:w="2200"/>
      </w:tblGrid>
      <w:tr>
        <w:trPr>
          <w:tblHeader/>
        </w:trPr>
        <w:tc>
          <w:tcPr>
            <w:tcW w:type="dxa" w:w="900"/>
            <w:shd w:fill="D9E2F3" w:color="auto" w:val="clear"/>
            <w:tcMar>
              <w:top w:type="dxa" w:w="60"/>
              <w:left w:type="dxa" w:w="80"/>
              <w:bottom w:type="dxa" w:w="60"/>
              <w:right w:type="dxa" w:w="80"/>
            </w:tcMar>
          </w:tcPr>
          <w:p>
            <w:pPr>
              <w:spacing w:after="0" w:line="260"/>
              <w:jc w:val="center"/>
            </w:pPr>
            <w:r>
              <w:rPr>
                <w:rFonts w:ascii="Times New Roman" w:cs="Times New Roman" w:eastAsia="Times New Roman" w:hAnsi="Times New Roman"/>
                <w:b/>
                <w:bCs/>
                <w:i w:val="false"/>
                <w:iCs w:val="false"/>
                <w:sz w:val="20"/>
                <w:szCs w:val="20"/>
              </w:rPr>
              <w:t xml:space="preserve">Item No.</w:t>
            </w:r>
          </w:p>
        </w:tc>
        <w:tc>
          <w:tcPr>
            <w:tcW w:type="dxa" w:w="2500"/>
            <w:shd w:fill="D9E2F3" w:color="auto" w:val="clear"/>
            <w:tcMar>
              <w:top w:type="dxa" w:w="60"/>
              <w:left w:type="dxa" w:w="80"/>
              <w:bottom w:type="dxa" w:w="60"/>
              <w:right w:type="dxa" w:w="80"/>
            </w:tcMar>
          </w:tcPr>
          <w:p>
            <w:pPr>
              <w:spacing w:after="0" w:line="260"/>
              <w:jc w:val="left"/>
            </w:pPr>
            <w:r>
              <w:rPr>
                <w:rFonts w:ascii="Times New Roman" w:cs="Times New Roman" w:eastAsia="Times New Roman" w:hAnsi="Times New Roman"/>
                <w:b/>
                <w:bCs/>
                <w:i w:val="false"/>
                <w:iCs w:val="false"/>
                <w:sz w:val="20"/>
                <w:szCs w:val="20"/>
              </w:rPr>
              <w:t xml:space="preserve">Section/Topic</w:t>
            </w:r>
          </w:p>
        </w:tc>
        <w:tc>
          <w:tcPr>
            <w:tcW w:type="dxa" w:w="7900"/>
            <w:shd w:fill="D9E2F3" w:color="auto" w:val="clear"/>
            <w:tcMar>
              <w:top w:type="dxa" w:w="60"/>
              <w:left w:type="dxa" w:w="80"/>
              <w:bottom w:type="dxa" w:w="60"/>
              <w:right w:type="dxa" w:w="80"/>
            </w:tcMar>
          </w:tcPr>
          <w:p>
            <w:pPr>
              <w:spacing w:after="0" w:line="260"/>
              <w:jc w:val="left"/>
            </w:pPr>
            <w:r>
              <w:rPr>
                <w:rFonts w:ascii="Times New Roman" w:cs="Times New Roman" w:eastAsia="Times New Roman" w:hAnsi="Times New Roman"/>
                <w:b/>
                <w:bCs/>
                <w:i w:val="false"/>
                <w:iCs w:val="false"/>
                <w:sz w:val="20"/>
                <w:szCs w:val="20"/>
              </w:rPr>
              <w:t xml:space="preserve">Item</w:t>
            </w:r>
          </w:p>
        </w:tc>
        <w:tc>
          <w:tcPr>
            <w:tcW w:type="dxa" w:w="2200"/>
            <w:shd w:fill="D9E2F3" w:color="auto" w:val="clear"/>
            <w:tcMar>
              <w:top w:type="dxa" w:w="60"/>
              <w:left w:type="dxa" w:w="80"/>
              <w:bottom w:type="dxa" w:w="60"/>
              <w:right w:type="dxa" w:w="80"/>
            </w:tcMar>
          </w:tcPr>
          <w:p>
            <w:pPr>
              <w:spacing w:after="0" w:line="260"/>
              <w:jc w:val="left"/>
            </w:pPr>
            <w:r>
              <w:rPr>
                <w:rFonts w:ascii="Times New Roman" w:cs="Times New Roman" w:eastAsia="Times New Roman" w:hAnsi="Times New Roman"/>
                <w:b/>
                <w:bCs/>
                <w:i w:val="false"/>
                <w:iCs w:val="false"/>
                <w:sz w:val="20"/>
                <w:szCs w:val="20"/>
              </w:rPr>
              <w:t xml:space="preserve">Reported on page No.</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1a</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Title and abstract</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(a) Indicate the study's design with a commonly used term in the title or the abstract</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1</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1b</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(b) Provide in the abstract an informative and balanced summary of what was done and what was found</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1</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2</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Introduction — Background/rationale</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Explain the scientific background and rationale for the investigation being reported</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2</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3</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Introduction — Objectives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State specific objectives, including any prespecified hypotheses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2</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4</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Study design</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Present key elements of study design early in the paper</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3</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5</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Setting</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Describe the setting, locations, and relevant dates, including periods of recruitment, exposure, follow-up, and data collection</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3</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6a</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Participants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(a) Give the eligibility criteria, and the sources and methods of selection of participants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3</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6b</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(b) For matched studies, give matching criteria and number of exposed and unexposed — N/A (unmatched comparison)</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N/A</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7</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Variables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Clearly define all outcomes, exposures, predictors, potential confounders, and effect modifiers; give diagnostic criteria, if applicable</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3–4</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8</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Data sources/measurement</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For each variable of interest, give sources of data and details of methods of assessment (measurement); describe comparability of assessment methods if more than one group</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3–4</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9</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Bias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Describe any efforts to address potential sources of bias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4, 8</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10</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Study size</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Explain how the study size was arrived at</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3</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11</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Quantitative variables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Explain how quantitative variables were handled in the analyses; if applicable, describe which groupings were chosen and why</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4</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12a</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Methods — Statistical methods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(a) Describe all statistical methods, including those used to control for confounding</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4</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12b</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(b) Describe any methods used to examine subgroups and interactions — sensitivity model adjusting for maternal age</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4</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12c</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(c) Explain how missing data were addressed — two records with no evaluable culture excluded (n=79 analysed)</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3, 5</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12d</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 If applicable, explain how loss to follow-up was addressed — N/A (outcomes assessed during index admission)</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N/A</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12e</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(e) Describe any sensitivity analyses — logistic regression sensitivity model adjusting for maternal age</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4, 6</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13a</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Results — Participants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(a) Report numbers of individuals at each stage of study — eligible, recruited, analysed</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5</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13b</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(b) Give reasons for non-participation at each stage — 2 of 81 recruited excluded (no evaluable culture)</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5</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13c</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(c) Consider use of a flow diagram — recommend adding as Additional File 3</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(to add)</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14a</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Results — Descriptive data</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(a) Give characteristics of study participants and information on exposures and potential confounders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5, Table 1</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14b</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(b) Indicate number of participants with missing data for each variable of interest</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5 (denominators stated per table)</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14c</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(c) Summarise follow-up time — N/A (single-admission outcomes)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N/A</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15</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Results — Outcome data</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Report numbers of outcome events or summary measures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5–6, Tables 1–3</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16a</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Results — Main results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(a) Give unadjusted and, if applicable, confounder-adjusted estimates and their precision (95% CI); clarify confounders adjusted for and why included</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6, Table 4</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16b</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(b) Report category boundaries when continuous variables were categorized</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5–6 (median/IQR reported; NICU as binary outcome)</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16c</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(c) Translate relative risk into absolute risk for a meaningful time period, if applicable — N/A (cross-sectional comparison)</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N/A</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17</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Results — Other analyses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Report other analyses done, e.g. subgroup and sensitivity analyses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6, Table 4 (age-adjusted sensitivity model)</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18</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Discussion — Key results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Summarise key results with reference to study objectives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7</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19</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Discussion — Limitations</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Discuss limitations, taking into account sources of potential bias or imprecision; discuss direction and magnitude of any potential bias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8</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20</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Discussion — Interpretation</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Give a cautious overall interpretation considering objectives, limitations, multiplicity of analyses, results from similar studies, and other relevant evidence</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7–8</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21</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Discussion — Generalisability</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Discuss the generalisability (external validity) of the study results</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8</w:t>
            </w:r>
          </w:p>
        </w:tc>
      </w:tr>
      <w:tr>
        <w:trPr>
          <w:tblHeader w:val="false"/>
        </w:trPr>
        <w:tc>
          <w:tcPr>
            <w:tcW w:type="dxa" w:w="900"/>
            <w:tcMar>
              <w:top w:type="dxa" w:w="60"/>
              <w:left w:type="dxa" w:w="80"/>
              <w:bottom w:type="dxa" w:w="60"/>
              <w:right w:type="dxa" w:w="80"/>
            </w:tcMar>
          </w:tcPr>
          <w:p>
            <w:pPr>
              <w:spacing w:after="0" w:line="260"/>
              <w:jc w:val="center"/>
            </w:pPr>
            <w:r>
              <w:rPr>
                <w:rFonts w:ascii="Times New Roman" w:cs="Times New Roman" w:eastAsia="Times New Roman" w:hAnsi="Times New Roman"/>
                <w:b w:val="false"/>
                <w:bCs w:val="false"/>
                <w:i w:val="false"/>
                <w:iCs w:val="false"/>
                <w:sz w:val="20"/>
                <w:szCs w:val="20"/>
              </w:rPr>
              <w:t xml:space="preserve">22</w:t>
            </w:r>
          </w:p>
        </w:tc>
        <w:tc>
          <w:tcPr>
            <w:tcW w:type="dxa" w:w="25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Other information — Funding</w:t>
            </w:r>
          </w:p>
        </w:tc>
        <w:tc>
          <w:tcPr>
            <w:tcW w:type="dxa" w:w="79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Give source of funding and role of funders for the present study and, if applicable, for the original study on which the present article is based</w:t>
            </w:r>
          </w:p>
        </w:tc>
        <w:tc>
          <w:tcPr>
            <w:tcW w:type="dxa" w:w="2200"/>
            <w:tcMar>
              <w:top w:type="dxa" w:w="60"/>
              <w:left w:type="dxa" w:w="80"/>
              <w:bottom w:type="dxa" w:w="60"/>
              <w:right w:type="dxa" w:w="80"/>
            </w:tcMar>
          </w:tcPr>
          <w:p>
            <w:pPr>
              <w:spacing w:after="0" w:line="260"/>
              <w:jc w:val="left"/>
            </w:pPr>
            <w:r>
              <w:rPr>
                <w:rFonts w:ascii="Times New Roman" w:cs="Times New Roman" w:eastAsia="Times New Roman" w:hAnsi="Times New Roman"/>
                <w:b w:val="false"/>
                <w:bCs w:val="false"/>
                <w:i w:val="false"/>
                <w:iCs w:val="false"/>
                <w:sz w:val="20"/>
                <w:szCs w:val="20"/>
              </w:rPr>
              <w:t xml:space="preserve">9 (Declarations)</w:t>
            </w:r>
          </w:p>
        </w:tc>
      </w:tr>
    </w:tbl>
    <w:p>
      <w:pPr>
        <w:spacing w:after="120" w:line="280"/>
        <w:jc w:val="both"/>
      </w:pPr>
      <w:r>
        <w:rPr>
          <w:rFonts w:ascii="Times New Roman" w:cs="Times New Roman" w:eastAsia="Times New Roman" w:hAnsi="Times New Roman"/>
          <w:b/>
          <w:bCs/>
          <w:i w:val="false"/>
          <w:iCs w:val="false"/>
          <w:sz w:val="20"/>
          <w:szCs w:val="20"/>
        </w:rPr>
        <w:t xml:space="preserve">Note. </w:t>
      </w:r>
      <w:r>
        <w:rPr>
          <w:rFonts w:ascii="Times New Roman" w:cs="Times New Roman" w:eastAsia="Times New Roman" w:hAnsi="Times New Roman"/>
          <w:b w:val="false"/>
          <w:bCs w:val="false"/>
          <w:i/>
          <w:iCs/>
          <w:sz w:val="18"/>
          <w:szCs w:val="18"/>
        </w:rPr>
        <w:t xml:space="preserve">Page numbers refer to the main manuscript as currently formatted; update once final journal pagination/line numbering is applied. Item 13c (participant flow diagram) is recommended as an additional figure before submission. This checklist is based on the STROBE Statement (von Elm E, Altman DG, Egger M, et al. PLoS Med. 2007;4(10):e296), used here for a study combining cross-sectional comparison (flora status vs outcomes) with prospective ascertainment of delivery/neonatal outcomes.</w:t>
      </w:r>
    </w:p>
    <w:sectPr>
      <w:footerReference w:type="default" r:id="rId7"/>
      <w:pgSz w:w="15840" w:h="12240"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STROBE checklist — Additional File</dc:title>
  <dc:creator>STROBE checklist</dc:creator>
  <cp:lastModifiedBy>Un-named</cp:lastModifiedBy>
  <cp:revision>1</cp:revision>
  <dcterms:created xsi:type="dcterms:W3CDTF">2026-08-15T10:06:32.791Z</dcterms:created>
  <dcterms:modified xsi:type="dcterms:W3CDTF">2026-08-15T10:06:32.791Z</dcterms:modified>
</cp:coreProperties>
</file>

<file path=docProps/custom.xml><?xml version="1.0" encoding="utf-8"?>
<Properties xmlns="http://schemas.openxmlformats.org/officeDocument/2006/custom-properties" xmlns:vt="http://schemas.openxmlformats.org/officeDocument/2006/docPropsVTypes"/>
</file>