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120" w:line="276" w:lineRule="auto"/>
        <w:jc w:val="center"/>
        <w:rPr>
          <w:lang w:val="en-US"/>
        </w:rPr>
      </w:pPr>
      <w:r>
        <w:rPr>
          <w:b/>
          <w:bCs/>
          <w:sz w:val="32"/>
          <w:szCs w:val="32"/>
          <w:lang w:val="en-US"/>
        </w:rPr>
        <w:t xml:space="preserve">Additional file 1</w:t>
      </w:r>
    </w:p>
    <w:p>
      <w:pPr>
        <w:spacing w:after="160" w:line="276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Title:</w:t>
      </w:r>
      <w:r>
        <w:rPr>
          <w:lang w:val="en-US"/>
        </w:rPr>
        <w:t xml:space="preserve"> Supplementary methods and figure</w:t>
      </w:r>
    </w:p>
    <w:p>
      <w:pPr>
        <w:spacing w:after="160" w:line="276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Description:</w:t>
      </w:r>
      <w:r>
        <w:rPr>
          <w:lang w:val="en-US"/>
        </w:rPr>
        <w:t xml:space="preserve"> Supporting Methods S1.1–S1.11 (growth-chamber conditions, software versions, parameters and threshold-sensitivity checks, library provenance, full filtering provenance, repeat-content quality control, enrichment reporting filters, primer design, RNA extraction and qRT-PCR mechanics, the assay panel and ceRNA partner map, assay-level quality control, and reference-gene behaviour) and Figure S1 (genomic features of the lncRNA catalogue). Tables S1 and S2 are supplied separately as Additional file 2 (XLSX).</w:t>
      </w:r>
    </w:p>
    <w:p>
      <w:pPr>
        <w:spacing w:after="160" w:line="276" w:lineRule="auto"/>
        <w:jc w:val="both"/>
        <w:rPr>
          <w:lang w:val="en-US"/>
        </w:rPr>
      </w:pPr>
      <w:r>
        <w:rPr>
          <w:i/>
          <w:iCs/>
          <w:lang w:val="en-US"/>
        </w:rPr>
        <w:t xml:space="preserve">Companion to: Drought and salinity recruit largely distinct lncRNAs in sunflower, converging on a compact dual-responsive core</w:t>
      </w:r>
    </w:p>
    <w:p>
      <w:pPr>
        <w:spacing w:before="360" w:after="180" w:line="276" w:lineRule="auto"/>
        <w:rPr>
          <w:lang w:val="en-US"/>
        </w:rPr>
      </w:pPr>
      <w:r>
        <w:rPr>
          <w:b/>
          <w:bCs/>
          <w:sz w:val="28"/>
          <w:szCs w:val="28"/>
          <w:lang w:val="en-US"/>
        </w:rPr>
        <w:t xml:space="preserve">Supplementary methods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S1.1 Growth-chamber conditions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Drought: growth chamber at 25 °C, 70% relative humidity, approximately 270 μmol m⁻² s⁻¹ photosynthetic photon flux density (converted from a chamber setting of 20,000 lux on the assumption of cool-white fluorescent lamps), 16 h light/8 h dark, with pots rotated for uniform light and dry-down monitored gravimetrically every 2 days (endpoint pot weights in the main Methods). Salinity: germination on rockwool in 1/10-strength Hoagland solution at 25 °C, 70% relative humidity, 16 h light/8 h dark, 250 µmol m⁻² s⁻¹; rooted seedlings were transplanted into four-inch net pots in a hydroponic system (0.2 L, 1/10 Hoagland), and the 7-day exposure was chosen to impose an established rather than a transient stress. Tissues were snap-frozen in liquid nitrogen before storage at −80 °C.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S1.2 Software versions, parameters and threshold-sensitivity checks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Raw reads were retrieved with the SRA Toolkit v3.4.1 (</w:t>
      </w:r>
      <w:r>
        <w:rPr>
          <w:rFonts w:ascii="Consolas" w:hAnsi="Consolas"/>
          <w:lang w:val="en-US"/>
        </w:rPr>
        <w:t xml:space="preserve">prefetch</w:t>
      </w:r>
      <w:r>
        <w:rPr>
          <w:lang w:val="en-US"/>
        </w:rPr>
        <w:t xml:space="preserve">, then </w:t>
      </w:r>
      <w:r>
        <w:rPr>
          <w:rFonts w:ascii="Consolas" w:hAnsi="Consolas"/>
          <w:lang w:val="en-US"/>
        </w:rPr>
        <w:t xml:space="preserve">fasterq-dump</w:t>
      </w:r>
      <w:r>
        <w:rPr>
          <w:lang w:val="en-US"/>
        </w:rPr>
        <w:t xml:space="preserve">). Trimming used </w:t>
      </w:r>
      <w:r>
        <w:rPr>
          <w:b/>
          <w:bCs/>
          <w:lang w:val="en-US"/>
        </w:rPr>
        <w:t xml:space="preserve">fastp v1.3.3</w:t>
      </w:r>
      <w:r>
        <w:rPr>
          <w:lang w:val="en-US"/>
        </w:rPr>
        <w:t xml:space="preserve"> with automatic paired-end adapter detection, a Phred quality threshold of Q20 (40% unqualified-base limit), base-overlap correction, overrepresentation analysis and a minimum retained length of 50 bp; fastp's per-sample JSON/HTML reports served as quality control. Strandedness was determined with RSeQC v5.0.4 </w:t>
      </w:r>
      <w:r>
        <w:rPr>
          <w:rFonts w:ascii="Consolas" w:hAnsi="Consolas"/>
          <w:lang w:val="en-US"/>
        </w:rPr>
        <w:t xml:space="preserve">infer_experiment.py</w:t>
      </w:r>
      <w:r>
        <w:rPr>
          <w:lang w:val="en-US"/>
        </w:rPr>
        <w:t xml:space="preserve">: 94.4% of reads were consistent with a reverse-stranded (RF) protocol, confirming a TruSeq stranded-mRNA design. Transcript filtering used </w:t>
      </w:r>
      <w:r>
        <w:rPr>
          <w:b/>
          <w:bCs/>
          <w:lang w:val="en-US"/>
        </w:rPr>
        <w:t xml:space="preserve">FEELnc v0.2</w:t>
      </w:r>
      <w:r>
        <w:rPr>
          <w:lang w:val="en-US"/>
        </w:rPr>
        <w:t xml:space="preserve">: </w:t>
      </w:r>
      <w:r>
        <w:rPr>
          <w:rFonts w:ascii="Consolas" w:hAnsi="Consolas"/>
          <w:lang w:val="en-US"/>
        </w:rPr>
        <w:t xml:space="preserve">FEELnc_filter.pl</w:t>
      </w:r>
      <w:r>
        <w:rPr>
          <w:lang w:val="en-US"/>
        </w:rPr>
        <w:t xml:space="preserve"> with </w:t>
      </w:r>
      <w:r>
        <w:rPr>
          <w:rFonts w:ascii="Consolas" w:hAnsi="Consolas"/>
          <w:lang w:val="en-US"/>
        </w:rPr>
        <w:t xml:space="preserve">--size 200</w:t>
      </w:r>
      <w:r>
        <w:rPr>
          <w:lang w:val="en-US"/>
        </w:rPr>
        <w:t xml:space="preserve"> and </w:t>
      </w:r>
      <w:r>
        <w:rPr>
          <w:rFonts w:ascii="Consolas" w:hAnsi="Consolas"/>
          <w:lang w:val="en-US"/>
        </w:rPr>
        <w:t xml:space="preserve">--monoex 0</w:t>
      </w:r>
      <w:r>
        <w:rPr>
          <w:lang w:val="en-US"/>
        </w:rPr>
        <w:t xml:space="preserve">, the setting that discards mono-exonic transcripts, with the reference annotation supplied through </w:t>
      </w:r>
      <w:r>
        <w:rPr>
          <w:rFonts w:ascii="Consolas" w:hAnsi="Consolas"/>
          <w:lang w:val="en-US"/>
        </w:rPr>
        <w:t xml:space="preserve">-a</w:t>
      </w:r>
      <w:r>
        <w:rPr>
          <w:lang w:val="en-US"/>
        </w:rPr>
        <w:t xml:space="preserve"> for the sense-exon overlap test, followed by </w:t>
      </w:r>
      <w:r>
        <w:rPr>
          <w:rFonts w:ascii="Consolas" w:hAnsi="Consolas"/>
          <w:lang w:val="en-US"/>
        </w:rPr>
        <w:t xml:space="preserve">FEELnc_classifier.pl</w:t>
      </w:r>
      <w:r>
        <w:rPr>
          <w:lang w:val="en-US"/>
        </w:rPr>
        <w:t xml:space="preserve"> with the tool's default window (no </w:t>
      </w:r>
      <w:r>
        <w:rPr>
          <w:rFonts w:ascii="Consolas" w:hAnsi="Consolas"/>
          <w:lang w:val="en-US"/>
        </w:rPr>
        <w:t xml:space="preserve">-w</w:t>
      </w:r>
      <w:r>
        <w:rPr>
          <w:lang w:val="en-US"/>
        </w:rPr>
        <w:t xml:space="preserve"> override). Coding potential was called with </w:t>
      </w:r>
      <w:r>
        <w:rPr>
          <w:b/>
          <w:bCs/>
          <w:lang w:val="en-US"/>
        </w:rPr>
        <w:t xml:space="preserve">PlantLncBoost</w:t>
      </w:r>
      <w:r>
        <w:rPr>
          <w:lang w:val="en-US"/>
        </w:rPr>
        <w:t xml:space="preserve"> (CatBoost model </w:t>
      </w:r>
      <w:r>
        <w:rPr>
          <w:rFonts w:ascii="Consolas" w:hAnsi="Consolas"/>
          <w:lang w:val="en-US"/>
        </w:rPr>
        <w:t xml:space="preserve">PlantLncBoost_model.cb</w:t>
      </w:r>
      <w:r>
        <w:rPr>
          <w:lang w:val="en-US"/>
        </w:rPr>
        <w:t xml:space="preserve">; transcripts called non-coding below a predicted coding probability of 0.5) and </w:t>
      </w:r>
      <w:r>
        <w:rPr>
          <w:b/>
          <w:bCs/>
          <w:lang w:val="en-US"/>
        </w:rPr>
        <w:t xml:space="preserve">CPC2 standalone v1.0.1</w:t>
      </w:r>
      <w:r>
        <w:rPr>
          <w:lang w:val="en-US"/>
        </w:rPr>
        <w:t xml:space="preserve">; the Pfam-A release searched was 37.1 and the Rfam release 15.0. The Pfam-A database file was the same one used in our companion </w:t>
      </w:r>
      <w:r>
        <w:rPr>
          <w:i/>
          <w:iCs/>
          <w:lang w:val="en-US"/>
        </w:rPr>
        <w:t xml:space="preserve">Cannabis sativa</w:t>
      </w:r>
      <w:r>
        <w:rPr>
          <w:lang w:val="en-US"/>
        </w:rPr>
        <w:t xml:space="preserve"> lncRNA study, so the coding-potential screens of the two analyses are directly comparable. Primers were designed with NCBI Primer-BLAST and their secondary structures re-checked with IDT OligoAnalyzer (see S1.7). Alignment used </w:t>
      </w:r>
      <w:r>
        <w:rPr>
          <w:b/>
          <w:bCs/>
          <w:lang w:val="en-US"/>
        </w:rPr>
        <w:t xml:space="preserve">HISAT2 v2.2.2</w:t>
      </w:r>
      <w:r>
        <w:rPr>
          <w:lang w:val="en-US"/>
        </w:rPr>
        <w:t xml:space="preserve"> with </w:t>
      </w:r>
      <w:r>
        <w:rPr>
          <w:rFonts w:ascii="Consolas" w:hAnsi="Consolas"/>
          <w:lang w:val="en-US"/>
        </w:rPr>
        <w:t xml:space="preserve">--dta --rna-strandness RF</w:t>
      </w:r>
      <w:r>
        <w:rPr>
          <w:lang w:val="en-US"/>
        </w:rPr>
        <w:t xml:space="preserve">, the index built with extracted splice sites and exons (</w:t>
      </w:r>
      <w:r>
        <w:rPr>
          <w:rFonts w:ascii="Consolas" w:hAnsi="Consolas"/>
          <w:lang w:val="en-US"/>
        </w:rPr>
        <w:t xml:space="preserve">--ss --exon</w:t>
      </w:r>
      <w:r>
        <w:rPr>
          <w:lang w:val="en-US"/>
        </w:rPr>
        <w:t xml:space="preserve">); overall alignment rates ranged from 62% to 94% (mean ≈ 88%). Alignments were coordinate-sorted and indexed with </w:t>
      </w:r>
      <w:r>
        <w:rPr>
          <w:b/>
          <w:bCs/>
          <w:lang w:val="en-US"/>
        </w:rPr>
        <w:t xml:space="preserve">SAMtools v1.13</w:t>
      </w:r>
      <w:r>
        <w:rPr>
          <w:lang w:val="en-US"/>
        </w:rPr>
        <w:t xml:space="preserve">. Assembly used </w:t>
      </w:r>
      <w:r>
        <w:rPr>
          <w:b/>
          <w:bCs/>
          <w:lang w:val="en-US"/>
        </w:rPr>
        <w:t xml:space="preserve">StringTie v3.0.3</w:t>
      </w:r>
      <w:r>
        <w:rPr>
          <w:lang w:val="en-US"/>
        </w:rPr>
        <w:t xml:space="preserve"> in reverse-stranded mode (</w:t>
      </w:r>
      <w:r>
        <w:rPr>
          <w:rFonts w:ascii="Consolas" w:hAnsi="Consolas"/>
          <w:lang w:val="en-US"/>
        </w:rPr>
        <w:t xml:space="preserve">--rf</w:t>
      </w:r>
      <w:r>
        <w:rPr>
          <w:lang w:val="en-US"/>
        </w:rPr>
        <w:t xml:space="preserve">), reference-guided (</w:t>
      </w:r>
      <w:r>
        <w:rPr>
          <w:rFonts w:ascii="Consolas" w:hAnsi="Consolas"/>
          <w:lang w:val="en-US"/>
        </w:rPr>
        <w:t xml:space="preserve">-G</w:t>
      </w:r>
      <w:r>
        <w:rPr>
          <w:lang w:val="en-US"/>
        </w:rPr>
        <w:t xml:space="preserve">, novel transcripts permitted) and merged with </w:t>
      </w:r>
      <w:r>
        <w:rPr>
          <w:rFonts w:ascii="Consolas" w:hAnsi="Consolas"/>
          <w:lang w:val="en-US"/>
        </w:rPr>
        <w:t xml:space="preserve">stringtie --merge</w:t>
      </w:r>
      <w:r>
        <w:rPr>
          <w:lang w:val="en-US"/>
        </w:rPr>
        <w:t xml:space="preserve">; expression estimation used </w:t>
      </w:r>
      <w:r>
        <w:rPr>
          <w:rFonts w:ascii="Consolas" w:hAnsi="Consolas"/>
          <w:lang w:val="en-US"/>
        </w:rPr>
        <w:t xml:space="preserve">-e -B</w:t>
      </w:r>
      <w:r>
        <w:rPr>
          <w:lang w:val="en-US"/>
        </w:rPr>
        <w:t xml:space="preserve"> per-sample ballgown output consolidated with </w:t>
      </w:r>
      <w:r>
        <w:rPr>
          <w:rFonts w:ascii="Consolas" w:hAnsi="Consolas"/>
          <w:lang w:val="en-US"/>
        </w:rPr>
        <w:t xml:space="preserve">prepDE.py</w:t>
      </w:r>
      <w:r>
        <w:rPr>
          <w:lang w:val="en-US"/>
        </w:rPr>
        <w:t xml:space="preserve">. Other tools: </w:t>
      </w:r>
      <w:r>
        <w:rPr>
          <w:b/>
          <w:bCs/>
          <w:lang w:val="en-US"/>
        </w:rPr>
        <w:t xml:space="preserve">gffcompare v0.12.6</w:t>
      </w:r>
      <w:r>
        <w:rPr>
          <w:lang w:val="en-US"/>
        </w:rPr>
        <w:t xml:space="preserve">; </w:t>
      </w:r>
      <w:r>
        <w:rPr>
          <w:b/>
          <w:bCs/>
          <w:lang w:val="en-US"/>
        </w:rPr>
        <w:t xml:space="preserve">gffread v0.12.7</w:t>
      </w:r>
      <w:r>
        <w:rPr>
          <w:lang w:val="en-US"/>
        </w:rPr>
        <w:t xml:space="preserve">; </w:t>
      </w:r>
      <w:r>
        <w:rPr>
          <w:b/>
          <w:bCs/>
          <w:lang w:val="en-US"/>
        </w:rPr>
        <w:t xml:space="preserve">HMMER v3.4</w:t>
      </w:r>
      <w:r>
        <w:rPr>
          <w:lang w:val="en-US"/>
        </w:rPr>
        <w:t xml:space="preserve"> (</w:t>
      </w:r>
      <w:r>
        <w:rPr>
          <w:rFonts w:ascii="Consolas" w:hAnsi="Consolas"/>
          <w:lang w:val="en-US"/>
        </w:rPr>
        <w:t xml:space="preserve">hmmscan</w:t>
      </w:r>
      <w:r>
        <w:rPr>
          <w:lang w:val="en-US"/>
        </w:rPr>
        <w:t xml:space="preserve"> on six-frame ORFs ≥ 30 aa, E &lt; 1 × 10⁻⁵ via </w:t>
      </w:r>
      <w:r>
        <w:rPr>
          <w:rFonts w:ascii="Consolas" w:hAnsi="Consolas"/>
          <w:lang w:val="en-US"/>
        </w:rPr>
        <w:t xml:space="preserve">-E</w:t>
      </w:r>
      <w:r>
        <w:rPr>
          <w:lang w:val="en-US"/>
        </w:rPr>
        <w:t xml:space="preserve"> and </w:t>
      </w:r>
      <w:r>
        <w:rPr>
          <w:rFonts w:ascii="Consolas" w:hAnsi="Consolas"/>
          <w:lang w:val="en-US"/>
        </w:rPr>
        <w:t xml:space="preserve">--domE</w:t>
      </w:r>
      <w:r>
        <w:rPr>
          <w:lang w:val="en-US"/>
        </w:rPr>
        <w:t xml:space="preserve">), with CPC2 classification taken from the tool's non-coding </w:t>
      </w:r>
      <w:r>
        <w:rPr>
          <w:i/>
          <w:iCs/>
          <w:lang w:val="en-US"/>
        </w:rPr>
        <w:t xml:space="preserve">label</w:t>
      </w:r>
      <w:r>
        <w:rPr>
          <w:lang w:val="en-US"/>
        </w:rPr>
        <w:t xml:space="preserve"> rather than a score cutoff; </w:t>
      </w:r>
      <w:r>
        <w:rPr>
          <w:b/>
          <w:bCs/>
          <w:lang w:val="en-US"/>
        </w:rPr>
        <w:t xml:space="preserve">Infernal v1.1.5</w:t>
      </w:r>
      <w:r>
        <w:rPr>
          <w:lang w:val="en-US"/>
        </w:rPr>
        <w:t xml:space="preserve"> </w:t>
      </w:r>
      <w:r>
        <w:rPr>
          <w:rFonts w:ascii="Consolas" w:hAnsi="Consolas"/>
          <w:lang w:val="en-US"/>
        </w:rPr>
        <w:t xml:space="preserve">cmscan</w:t>
      </w:r>
      <w:r>
        <w:rPr>
          <w:lang w:val="en-US"/>
        </w:rPr>
        <w:t xml:space="preserve"> (</w:t>
      </w:r>
      <w:r>
        <w:rPr>
          <w:rFonts w:ascii="Consolas" w:hAnsi="Consolas"/>
          <w:lang w:val="en-US"/>
        </w:rPr>
        <w:t xml:space="preserve">--cut_ga --rfam --nohmmonly</w:t>
      </w:r>
      <w:r>
        <w:rPr>
          <w:lang w:val="en-US"/>
        </w:rPr>
        <w:t xml:space="preserve">); </w:t>
      </w:r>
      <w:r>
        <w:rPr>
          <w:b/>
          <w:bCs/>
          <w:lang w:val="en-US"/>
        </w:rPr>
        <w:t xml:space="preserve">DESeq2 v1.46</w:t>
      </w:r>
      <w:r>
        <w:rPr>
          <w:lang w:val="en-US"/>
        </w:rPr>
        <w:t xml:space="preserve">; </w:t>
      </w:r>
      <w:r>
        <w:rPr>
          <w:b/>
          <w:bCs/>
          <w:lang w:val="en-US"/>
        </w:rPr>
        <w:t xml:space="preserve">WGCNA v1.73</w:t>
      </w:r>
      <w:r>
        <w:rPr>
          <w:lang w:val="en-US"/>
        </w:rPr>
        <w:t xml:space="preserve"> with </w:t>
      </w:r>
      <w:r>
        <w:rPr>
          <w:rFonts w:ascii="Consolas" w:hAnsi="Consolas"/>
          <w:lang w:val="en-US"/>
        </w:rPr>
        <w:t xml:space="preserve">blockwiseModules</w:t>
      </w:r>
      <w:r>
        <w:rPr>
          <w:lang w:val="en-US"/>
        </w:rPr>
        <w:t xml:space="preserve"> (</w:t>
      </w:r>
      <w:r>
        <w:rPr>
          <w:rFonts w:ascii="Consolas" w:hAnsi="Consolas"/>
          <w:lang w:val="en-US"/>
        </w:rPr>
        <w:t xml:space="preserve">minModuleSize</w:t>
      </w:r>
      <w:r>
        <w:rPr>
          <w:lang w:val="en-US"/>
        </w:rPr>
        <w:t xml:space="preserve"> = 30, </w:t>
      </w:r>
      <w:r>
        <w:rPr>
          <w:rFonts w:ascii="Consolas" w:hAnsi="Consolas"/>
          <w:lang w:val="en-US"/>
        </w:rPr>
        <w:t xml:space="preserve">mergeCutHeight</w:t>
      </w:r>
      <w:r>
        <w:rPr>
          <w:lang w:val="en-US"/>
        </w:rPr>
        <w:t xml:space="preserve"> = 0.25, </w:t>
      </w:r>
      <w:r>
        <w:rPr>
          <w:rFonts w:ascii="Consolas" w:hAnsi="Consolas"/>
          <w:lang w:val="en-US"/>
        </w:rPr>
        <w:t xml:space="preserve">maxBlockSize</w:t>
      </w:r>
      <w:r>
        <w:rPr>
          <w:lang w:val="en-US"/>
        </w:rPr>
        <w:t xml:space="preserve"> = 10000) on </w:t>
      </w:r>
      <w:r>
        <w:rPr>
          <w:rFonts w:ascii="Consolas" w:hAnsi="Consolas"/>
          <w:lang w:val="en-US"/>
        </w:rPr>
        <w:t xml:space="preserve">vst</w:t>
      </w:r>
      <w:r>
        <w:rPr>
          <w:lang w:val="en-US"/>
        </w:rPr>
        <w:t xml:space="preserve">-transformed counts, at soft-thresholding powers leaf β = 5 (R² = 0.872) and root β = 4 (R² = 0.905); </w:t>
      </w:r>
      <w:r>
        <w:rPr>
          <w:b/>
          <w:bCs/>
          <w:lang w:val="en-US"/>
        </w:rPr>
        <w:t xml:space="preserve">psRNATarget</w:t>
      </w:r>
      <w:r>
        <w:rPr>
          <w:lang w:val="en-US"/>
        </w:rPr>
        <w:t xml:space="preserve"> (2017 release, schema V2) with </w:t>
      </w:r>
      <w:r>
        <w:rPr>
          <w:b/>
          <w:bCs/>
          <w:lang w:val="en-US"/>
        </w:rPr>
        <w:t xml:space="preserve">miRBase v22</w:t>
      </w:r>
      <w:r>
        <w:rPr>
          <w:lang w:val="en-US"/>
        </w:rPr>
        <w:t xml:space="preserve"> mature sequences; </w:t>
      </w:r>
      <w:r>
        <w:rPr>
          <w:b/>
          <w:bCs/>
          <w:lang w:val="en-US"/>
        </w:rPr>
        <w:t xml:space="preserve">Cytoscape v3.10</w:t>
      </w:r>
      <w:r>
        <w:rPr>
          <w:lang w:val="en-US"/>
        </w:rPr>
        <w:t xml:space="preserve">; </w:t>
      </w:r>
      <w:r>
        <w:rPr>
          <w:b/>
          <w:bCs/>
          <w:lang w:val="en-US"/>
        </w:rPr>
        <w:t xml:space="preserve">eggNOG-mapper v2</w:t>
      </w:r>
      <w:r>
        <w:rPr>
          <w:lang w:val="en-US"/>
        </w:rPr>
        <w:t xml:space="preserve"> (</w:t>
      </w:r>
      <w:r>
        <w:rPr>
          <w:rFonts w:ascii="Consolas" w:hAnsi="Consolas"/>
          <w:lang w:val="en-US"/>
        </w:rPr>
        <w:t xml:space="preserve">--tax_scope Viridiplantae</w:t>
      </w:r>
      <w:r>
        <w:rPr>
          <w:lang w:val="en-US"/>
        </w:rPr>
        <w:t xml:space="preserve">) against eggNOG v5; figures in </w:t>
      </w:r>
      <w:r>
        <w:rPr>
          <w:b/>
          <w:bCs/>
          <w:lang w:val="en-US"/>
        </w:rPr>
        <w:t xml:space="preserve">Python 3</w:t>
      </w:r>
      <w:r>
        <w:rPr>
          <w:lang w:val="en-US"/>
        </w:rPr>
        <w:t xml:space="preserve"> with </w:t>
      </w:r>
      <w:r>
        <w:rPr>
          <w:rFonts w:ascii="Consolas" w:hAnsi="Consolas"/>
          <w:lang w:val="en-US"/>
        </w:rPr>
        <w:t xml:space="preserve">matplotlib</w:t>
      </w:r>
      <w:r>
        <w:rPr>
          <w:lang w:val="en-US"/>
        </w:rPr>
        <w:t xml:space="preserve">, using a colour-vision-safe palette (Okabe–Ito) and a diverging blue–red scale for log₂ fold-change heat maps, red–green combinations being avoided throughout. Module eigengenes were correlated with stress condition by Pearson correlation, modules with |r| &gt; 0.5 and </w:t>
      </w:r>
      <w:r>
        <w:rPr>
          <w:i/>
          <w:iCs/>
          <w:lang w:val="en-US"/>
        </w:rPr>
        <w:t xml:space="preserve">p</w:t>
      </w:r>
      <w:r>
        <w:rPr>
          <w:lang w:val="en-US"/>
        </w:rPr>
        <w:t xml:space="preserve"> &lt; 0.05 being taken as stress-associated and transcripts with signed kME &gt; 0.8 as module hubs; cis-target correlations were computed per tissue on raw counts. Two threshold-sensitivity checks were run. Relaxing the cis correlation cutoff from |ρ| ≥ 0.8 to 0.7, 0.6 and 0.5 added no further pairs after false-discovery-rate correction, so the four reported cis pairs are not an artefact of the chosen cutoff. On the ceRNA side, tightening the psRNATarget lncRNA-side Expectation cutoff from ≤ 5 to ≤ 3 returned no interactions at all, consistent with the weaker complementarity inherent to miRNA-sponge sites; the network therefore depends on the ≤ 5 setting, and this is stated as a limitation in the main text.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S1.3 Sequencing libraries, run provenance and outlier removal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PRJNA742396 [1] profiled </w:t>
      </w:r>
      <w:r>
        <w:rPr>
          <w:i/>
          <w:iCs/>
          <w:lang w:val="en-US"/>
        </w:rPr>
        <w:t xml:space="preserve">H. annuus</w:t>
      </w:r>
      <w:r>
        <w:rPr>
          <w:lang w:val="en-US"/>
        </w:rPr>
        <w:t xml:space="preserve"> leaf and root under control, dry-down drought, NaCl, PEG and low-nutrient treatments. Of the 38 archived runs, the PEG and low-nutrient runs fell outside the present scope, and run SRR14986297 (a control-leaf replicate) was excluded as a sequencing failure (&lt;0.5 Gb), leaving 23 usable libraries, namely CK (3 leaf, 3 root), DR (4 leaf, 3 root) and SA (5 leaf, 5 root), which were used for assembly, catalogue construction and the TPM expression filter. All libraries were Illumina NextSeq 550 paired-end, poly-A-selected mRNA-seq. Before differential expression, two libraries were removed as PCA outliers (SRR14986307/DD3L and SRR14986288/S1L), leaving 21 libraries: leaf </w:t>
      </w:r>
      <w:r>
        <w:rPr>
          <w:i/>
          <w:iCs/>
          <w:lang w:val="en-US"/>
        </w:rPr>
        <w:t xml:space="preserve">n</w:t>
      </w:r>
      <w:r>
        <w:rPr>
          <w:lang w:val="en-US"/>
        </w:rPr>
        <w:t xml:space="preserve"> = 10 (CK 3, DR 3, SA 4) and root </w:t>
      </w:r>
      <w:r>
        <w:rPr>
          <w:i/>
          <w:iCs/>
          <w:lang w:val="en-US"/>
        </w:rPr>
        <w:t xml:space="preserve">n</w:t>
      </w:r>
      <w:r>
        <w:rPr>
          <w:lang w:val="en-US"/>
        </w:rPr>
        <w:t xml:space="preserve"> = 11 (CK 3, DR 3, SA 5).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S1.4 Full filtering provenance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219,988 assembled transcripts (161,390 loci) → strict gffcompare class codes u/x/i/o → 81,694 novel candidates → FEELnc_filter (≥ 200 nt; sense-exon overlaps and mono-exonic transcripts removed) → 6,250 → three-tool coding-potential consensus (PlantLncBoost 5,409; CPC2 5,455; Pfam-negative 5,245) → 5,048 unanimously non-coding high-confidence lncRNAs → Rfam/Infernal removal of two transcripts matching cytoplasmic rRNA families (SSU_rRNA_eukarya, LSU_rRNA_eukarya) → 5,046 structurally validated → TPM ≥ 0.5 in ≥ 2 biological replicates of ≥ 1 stress × tissue group → 2,172 expressed (Fig. 1a,b). gffcompare codes indicating reference isoforms, fragments or containment (j, k, m, n, e, s, c, p, r, =, .) were discarded. FEELnc_classifier assigned 4,057 intergenic and 742 genic transcripts, leaving 249 of the 5,048 without a class assignment; the catalogue is 86% two-exon (median 2, maximum 11 exons) by FEELnc design.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The three-tool, plant-trained consensus replaces the CPC2 + CPAT scheme of our companion </w:t>
      </w:r>
      <w:r>
        <w:rPr>
          <w:i/>
          <w:iCs/>
          <w:lang w:val="en-US"/>
        </w:rPr>
        <w:t xml:space="preserve">Cannabis</w:t>
      </w:r>
      <w:r>
        <w:rPr>
          <w:lang w:val="en-US"/>
        </w:rPr>
        <w:t xml:space="preserve"> pipeline; CPAT was dropped as a mammalian-trained classifier redundant with PlantLncBoost.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S1.5 Repeat-content quality control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Exonic repeat content was assessed against the RepeatMasker-derived soft-masked HanXRQr2.0-SUNRISE assembly (Ensembl Plants release 62). lncRNA exons showed a mean repeat-masked fraction of 68.1%, intermediate between protein-coding exons (27.3%) and length-matched random genomic intervals (83.2%; Fig. 1d), consistent with their predominantly intergenic location in a genome that is ~75–80% repetitive [28]. Per-transcript repeat fractions and the full enrichment results are available from the corresponding author on request, as set out in the Availability of data and materials statement.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S1.6 Enrichment reporting filters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Each reported term was required to have ≥ 3 study genes, ≥ 5 background genes and a background fraction ≤ 0.35. GO terms returned by eggNOG (which ships an older GO release) were re-mapped against the current GO release and terms obsolete in it were excluded from reporting. KEGG terms arising from ortholog cross-mapping to non-plant pathways were removed, as were the umbrella pathways map01100 (Metabolic pathways) and map01110 (Biosynthesis of secondary metabolites). This annotation and enrichment workflow mirrors our companion </w:t>
      </w:r>
      <w:r>
        <w:rPr>
          <w:i/>
          <w:iCs/>
          <w:lang w:val="en-US"/>
        </w:rPr>
        <w:t xml:space="preserve">Cannabis sativa</w:t>
      </w:r>
      <w:r>
        <w:rPr>
          <w:lang w:val="en-US"/>
        </w:rPr>
        <w:t xml:space="preserve"> lncRNA study, keeping the two analyses directly comparable.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S1.7 Primer design parameters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Primers were designed with NCBI Primer-BLAST and every pair was then re-checked in IDT OligoAnalyzer for self-dimer, hetero-dimer and hairpin structures. Design targets were: primer </w:t>
      </w:r>
      <w:r>
        <w:rPr>
          <w:i/>
          <w:iCs/>
          <w:lang w:val="en-US"/>
        </w:rPr>
        <w:t xml:space="preserve">T</w:t>
      </w:r>
      <w:r>
        <w:rPr>
          <w:lang w:val="en-US"/>
        </w:rPr>
        <w:t xml:space="preserve">m 58–62 °C (optimum 60 °C), amplicon 80–150 bp, GC content 40–60%, a 3′ GC clamp, self- and hetero-dimer ΔG &gt; −9 kcal mol⁻¹ and hairpin ΔG &gt; −2 kcal mol⁻¹. These were targets rather than hard filters: one accepted pair, Han_Du_lnc1 (MSTRG.59498.1), yields a 174 bp amplicon, and one, Han_Du_lnc1, lacks a 3′ G/C on either primer. Intron-spanning designs were preferred where transcript structure allowed. Specificity was screened </w:t>
      </w:r>
      <w:r>
        <w:rPr>
          <w:i/>
          <w:iCs/>
          <w:lang w:val="en-US"/>
        </w:rPr>
        <w:t xml:space="preserve">in silico</w:t>
      </w:r>
      <w:r>
        <w:rPr>
          <w:lang w:val="en-US"/>
        </w:rPr>
        <w:t xml:space="preserve"> against the 5,048-transcript consensus lncRNA catalogue and the reference annotation. The designed panel comprised 9 lncRNAs and their 9 predicted ceRNA-partner mRNAs (18 primer pairs) plus the ACT and EF-1α reference assays.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S1.8 RNA extraction, cDNA synthesis, cycling and technical-replicate handling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Total RNA (FavorPrep Plant Total RNA Mini Kit; Favorgen Biotech, Ping-Tung, Taiwan) was assessed on a NanoDrop Lite spectrophotometer (Thermo Fisher Scientific) and by agarose-gel electrophoresis before DNase I treatment. First-strand cDNA synthesis used the iScript cDNA Synthesis Kit (Bio-Rad) with 200 ng of total RNA per reaction, cycled at 25 °C/5 min, 46 °C/20 min and 95 °C/1 min; the product was diluted 1:5 to a working stock. Amplification used iTaq Universal SYBR Green Supermix (Bio-Rad) in a 10 µL reaction containing 1 µL of the diluted cDNA and 0.5 µL of each 10 µM primer, giving a final concentration of 500 nM per primer. Reactions were run on a Bio-Rad CFX96 real-time system (CFX Maestro v4.1.2433.1219) under the following programme: 95 °C for 30 s, then 40 cycles of 95 °C for 15 s and 60 °C for 30 s, the 60 °C step serving as combined annealing and extension, followed by melt-curve acquisition, two technical replicates per biological replicate and a no-template control for every assay. Quantification cycles were called by the CFX Maestro software using its automatic baseline and threshold settings; no manual adjustment was applied. No −RT controls were run, so genomic-DNA carry-over was not excluded; this is most relevant to the single-exon RING-type E3 ligase assay. Cq ≥ 38 was treated as non-detection. Specificity was enforced on the melt curve: a technical replicate was accepted when its melt peak fell within ±1.5 °C of the assay's verified product melting temperature, replicates for which no peak was called were retained, and a sample whose median melt temperature fell outside that window was rejected in full as a primer-dimer. Per-sample Cq was the mean of the accepted replicates below Cq 38. In the drought × drought-tolerant × root arm, two of the three biological replicates were excluded: across assays they showed a systematic shift of approximately +3 cycles while the controls on the same plate were unaffected, which we read as partial RNA degradation. That arm is part of the drought × cv. SUN 2235 block, which is marked NA in Fig. 7C and is not interpreted quantitatively. No inter-run calibrator was included, so between-plate variation is not corrected. ΔΔCT was computed against the matched control-group mean (same stress, cultivar and tissue), and figure generation, palette and heat-map scale followed S1.2.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S1.9 qRT-PCR panel and ceRNA partner map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The measured pairs were: SUS4 (HanXRQr2_Chr04g0177291) with MSTRG.39913.1; amino-acid permease (Chr05g0219721) with MSTRG.75989.1; BT1/BTB-POZ-TAZ (Chr04g0147681) with MSTRG.3487.1; and RING-type E3 ligase (Chr08g0355401) with MSTRG.55643.2. For Chr07g0278911 the mRNA alone was assayed; its predicted lncRNA partner MSTRG.93437.1 was not. The dual-responsive lncRNA MSTRG.59498.1 was measured as a separate assay. mRNA primers amplify the mRNA partner and lncRNA primers amplify the lncRNA; a shared pair identifier denotes a predicted ceRNA pair, not a single assay.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S1.10 Assay-level quality control and excluded assays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Five ceRNA-partner mRNA assays reached quantitative reportable quality. The dual-responsive lncRNA assay MSTRG.59498.1 passed the specificity assessment (its no-template control showed no melt peak, unlike the primer-dimer case below) but amplified at or beyond the limit of detection, its target Cq falling at or past the no-template-control Cq, and is therefore not reported quantitatively. Three further lncRNA assays (MSTRG.39913.1, MSTRG.75989.1, MSTRG.55643.2) amplified but returned signal in their no-template controls and are likewise not reported quantitatively. The MSTRG.3487.1 assay was excluded entirely: its no-template control amplified at the product melting temperature (Cq ≈ 29), identifying the signal as primer-dimer, so it is reported as a failed assay rather than as data. The remaining designed assays did not reach reportable quality and are not presented. The lncRNA arm was therefore primer-limited, and validation rests principally on the partner-mRNA layer.</w:t>
      </w:r>
    </w:p>
    <w:p>
      <w:pPr>
        <w:spacing w:before="280" w:after="140" w:line="276" w:lineRule="auto"/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S1.11 Reference-gene behaviour</w:t>
      </w:r>
    </w:p>
    <w:p>
      <w:pPr>
        <w:spacing w:after="160" w:line="276" w:lineRule="auto"/>
        <w:jc w:val="both"/>
        <w:rPr>
          <w:lang w:val="en-US"/>
        </w:rPr>
      </w:pPr>
      <w:r>
        <w:rPr>
          <w:lang w:val="en-US"/>
        </w:rPr>
        <w:t xml:space="preserve">No third reference gene was available, the GAPDH primers having failed design validation, so formal stability ranking (geNorm/NormFinder) was uninformative and was not performed; reference behaviour was instead assessed directly across conditions. ACT was only moderately stable, shifting +1.46 Cq under salinity in SUN 2235 against −1.19 Cq in Turay, whereas EF-1α failed outright under drought in SUN 2235 (+11 Cq, an approximately 2,000-fold shift). Every fold change was therefore recomputed against ACT alone and EF-1α alone as a sensitivity analysis, ACT alone also serving where EF-1α was missing; magnitudes were normalization-sensitive, but the direction of the salinity cultivar contrast held under all three schemes: the mean salinity fold change in SUN 2235 was 11.6×, 5.1× and 7.6× for ACT-only, EF-1α-only and the geometric mean respectively, against 0.80×, 1.02× and 0.79× in Turay (arithmetic means of ratios, dominated by the single 54.1× contrast; the corresponding geometric means are 1.96× and 0.40×). Drought contrasts in SUN 2235 were regarded as unreliable owing to the EF-1α drift and are not interpreted quantitatively.</w:t>
      </w:r>
    </w:p>
    <w:p>
      <w:pPr>
        <w:spacing w:before="360" w:after="180" w:line="276" w:lineRule="auto"/>
        <w:rPr>
          <w:lang w:val="en-US"/>
        </w:rPr>
      </w:pPr>
      <w:r>
        <w:rPr>
          <w:b/>
          <w:bCs/>
          <w:sz w:val="28"/>
          <w:szCs w:val="28"/>
          <w:lang w:val="en-US"/>
        </w:rPr>
        <w:t xml:space="preserve">Supporting figure</w:t>
      </w:r>
    </w:p>
    <w:p>
      <w:pPr>
        <w:spacing w:after="160" w:line="276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Figure S1. Genomic features of the high-confidence sunflower (*Helianthus annuus*) long non-coding RNA (lncRNA) set.</w:t>
      </w:r>
      <w:r>
        <w:rPr>
          <w:lang w:val="en-US"/>
        </w:rPr>
        <w:t xml:space="preserve"> All panels are computed on the 5,048 transcripts called non-coding unanimously by the three-tool consensus, that is, before Rfam/Infernal removed the two housekeeping rRNA transcripts that define the 5,046-locus structurally validated catalogue used throughout the main text. (a) Transcript-length distribution (histogram): median 345 nucleotides (nt), mean 471 nt, range 200–6,408 nt; the horizontal axis is truncated at about 2,600 nt for legibility, so the sparse tail above that length is not displayed. (b) Exon number per transcript (bar chart): 86% two-exon, median 2, maximum 11; no mono-exonic loci (excluded by FEELnc_filter design). (c) Chromosomal distribution (per-chromosome counts): 4,969 of 5,048 loci map to the 17 assembled chromosomes, distributed fairly evenly. (d) FEELnc genomic classification relative to protein-coding genes (horizontal bar chart; intergenic classes in blue, genic classes in orange): intergenic 4,057 (same-strand 2,229, divergent 1,007, convergent 821) and genic 742 (nested 266, containing 335, overlapping 141). These classes account for 4,799 of the 5,048 transcripts; the remaining 249 (4.9%) were returned without a class assignment by FEELnc_classifier and are not plotted.</w:t>
      </w:r>
    </w:p>
    <w:p>
      <w:pPr>
        <w:spacing w:after="160" w:line="276" w:lineRule="auto"/>
        <w:jc w:val="both"/>
        <w:rPr>
          <w:lang w:val="en-US"/>
        </w:rPr>
      </w:pPr>
      <w:r>
        <w:rPr>
          <w:i/>
          <w:iCs/>
          <w:lang w:val="en-US"/>
        </w:rPr>
        <w:t xml:space="preserve">(Assemble this document and Figure S1 into a single PDF for upload. Tables S1 and S2 are in Additional file 2.)</w:t>
      </w:r>
    </w:p>
    <w:sectPr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269A" w14:textId="77777777" w:rsidR="009448D2" w:rsidRDefault="009448D2">
      <w:r>
        <w:separator/>
      </w:r>
    </w:p>
  </w:endnote>
  <w:endnote w:type="continuationSeparator" w:id="0">
    <w:p w14:paraId="56D14B67" w14:textId="77777777" w:rsidR="009448D2" w:rsidRDefault="0094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077099"/>
      <w:docPartObj>
        <w:docPartGallery w:val="Page Numbers (Bottom of Page)"/>
        <w:docPartUnique/>
      </w:docPartObj>
    </w:sdtPr>
    <w:sdtContent>
      <w:p w14:paraId="70271410" w14:textId="77777777" w:rsidR="0036176E" w:rsidRDefault="0036176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398B5F" w14:textId="77777777" w:rsidR="0036176E" w:rsidRDefault="00361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88EC" w14:textId="77777777" w:rsidR="009448D2" w:rsidRDefault="009448D2">
      <w:r>
        <w:separator/>
      </w:r>
    </w:p>
  </w:footnote>
  <w:footnote w:type="continuationSeparator" w:id="0">
    <w:p w14:paraId="60C473EE" w14:textId="77777777" w:rsidR="009448D2" w:rsidRDefault="0094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10EB"/>
    <w:multiLevelType w:val="hybridMultilevel"/>
    <w:tmpl w:val="28C68724"/>
    <w:lvl w:ilvl="0" w:tplc="E3CA38EE">
      <w:start w:val="1"/>
      <w:numFmt w:val="bullet"/>
      <w:lvlText w:val="●"/>
      <w:lvlJc w:val="left"/>
      <w:pPr>
        <w:ind w:left="720" w:hanging="360"/>
      </w:pPr>
    </w:lvl>
    <w:lvl w:ilvl="1" w:tplc="94EEDCFC">
      <w:start w:val="1"/>
      <w:numFmt w:val="bullet"/>
      <w:lvlText w:val="○"/>
      <w:lvlJc w:val="left"/>
      <w:pPr>
        <w:ind w:left="1440" w:hanging="360"/>
      </w:pPr>
    </w:lvl>
    <w:lvl w:ilvl="2" w:tplc="2AC4011A">
      <w:start w:val="1"/>
      <w:numFmt w:val="bullet"/>
      <w:lvlText w:val="■"/>
      <w:lvlJc w:val="left"/>
      <w:pPr>
        <w:ind w:left="2160" w:hanging="360"/>
      </w:pPr>
    </w:lvl>
    <w:lvl w:ilvl="3" w:tplc="A2260346">
      <w:start w:val="1"/>
      <w:numFmt w:val="bullet"/>
      <w:lvlText w:val="●"/>
      <w:lvlJc w:val="left"/>
      <w:pPr>
        <w:ind w:left="2880" w:hanging="360"/>
      </w:pPr>
    </w:lvl>
    <w:lvl w:ilvl="4" w:tplc="D19CD7D0">
      <w:start w:val="1"/>
      <w:numFmt w:val="bullet"/>
      <w:lvlText w:val="○"/>
      <w:lvlJc w:val="left"/>
      <w:pPr>
        <w:ind w:left="3600" w:hanging="360"/>
      </w:pPr>
    </w:lvl>
    <w:lvl w:ilvl="5" w:tplc="ED78CE22">
      <w:start w:val="1"/>
      <w:numFmt w:val="bullet"/>
      <w:lvlText w:val="■"/>
      <w:lvlJc w:val="left"/>
      <w:pPr>
        <w:ind w:left="4320" w:hanging="360"/>
      </w:pPr>
    </w:lvl>
    <w:lvl w:ilvl="6" w:tplc="7B8C06FC">
      <w:start w:val="1"/>
      <w:numFmt w:val="bullet"/>
      <w:lvlText w:val="●"/>
      <w:lvlJc w:val="left"/>
      <w:pPr>
        <w:ind w:left="5040" w:hanging="360"/>
      </w:pPr>
    </w:lvl>
    <w:lvl w:ilvl="7" w:tplc="68062CA0">
      <w:start w:val="1"/>
      <w:numFmt w:val="bullet"/>
      <w:lvlText w:val="●"/>
      <w:lvlJc w:val="left"/>
      <w:pPr>
        <w:ind w:left="5760" w:hanging="360"/>
      </w:pPr>
    </w:lvl>
    <w:lvl w:ilvl="8" w:tplc="7B8C2BAA">
      <w:start w:val="1"/>
      <w:numFmt w:val="bullet"/>
      <w:lvlText w:val="●"/>
      <w:lvlJc w:val="left"/>
      <w:pPr>
        <w:ind w:left="6480" w:hanging="360"/>
      </w:pPr>
    </w:lvl>
  </w:abstractNum>
  <w:num w:numId="1" w16cid:durableId="10061789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6176E"/>
    <w:rsid w:val="000E378E"/>
    <w:rsid w:val="001604AE"/>
    <w:rsid w:val="00161B93"/>
    <w:rsid w:val="00241BFD"/>
    <w:rsid w:val="0024240C"/>
    <w:rsid w:val="00262E8A"/>
    <w:rsid w:val="002E6168"/>
    <w:rsid w:val="002F4EEF"/>
    <w:rsid w:val="00320436"/>
    <w:rsid w:val="00337134"/>
    <w:rsid w:val="00340F57"/>
    <w:rsid w:val="0036176E"/>
    <w:rsid w:val="003C0ACD"/>
    <w:rsid w:val="004615DB"/>
    <w:rsid w:val="004B7889"/>
    <w:rsid w:val="00532603"/>
    <w:rsid w:val="006228B7"/>
    <w:rsid w:val="006F2E0E"/>
    <w:rsid w:val="0071133A"/>
    <w:rsid w:val="007830F9"/>
    <w:rsid w:val="0079158B"/>
    <w:rsid w:val="007A0388"/>
    <w:rsid w:val="00815938"/>
    <w:rsid w:val="009448D2"/>
    <w:rsid w:val="00B13669"/>
    <w:rsid w:val="00B67111"/>
    <w:rsid w:val="00C944B0"/>
    <w:rsid w:val="00CB461A"/>
    <w:rsid w:val="00D22E32"/>
    <w:rsid w:val="00F0139F"/>
    <w:rsid w:val="00F111E3"/>
    <w:rsid w:val="00F5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214B7"/>
  <w15:chartTrackingRefBased/>
  <w15:docId w15:val="{D4F2FF43-426A-4646-9046-ACAA64B3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link w:val="Balk1Char"/>
    <w:uiPriority w:val="9"/>
    <w:qFormat/>
    <w:rsid w:val="0036176E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kern w:val="0"/>
      <w:sz w:val="32"/>
      <w:szCs w:val="32"/>
      <w:lang w:eastAsia="tr-TR"/>
      <w14:ligatures w14:val="none"/>
    </w:rPr>
  </w:style>
  <w:style w:type="paragraph" w:styleId="Balk2">
    <w:name w:val="heading 2"/>
    <w:link w:val="Balk2Char"/>
    <w:uiPriority w:val="9"/>
    <w:semiHidden/>
    <w:unhideWhenUsed/>
    <w:qFormat/>
    <w:rsid w:val="0036176E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kern w:val="0"/>
      <w:sz w:val="26"/>
      <w:szCs w:val="26"/>
      <w:lang w:eastAsia="tr-TR"/>
      <w14:ligatures w14:val="none"/>
    </w:rPr>
  </w:style>
  <w:style w:type="paragraph" w:styleId="Balk3">
    <w:name w:val="heading 3"/>
    <w:link w:val="Balk3Char"/>
    <w:uiPriority w:val="9"/>
    <w:semiHidden/>
    <w:unhideWhenUsed/>
    <w:qFormat/>
    <w:rsid w:val="0036176E"/>
    <w:pPr>
      <w:spacing w:after="0" w:line="240" w:lineRule="auto"/>
      <w:outlineLvl w:val="2"/>
    </w:pPr>
    <w:rPr>
      <w:rFonts w:ascii="Times New Roman" w:eastAsia="Times New Roman" w:hAnsi="Times New Roman" w:cs="Times New Roman"/>
      <w:color w:val="1F4D78"/>
      <w:kern w:val="0"/>
      <w:sz w:val="24"/>
      <w:szCs w:val="24"/>
      <w:lang w:eastAsia="tr-TR"/>
      <w14:ligatures w14:val="none"/>
    </w:rPr>
  </w:style>
  <w:style w:type="paragraph" w:styleId="Balk4">
    <w:name w:val="heading 4"/>
    <w:link w:val="Balk4Char"/>
    <w:uiPriority w:val="9"/>
    <w:semiHidden/>
    <w:unhideWhenUsed/>
    <w:qFormat/>
    <w:rsid w:val="0036176E"/>
    <w:pPr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color w:val="2E74B5"/>
      <w:kern w:val="0"/>
      <w:sz w:val="24"/>
      <w:szCs w:val="24"/>
      <w:lang w:eastAsia="tr-TR"/>
      <w14:ligatures w14:val="none"/>
    </w:rPr>
  </w:style>
  <w:style w:type="paragraph" w:styleId="Balk5">
    <w:name w:val="heading 5"/>
    <w:link w:val="Balk5Char"/>
    <w:uiPriority w:val="9"/>
    <w:semiHidden/>
    <w:unhideWhenUsed/>
    <w:qFormat/>
    <w:rsid w:val="0036176E"/>
    <w:pPr>
      <w:spacing w:after="0" w:line="240" w:lineRule="auto"/>
      <w:outlineLvl w:val="4"/>
    </w:pPr>
    <w:rPr>
      <w:rFonts w:ascii="Times New Roman" w:eastAsia="Times New Roman" w:hAnsi="Times New Roman" w:cs="Times New Roman"/>
      <w:color w:val="2E74B5"/>
      <w:kern w:val="0"/>
      <w:sz w:val="24"/>
      <w:szCs w:val="24"/>
      <w:lang w:eastAsia="tr-TR"/>
      <w14:ligatures w14:val="none"/>
    </w:rPr>
  </w:style>
  <w:style w:type="paragraph" w:styleId="Balk6">
    <w:name w:val="heading 6"/>
    <w:link w:val="Balk6Char"/>
    <w:uiPriority w:val="9"/>
    <w:semiHidden/>
    <w:unhideWhenUsed/>
    <w:qFormat/>
    <w:rsid w:val="0036176E"/>
    <w:pPr>
      <w:spacing w:after="0" w:line="240" w:lineRule="auto"/>
      <w:outlineLvl w:val="5"/>
    </w:pPr>
    <w:rPr>
      <w:rFonts w:ascii="Times New Roman" w:eastAsia="Times New Roman" w:hAnsi="Times New Roman" w:cs="Times New Roman"/>
      <w:color w:val="1F4D78"/>
      <w:kern w:val="0"/>
      <w:sz w:val="24"/>
      <w:szCs w:val="24"/>
      <w:lang w:eastAsia="tr-TR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17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17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17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15DB"/>
    <w:rPr>
      <w:rFonts w:ascii="Times New Roman" w:eastAsia="Times New Roman" w:hAnsi="Times New Roman" w:cs="Times New Roman"/>
      <w:color w:val="2E74B5"/>
      <w:kern w:val="0"/>
      <w:sz w:val="32"/>
      <w:szCs w:val="32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176E"/>
    <w:rPr>
      <w:rFonts w:ascii="Times New Roman" w:eastAsia="Times New Roman" w:hAnsi="Times New Roman" w:cs="Times New Roman"/>
      <w:color w:val="2E74B5"/>
      <w:kern w:val="0"/>
      <w:sz w:val="26"/>
      <w:szCs w:val="26"/>
      <w:lang w:eastAsia="tr-TR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176E"/>
    <w:rPr>
      <w:rFonts w:ascii="Times New Roman" w:eastAsia="Times New Roman" w:hAnsi="Times New Roman" w:cs="Times New Roman"/>
      <w:color w:val="1F4D78"/>
      <w:kern w:val="0"/>
      <w:sz w:val="24"/>
      <w:szCs w:val="24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176E"/>
    <w:rPr>
      <w:rFonts w:ascii="Times New Roman" w:eastAsia="Times New Roman" w:hAnsi="Times New Roman" w:cs="Times New Roman"/>
      <w:i/>
      <w:iCs/>
      <w:color w:val="2E74B5"/>
      <w:kern w:val="0"/>
      <w:sz w:val="24"/>
      <w:szCs w:val="24"/>
      <w:lang w:eastAsia="tr-TR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176E"/>
    <w:rPr>
      <w:rFonts w:ascii="Times New Roman" w:eastAsia="Times New Roman" w:hAnsi="Times New Roman" w:cs="Times New Roman"/>
      <w:color w:val="2E74B5"/>
      <w:kern w:val="0"/>
      <w:sz w:val="24"/>
      <w:szCs w:val="24"/>
      <w:lang w:eastAsia="tr-TR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176E"/>
    <w:rPr>
      <w:rFonts w:ascii="Times New Roman" w:eastAsia="Times New Roman" w:hAnsi="Times New Roman" w:cs="Times New Roman"/>
      <w:color w:val="1F4D78"/>
      <w:kern w:val="0"/>
      <w:sz w:val="24"/>
      <w:szCs w:val="24"/>
      <w:lang w:eastAsia="tr-TR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176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176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176E"/>
    <w:rPr>
      <w:rFonts w:eastAsiaTheme="majorEastAsia" w:cstheme="majorBidi"/>
      <w:color w:val="272727" w:themeColor="text1" w:themeTint="D8"/>
    </w:rPr>
  </w:style>
  <w:style w:type="paragraph" w:styleId="KonuBal">
    <w:name w:val="Title"/>
    <w:link w:val="KonuBalChar"/>
    <w:uiPriority w:val="10"/>
    <w:qFormat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56"/>
      <w:szCs w:val="56"/>
      <w:lang w:eastAsia="tr-TR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176E"/>
    <w:rPr>
      <w:rFonts w:ascii="Times New Roman" w:eastAsia="Times New Roman" w:hAnsi="Times New Roman" w:cs="Times New Roman"/>
      <w:kern w:val="0"/>
      <w:sz w:val="56"/>
      <w:szCs w:val="56"/>
      <w:lang w:eastAsia="tr-TR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361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1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176E"/>
    <w:rPr>
      <w:i/>
      <w:iCs/>
      <w:color w:val="404040" w:themeColor="text1" w:themeTint="BF"/>
    </w:rPr>
  </w:style>
  <w:style w:type="paragraph" w:styleId="ListeParagraf">
    <w:name w:val="List Paragraph"/>
    <w:qFormat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36176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176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176E"/>
    <w:rPr>
      <w:b/>
      <w:bCs/>
      <w:smallCaps/>
      <w:color w:val="0F4761" w:themeColor="accent1" w:themeShade="BF"/>
      <w:spacing w:val="5"/>
    </w:rPr>
  </w:style>
  <w:style w:type="paragraph" w:customStyle="1" w:styleId="Gl1">
    <w:name w:val="Güçlü1"/>
    <w:qFormat/>
    <w:rsid w:val="0036176E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character" w:styleId="Kpr">
    <w:name w:val="Hyperlink"/>
    <w:uiPriority w:val="99"/>
    <w:unhideWhenUsed/>
    <w:rsid w:val="0036176E"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sid w:val="0036176E"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customStyle="1" w:styleId="DipnotMetniChar">
    <w:name w:val="Dipnot Metni Char"/>
    <w:link w:val="DipnotMetni"/>
    <w:uiPriority w:val="99"/>
    <w:semiHidden/>
    <w:unhideWhenUsed/>
    <w:rsid w:val="0036176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SonNotBavurusu">
    <w:name w:val="endnote reference"/>
    <w:uiPriority w:val="99"/>
    <w:semiHidden/>
    <w:unhideWhenUsed/>
    <w:rsid w:val="0036176E"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customStyle="1" w:styleId="SonNotMetniChar">
    <w:name w:val="Son Not Metni Char"/>
    <w:link w:val="SonNotMetni"/>
    <w:uiPriority w:val="99"/>
    <w:semiHidden/>
    <w:unhideWhenUsed/>
    <w:rsid w:val="0036176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Dzeltme">
    <w:name w:val="Revision"/>
    <w:hidden/>
    <w:uiPriority w:val="99"/>
    <w:semiHidden/>
    <w:rsid w:val="003617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36176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36176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6176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6176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6176E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6176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36176E"/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6176E"/>
    <w:pPr>
      <w:jc w:val="both"/>
    </w:pPr>
    <w:rPr>
      <w:noProof/>
    </w:rPr>
  </w:style>
  <w:style w:type="character" w:customStyle="1" w:styleId="EndNoteBibliographyChar">
    <w:name w:val="EndNote Bibliography Char"/>
    <w:basedOn w:val="VarsaylanParagrafYazTipi"/>
    <w:link w:val="EndNoteBibliography"/>
    <w:rsid w:val="0036176E"/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character" w:styleId="SatrNumaras">
    <w:name w:val="line number"/>
    <w:basedOn w:val="VarsaylanParagrafYazTipi"/>
    <w:uiPriority w:val="99"/>
    <w:semiHidden/>
    <w:unhideWhenUsed/>
    <w:rsid w:val="0036176E"/>
  </w:style>
  <w:style w:type="paragraph" w:styleId="stBilgi">
    <w:name w:val="header"/>
    <w:basedOn w:val="Normal"/>
    <w:link w:val="stBilgiChar"/>
    <w:uiPriority w:val="99"/>
    <w:unhideWhenUsed/>
    <w:rsid w:val="0036176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176E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6176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176E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6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buyuki@ankara.edu.tr" TargetMode="External" Type="http://schemas.openxmlformats.org/officeDocument/2006/relationships/hyperlink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43</Pages>
  <Words>12144</Words>
  <Characters>69222</Characters>
  <Application>Microsoft Office Word</Application>
  <DocSecurity>0</DocSecurity>
  <Lines>576</Lines>
  <Paragraphs>162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2026-04-22T15:28:00Z</dcterms:created>
  <dcterms:modified xsi:type="dcterms:W3CDTF">2026-04-25T12:31:00Z</dcterms:modified>
  <cp:revision>10</cp:revision>
</cp:coreProperties>
</file>