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6D76" w14:textId="77777777" w:rsidR="00F37DF0" w:rsidRDefault="00F37DF0" w:rsidP="00F37DF0">
      <w:pPr>
        <w:pStyle w:val="Heading1"/>
        <w:spacing w:before="400" w:after="200" w:line="480" w:lineRule="auto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Appendix: Data Construction and Replication</w:t>
      </w:r>
    </w:p>
    <w:p w14:paraId="4FFF3EED" w14:textId="77777777" w:rsidR="00F37DF0" w:rsidRDefault="00F37DF0" w:rsidP="00F37DF0">
      <w:pPr>
        <w:spacing w:after="200" w:line="480" w:lineRule="auto"/>
      </w:pPr>
      <w:r>
        <w:t>To ensure reproducibility, all raw data, processing code, and intermediate results are archived. The replication path is as follows.</w:t>
      </w:r>
    </w:p>
    <w:p w14:paraId="0E1DFC11" w14:textId="77777777" w:rsidR="00F37DF0" w:rsidRDefault="00F37DF0" w:rsidP="00F37DF0">
      <w:pPr>
        <w:spacing w:after="200" w:line="480" w:lineRule="auto"/>
      </w:pPr>
      <w:r>
        <w:rPr>
          <w:b/>
          <w:bCs/>
        </w:rPr>
        <w:t>Data acquisition.</w:t>
      </w:r>
      <w:r>
        <w:t xml:space="preserve"> Cartel case metadata from the European Commission competition case search interface (filters: caseInstrument = AT, caseCartel = true), including case name, NACE industry, initiation date, and decision date. Industry structural data from Eurostat: 2005–2020 from size-group SBS (dataset code sbs_sc_sca_r2; indicators: number of enterprises V11110, turnover V12110, employment V16110; size group code GE250); 2021–2024 from new SBS overview data (sbs_sc_ovw; indicators: ENT_NR, NETTUR_MEUR, EMP_NR). Employment concentration from experimental statistics on MNE group concentration (egr_conc). Monthly domestic producer price indices from short-term statistics (sts_inppd_m, total index at domestic market prices, 2021 = 100).</w:t>
      </w:r>
    </w:p>
    <w:p w14:paraId="2F5BD638" w14:textId="77777777" w:rsidR="00F37DF0" w:rsidRDefault="00F37DF0" w:rsidP="00F37DF0">
      <w:pPr>
        <w:spacing w:after="200" w:line="480" w:lineRule="auto"/>
      </w:pPr>
      <w:r>
        <w:rPr>
          <w:b/>
          <w:bCs/>
        </w:rPr>
        <w:t>Data processing pipeline.</w:t>
      </w:r>
      <w:r>
        <w:t xml:space="preserve"> Step 1: Generate the "division–initiation year" event list of 61 cases per attribution rules. Step 2: Link two SBS segments—extract enterprise count, turnover, and employment by division and size group; link 2005–2020 and 2021–2024 series with consistency checks at the linkage year to produce the 2005–2024 panel; construct lagged variables. Step 3: Compute ΔlnP from monthly PPI, then aggregate into pre-indictment 36-month windows for increase, volatility, and synchronicity. Step 4: Merge into the 480 industry–year panel (249 effective) and 24-division cross-section. Step 5: Sequentially run cross-section negative binomial, panel logit, NCA scan, coverage measurement, and price behavior tests.</w:t>
      </w:r>
    </w:p>
    <w:p w14:paraId="7135E51A" w14:textId="77777777" w:rsidR="00F37DF0" w:rsidRDefault="00F37DF0" w:rsidP="00F37DF0">
      <w:pPr>
        <w:spacing w:after="200" w:line="480" w:lineRule="auto"/>
      </w:pPr>
      <w:r>
        <w:rPr>
          <w:b/>
          <w:bCs/>
        </w:rPr>
        <w:t>Statistical method details.</w:t>
      </w:r>
      <w:r>
        <w:t xml:space="preserve"> Bootstrap: 2,000 rounds of resampling 24 divisions with replacement, re-estimating the negative binomial model, reporting percentile 95% CIs. Firth logit uses penalized maximum likelihood for rare-event bias correction. Wild cluster bootstrap: Webb six-point weights, 999 rounds resampling by division cluster, residualrestructuring for the restricted model. NCA permutation test: 5,000 random shuffles of event labels. Sample-split CV: randomly draw 12 divisions as training, remaining 12 as validation, repeated 500 times. All random process seeds are fixed; code runs in Python 3 (statsmodels, pandas, numpy); the archived README provides script execution order.</w:t>
      </w:r>
    </w:p>
    <w:p w14:paraId="3813BD43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F0"/>
    <w:rsid w:val="00066677"/>
    <w:rsid w:val="00153A17"/>
    <w:rsid w:val="001A37F3"/>
    <w:rsid w:val="003030EB"/>
    <w:rsid w:val="003A4E89"/>
    <w:rsid w:val="00556784"/>
    <w:rsid w:val="008B07A6"/>
    <w:rsid w:val="0097029A"/>
    <w:rsid w:val="00987B63"/>
    <w:rsid w:val="00990454"/>
    <w:rsid w:val="00A234E6"/>
    <w:rsid w:val="00BF13F9"/>
    <w:rsid w:val="00CE738E"/>
    <w:rsid w:val="00D31E7D"/>
    <w:rsid w:val="00F37DF0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F377D"/>
  <w15:chartTrackingRefBased/>
  <w15:docId w15:val="{20C4BEA4-0FAF-4992-8514-AC487FA1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DF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7DF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DF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DF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DF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DF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DF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DF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DF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DF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D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D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D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D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D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D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D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7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DF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7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DF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7D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DF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7D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D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D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2026-09-09T05:02:00Z</dcterms:created>
  <dcterms:modified xsi:type="dcterms:W3CDTF">2026-09-09T05:03:00Z</dcterms:modified>
</cp:coreProperties>
</file>