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06B247" w14:textId="4EC20E19" w:rsidR="009627EA" w:rsidRPr="000E55C1" w:rsidRDefault="009627EA" w:rsidP="009627EA">
      <w:pPr>
        <w:pStyle w:val="Heading1"/>
        <w:rPr>
          <w:rFonts w:asciiTheme="minorHAnsi" w:hAnsiTheme="minorHAnsi" w:cstheme="minorHAnsi"/>
        </w:rPr>
      </w:pPr>
      <w:r w:rsidRPr="000E55C1">
        <w:rPr>
          <w:rFonts w:asciiTheme="minorHAnsi" w:hAnsiTheme="minorHAnsi" w:cstheme="minorHAnsi"/>
        </w:rPr>
        <w:t>Supplementary Information</w:t>
      </w:r>
      <w:r w:rsidR="00B46E58" w:rsidRPr="000E55C1">
        <w:rPr>
          <w:rFonts w:asciiTheme="minorHAnsi" w:hAnsiTheme="minorHAnsi" w:cstheme="minorHAnsi"/>
        </w:rPr>
        <w:t xml:space="preserve"> for</w:t>
      </w:r>
    </w:p>
    <w:p w14:paraId="5AF2351E" w14:textId="77777777" w:rsidR="009627EA" w:rsidRPr="000E55C1" w:rsidRDefault="009627EA" w:rsidP="0599D675">
      <w:pPr>
        <w:pStyle w:val="Heading1"/>
        <w:rPr>
          <w:rFonts w:asciiTheme="minorHAnsi" w:hAnsiTheme="minorHAnsi" w:cstheme="minorHAnsi"/>
        </w:rPr>
      </w:pPr>
    </w:p>
    <w:p w14:paraId="357473A7" w14:textId="141F845C" w:rsidR="4ECE1333" w:rsidRPr="000E55C1" w:rsidRDefault="4ECE1333" w:rsidP="0599D675">
      <w:pPr>
        <w:pStyle w:val="Heading1"/>
        <w:rPr>
          <w:rFonts w:asciiTheme="minorHAnsi" w:hAnsiTheme="minorHAnsi" w:cstheme="minorHAnsi"/>
        </w:rPr>
      </w:pPr>
      <w:r w:rsidRPr="000E55C1">
        <w:rPr>
          <w:rFonts w:asciiTheme="minorHAnsi" w:hAnsiTheme="minorHAnsi" w:cstheme="minorHAnsi"/>
        </w:rPr>
        <w:t>Energy demand reduction: a key policy action to achieve rapid national decarbonisation while maintaining quality of life</w:t>
      </w:r>
    </w:p>
    <w:p w14:paraId="4A98B963" w14:textId="77777777" w:rsidR="009627EA" w:rsidRPr="000E55C1" w:rsidRDefault="009627EA">
      <w:pPr>
        <w:rPr>
          <w:rStyle w:val="normaltextrun"/>
          <w:rFonts w:cstheme="minorHAnsi"/>
          <w:color w:val="2E74B5"/>
          <w:sz w:val="32"/>
          <w:szCs w:val="32"/>
          <w:bdr w:val="none" w:sz="0" w:space="0" w:color="auto" w:frame="1"/>
        </w:rPr>
      </w:pPr>
    </w:p>
    <w:p w14:paraId="600CF643" w14:textId="77777777" w:rsidR="009627EA" w:rsidRPr="000E55C1" w:rsidRDefault="009627EA">
      <w:pPr>
        <w:rPr>
          <w:rStyle w:val="normaltextrun"/>
          <w:rFonts w:cstheme="minorHAnsi"/>
          <w:color w:val="2E74B5"/>
          <w:sz w:val="32"/>
          <w:szCs w:val="32"/>
          <w:bdr w:val="none" w:sz="0" w:space="0" w:color="auto" w:frame="1"/>
        </w:rPr>
      </w:pPr>
      <w:r w:rsidRPr="000E55C1">
        <w:rPr>
          <w:rStyle w:val="normaltextrun"/>
          <w:rFonts w:cstheme="minorHAnsi"/>
          <w:color w:val="2E74B5"/>
          <w:sz w:val="32"/>
          <w:szCs w:val="32"/>
          <w:bdr w:val="none" w:sz="0" w:space="0" w:color="auto" w:frame="1"/>
        </w:rPr>
        <w:t>Authors and affiliations</w:t>
      </w:r>
    </w:p>
    <w:p w14:paraId="2E697D1B" w14:textId="76C2276C" w:rsidR="00B46E58" w:rsidRPr="000E55C1" w:rsidRDefault="00B46E58" w:rsidP="00F75044">
      <w:pPr>
        <w:pStyle w:val="NoSpacing"/>
        <w:rPr>
          <w:rStyle w:val="normaltextrun"/>
          <w:rFonts w:eastAsia="Times New Roman" w:cstheme="minorHAnsi"/>
          <w:lang w:eastAsia="en-GB"/>
        </w:rPr>
      </w:pPr>
      <w:r w:rsidRPr="000E55C1">
        <w:rPr>
          <w:rStyle w:val="normaltextrun"/>
          <w:rFonts w:eastAsia="Times New Roman" w:cstheme="minorHAnsi"/>
          <w:lang w:eastAsia="en-GB"/>
        </w:rPr>
        <w:t>John Barrett, Steve Pye, Sam Betts-Davies, Oliver Broad, James Price, Nick Eyre, Jillian Anable, Christian Brand, George Bennett, Rachel Carr-Whitworth, Alice Garvey, Jannik Giesekam, Greg Marsden, Jonathan Norman,</w:t>
      </w:r>
      <w:r w:rsidR="006F799C" w:rsidRPr="000E55C1">
        <w:rPr>
          <w:rStyle w:val="normaltextrun"/>
          <w:rFonts w:eastAsia="Times New Roman" w:cstheme="minorHAnsi"/>
          <w:lang w:eastAsia="en-GB"/>
        </w:rPr>
        <w:t xml:space="preserve"> Tadj Oreszczyn, </w:t>
      </w:r>
      <w:r w:rsidRPr="000E55C1">
        <w:rPr>
          <w:rStyle w:val="normaltextrun"/>
          <w:rFonts w:eastAsia="Times New Roman" w:cstheme="minorHAnsi"/>
          <w:lang w:eastAsia="en-GB"/>
        </w:rPr>
        <w:t xml:space="preserve">Paul Ruyssevelt, Kate Scott </w:t>
      </w:r>
    </w:p>
    <w:p w14:paraId="06CAAED6" w14:textId="28A1EF02" w:rsidR="00B46E58" w:rsidRPr="000E55C1" w:rsidRDefault="00B46E58" w:rsidP="00F75044">
      <w:pPr>
        <w:pStyle w:val="NoSpacing"/>
        <w:rPr>
          <w:rStyle w:val="normaltextrun"/>
          <w:rFonts w:eastAsia="Times New Roman" w:cstheme="minorHAnsi"/>
          <w:lang w:eastAsia="en-GB"/>
        </w:rPr>
      </w:pPr>
    </w:p>
    <w:p w14:paraId="37F9CD3F" w14:textId="5AC0F627" w:rsidR="00F75044" w:rsidRPr="000E55C1" w:rsidRDefault="00F75044" w:rsidP="00F75044">
      <w:pPr>
        <w:pStyle w:val="NoSpacing"/>
        <w:rPr>
          <w:rStyle w:val="normaltextrun"/>
          <w:rFonts w:eastAsia="Times New Roman" w:cstheme="minorHAnsi"/>
          <w:lang w:eastAsia="en-GB"/>
        </w:rPr>
      </w:pPr>
      <w:r w:rsidRPr="000E55C1">
        <w:rPr>
          <w:rStyle w:val="normaltextrun"/>
          <w:rFonts w:eastAsia="Times New Roman" w:cstheme="minorHAnsi"/>
          <w:lang w:eastAsia="en-GB"/>
        </w:rPr>
        <w:t xml:space="preserve">Correspondence to: </w:t>
      </w:r>
      <w:hyperlink r:id="rId11" w:history="1">
        <w:r w:rsidR="006F799C" w:rsidRPr="000E55C1">
          <w:rPr>
            <w:rStyle w:val="Hyperlink"/>
            <w:rFonts w:eastAsia="Times New Roman" w:cstheme="minorHAnsi"/>
            <w:lang w:eastAsia="en-GB"/>
          </w:rPr>
          <w:t>j.r.barrett@leeds.ac.uk</w:t>
        </w:r>
      </w:hyperlink>
    </w:p>
    <w:p w14:paraId="759D2713" w14:textId="37B01F71" w:rsidR="006F799C" w:rsidRPr="000E55C1" w:rsidRDefault="006F799C" w:rsidP="00F75044">
      <w:pPr>
        <w:pStyle w:val="NoSpacing"/>
        <w:rPr>
          <w:rStyle w:val="normaltextrun"/>
          <w:rFonts w:eastAsia="Times New Roman" w:cstheme="minorHAnsi"/>
          <w:lang w:eastAsia="en-GB"/>
        </w:rPr>
      </w:pPr>
    </w:p>
    <w:p w14:paraId="7AB313C1" w14:textId="77777777" w:rsidR="006F799C" w:rsidRPr="000E55C1" w:rsidRDefault="006F799C" w:rsidP="00F75044">
      <w:pPr>
        <w:pStyle w:val="NoSpacing"/>
        <w:rPr>
          <w:rStyle w:val="normaltextrun"/>
          <w:rFonts w:eastAsia="Times New Roman" w:cstheme="minorHAnsi"/>
          <w:lang w:eastAsia="en-GB"/>
        </w:rPr>
      </w:pPr>
    </w:p>
    <w:p w14:paraId="5EA8A924" w14:textId="77777777" w:rsidR="009627EA" w:rsidRPr="000E55C1" w:rsidRDefault="009627EA">
      <w:pPr>
        <w:rPr>
          <w:rStyle w:val="normaltextrun"/>
          <w:rFonts w:eastAsia="Times New Roman" w:cstheme="minorHAnsi"/>
          <w:lang w:eastAsia="en-GB"/>
        </w:rPr>
      </w:pPr>
    </w:p>
    <w:p w14:paraId="076DA306" w14:textId="744FAFF5" w:rsidR="009627EA" w:rsidRPr="000E55C1" w:rsidRDefault="009627EA">
      <w:pPr>
        <w:rPr>
          <w:rStyle w:val="normaltextrun"/>
          <w:rFonts w:cstheme="minorHAnsi"/>
          <w:color w:val="2E74B5"/>
          <w:sz w:val="32"/>
          <w:szCs w:val="32"/>
          <w:bdr w:val="none" w:sz="0" w:space="0" w:color="auto" w:frame="1"/>
        </w:rPr>
      </w:pPr>
      <w:r w:rsidRPr="000E55C1">
        <w:rPr>
          <w:rStyle w:val="normaltextrun"/>
          <w:rFonts w:cstheme="minorHAnsi"/>
          <w:color w:val="2E74B5"/>
          <w:sz w:val="32"/>
          <w:szCs w:val="32"/>
          <w:bdr w:val="none" w:sz="0" w:space="0" w:color="auto" w:frame="1"/>
        </w:rPr>
        <w:t>Table of Contents</w:t>
      </w:r>
    </w:p>
    <w:p w14:paraId="301E3B12" w14:textId="12CCFF21" w:rsidR="007E0E5D" w:rsidRPr="000E55C1" w:rsidRDefault="007E0E5D">
      <w:pPr>
        <w:rPr>
          <w:rStyle w:val="normaltextrun"/>
          <w:rFonts w:cstheme="minorHAnsi"/>
          <w:color w:val="2E74B5"/>
          <w:sz w:val="32"/>
          <w:szCs w:val="32"/>
          <w:bdr w:val="none" w:sz="0" w:space="0" w:color="auto" w:frame="1"/>
        </w:rPr>
      </w:pPr>
    </w:p>
    <w:p w14:paraId="2B001E2F" w14:textId="621C99DA" w:rsidR="00C35171" w:rsidRDefault="007E0E5D">
      <w:pPr>
        <w:pStyle w:val="TOC1"/>
        <w:tabs>
          <w:tab w:val="right" w:leader="dot" w:pos="9282"/>
        </w:tabs>
        <w:rPr>
          <w:rFonts w:eastAsiaTheme="minorEastAsia"/>
          <w:noProof/>
          <w:lang w:eastAsia="en-GB"/>
        </w:rPr>
      </w:pPr>
      <w:r w:rsidRPr="000E55C1">
        <w:rPr>
          <w:rStyle w:val="normaltextrun"/>
          <w:rFonts w:cstheme="minorHAnsi"/>
          <w:color w:val="2E74B5"/>
          <w:sz w:val="32"/>
          <w:szCs w:val="32"/>
          <w:bdr w:val="none" w:sz="0" w:space="0" w:color="auto" w:frame="1"/>
        </w:rPr>
        <w:fldChar w:fldCharType="begin"/>
      </w:r>
      <w:r w:rsidRPr="000E55C1">
        <w:rPr>
          <w:rStyle w:val="normaltextrun"/>
          <w:rFonts w:cstheme="minorHAnsi"/>
          <w:color w:val="2E74B5"/>
          <w:sz w:val="32"/>
          <w:szCs w:val="32"/>
          <w:bdr w:val="none" w:sz="0" w:space="0" w:color="auto" w:frame="1"/>
        </w:rPr>
        <w:instrText xml:space="preserve"> TOC \h \z \u \t "Heading 2,1" </w:instrText>
      </w:r>
      <w:r w:rsidRPr="000E55C1">
        <w:rPr>
          <w:rStyle w:val="normaltextrun"/>
          <w:rFonts w:cstheme="minorHAnsi"/>
          <w:color w:val="2E74B5"/>
          <w:sz w:val="32"/>
          <w:szCs w:val="32"/>
          <w:bdr w:val="none" w:sz="0" w:space="0" w:color="auto" w:frame="1"/>
        </w:rPr>
        <w:fldChar w:fldCharType="separate"/>
      </w:r>
      <w:hyperlink w:anchor="_Toc87453377" w:history="1">
        <w:r w:rsidR="00C35171" w:rsidRPr="000F56DD">
          <w:rPr>
            <w:rStyle w:val="Hyperlink"/>
            <w:rFonts w:cstheme="minorHAnsi"/>
            <w:noProof/>
          </w:rPr>
          <w:t>SI 1 – UK Energy Demand</w:t>
        </w:r>
        <w:r w:rsidR="00C35171">
          <w:rPr>
            <w:noProof/>
            <w:webHidden/>
          </w:rPr>
          <w:tab/>
        </w:r>
        <w:r w:rsidR="00C35171">
          <w:rPr>
            <w:noProof/>
            <w:webHidden/>
          </w:rPr>
          <w:fldChar w:fldCharType="begin"/>
        </w:r>
        <w:r w:rsidR="00C35171">
          <w:rPr>
            <w:noProof/>
            <w:webHidden/>
          </w:rPr>
          <w:instrText xml:space="preserve"> PAGEREF _Toc87453377 \h </w:instrText>
        </w:r>
        <w:r w:rsidR="00C35171">
          <w:rPr>
            <w:noProof/>
            <w:webHidden/>
          </w:rPr>
        </w:r>
        <w:r w:rsidR="00C35171">
          <w:rPr>
            <w:noProof/>
            <w:webHidden/>
          </w:rPr>
          <w:fldChar w:fldCharType="separate"/>
        </w:r>
        <w:r w:rsidR="00C35171">
          <w:rPr>
            <w:noProof/>
            <w:webHidden/>
          </w:rPr>
          <w:t>2</w:t>
        </w:r>
        <w:r w:rsidR="00C35171">
          <w:rPr>
            <w:noProof/>
            <w:webHidden/>
          </w:rPr>
          <w:fldChar w:fldCharType="end"/>
        </w:r>
      </w:hyperlink>
    </w:p>
    <w:p w14:paraId="3E92BBEE" w14:textId="3383A55A" w:rsidR="00C35171" w:rsidRDefault="00760A7F">
      <w:pPr>
        <w:pStyle w:val="TOC1"/>
        <w:tabs>
          <w:tab w:val="right" w:leader="dot" w:pos="9282"/>
        </w:tabs>
        <w:rPr>
          <w:rFonts w:eastAsiaTheme="minorEastAsia"/>
          <w:noProof/>
          <w:lang w:eastAsia="en-GB"/>
        </w:rPr>
      </w:pPr>
      <w:hyperlink w:anchor="_Toc87453378" w:history="1">
        <w:r w:rsidR="00C35171" w:rsidRPr="000F56DD">
          <w:rPr>
            <w:rStyle w:val="Hyperlink"/>
            <w:rFonts w:cstheme="minorHAnsi"/>
            <w:noProof/>
          </w:rPr>
          <w:t>SI 2 - Relevant analysis of energy demand scenarios at the global and national level</w:t>
        </w:r>
        <w:r w:rsidR="00C35171">
          <w:rPr>
            <w:noProof/>
            <w:webHidden/>
          </w:rPr>
          <w:tab/>
        </w:r>
        <w:r w:rsidR="00C35171">
          <w:rPr>
            <w:noProof/>
            <w:webHidden/>
          </w:rPr>
          <w:fldChar w:fldCharType="begin"/>
        </w:r>
        <w:r w:rsidR="00C35171">
          <w:rPr>
            <w:noProof/>
            <w:webHidden/>
          </w:rPr>
          <w:instrText xml:space="preserve"> PAGEREF _Toc87453378 \h </w:instrText>
        </w:r>
        <w:r w:rsidR="00C35171">
          <w:rPr>
            <w:noProof/>
            <w:webHidden/>
          </w:rPr>
        </w:r>
        <w:r w:rsidR="00C35171">
          <w:rPr>
            <w:noProof/>
            <w:webHidden/>
          </w:rPr>
          <w:fldChar w:fldCharType="separate"/>
        </w:r>
        <w:r w:rsidR="00C35171">
          <w:rPr>
            <w:noProof/>
            <w:webHidden/>
          </w:rPr>
          <w:t>4</w:t>
        </w:r>
        <w:r w:rsidR="00C35171">
          <w:rPr>
            <w:noProof/>
            <w:webHidden/>
          </w:rPr>
          <w:fldChar w:fldCharType="end"/>
        </w:r>
      </w:hyperlink>
    </w:p>
    <w:p w14:paraId="1E405E8C" w14:textId="3B1E8B04" w:rsidR="00C35171" w:rsidRDefault="00760A7F">
      <w:pPr>
        <w:pStyle w:val="TOC1"/>
        <w:tabs>
          <w:tab w:val="right" w:leader="dot" w:pos="9282"/>
        </w:tabs>
        <w:rPr>
          <w:rFonts w:eastAsiaTheme="minorEastAsia"/>
          <w:noProof/>
          <w:lang w:eastAsia="en-GB"/>
        </w:rPr>
      </w:pPr>
      <w:hyperlink w:anchor="_Toc87453379" w:history="1">
        <w:r w:rsidR="00C35171" w:rsidRPr="000F56DD">
          <w:rPr>
            <w:rStyle w:val="Hyperlink"/>
            <w:rFonts w:cstheme="minorHAnsi"/>
            <w:noProof/>
          </w:rPr>
          <w:t>SI 3 – Scenario narrative</w:t>
        </w:r>
        <w:r w:rsidR="00C35171">
          <w:rPr>
            <w:noProof/>
            <w:webHidden/>
          </w:rPr>
          <w:tab/>
        </w:r>
        <w:r w:rsidR="00C35171">
          <w:rPr>
            <w:noProof/>
            <w:webHidden/>
          </w:rPr>
          <w:fldChar w:fldCharType="begin"/>
        </w:r>
        <w:r w:rsidR="00C35171">
          <w:rPr>
            <w:noProof/>
            <w:webHidden/>
          </w:rPr>
          <w:instrText xml:space="preserve"> PAGEREF _Toc87453379 \h </w:instrText>
        </w:r>
        <w:r w:rsidR="00C35171">
          <w:rPr>
            <w:noProof/>
            <w:webHidden/>
          </w:rPr>
        </w:r>
        <w:r w:rsidR="00C35171">
          <w:rPr>
            <w:noProof/>
            <w:webHidden/>
          </w:rPr>
          <w:fldChar w:fldCharType="separate"/>
        </w:r>
        <w:r w:rsidR="00C35171">
          <w:rPr>
            <w:noProof/>
            <w:webHidden/>
          </w:rPr>
          <w:t>8</w:t>
        </w:r>
        <w:r w:rsidR="00C35171">
          <w:rPr>
            <w:noProof/>
            <w:webHidden/>
          </w:rPr>
          <w:fldChar w:fldCharType="end"/>
        </w:r>
      </w:hyperlink>
    </w:p>
    <w:p w14:paraId="2677E678" w14:textId="18B3D2C0" w:rsidR="00C35171" w:rsidRDefault="00760A7F">
      <w:pPr>
        <w:pStyle w:val="TOC1"/>
        <w:tabs>
          <w:tab w:val="right" w:leader="dot" w:pos="9282"/>
        </w:tabs>
        <w:rPr>
          <w:rFonts w:eastAsiaTheme="minorEastAsia"/>
          <w:noProof/>
          <w:lang w:eastAsia="en-GB"/>
        </w:rPr>
      </w:pPr>
      <w:hyperlink w:anchor="_Toc87453380" w:history="1">
        <w:r w:rsidR="00C35171" w:rsidRPr="000F56DD">
          <w:rPr>
            <w:rStyle w:val="Hyperlink"/>
            <w:rFonts w:cstheme="minorHAnsi"/>
            <w:noProof/>
          </w:rPr>
          <w:t>SI 4 – Sectoral modelling assumptions</w:t>
        </w:r>
        <w:r w:rsidR="00C35171">
          <w:rPr>
            <w:noProof/>
            <w:webHidden/>
          </w:rPr>
          <w:tab/>
        </w:r>
        <w:r w:rsidR="00C35171">
          <w:rPr>
            <w:noProof/>
            <w:webHidden/>
          </w:rPr>
          <w:fldChar w:fldCharType="begin"/>
        </w:r>
        <w:r w:rsidR="00C35171">
          <w:rPr>
            <w:noProof/>
            <w:webHidden/>
          </w:rPr>
          <w:instrText xml:space="preserve"> PAGEREF _Toc87453380 \h </w:instrText>
        </w:r>
        <w:r w:rsidR="00C35171">
          <w:rPr>
            <w:noProof/>
            <w:webHidden/>
          </w:rPr>
        </w:r>
        <w:r w:rsidR="00C35171">
          <w:rPr>
            <w:noProof/>
            <w:webHidden/>
          </w:rPr>
          <w:fldChar w:fldCharType="separate"/>
        </w:r>
        <w:r w:rsidR="00C35171">
          <w:rPr>
            <w:noProof/>
            <w:webHidden/>
          </w:rPr>
          <w:t>15</w:t>
        </w:r>
        <w:r w:rsidR="00C35171">
          <w:rPr>
            <w:noProof/>
            <w:webHidden/>
          </w:rPr>
          <w:fldChar w:fldCharType="end"/>
        </w:r>
      </w:hyperlink>
    </w:p>
    <w:p w14:paraId="60D1599E" w14:textId="1F220B89" w:rsidR="00C35171" w:rsidRDefault="00760A7F">
      <w:pPr>
        <w:pStyle w:val="TOC1"/>
        <w:tabs>
          <w:tab w:val="right" w:leader="dot" w:pos="9282"/>
        </w:tabs>
        <w:rPr>
          <w:rFonts w:eastAsiaTheme="minorEastAsia"/>
          <w:noProof/>
          <w:lang w:eastAsia="en-GB"/>
        </w:rPr>
      </w:pPr>
      <w:hyperlink w:anchor="_Toc87453381" w:history="1">
        <w:r w:rsidR="00C35171" w:rsidRPr="000F56DD">
          <w:rPr>
            <w:rStyle w:val="Hyperlink"/>
            <w:rFonts w:cstheme="minorHAnsi"/>
            <w:noProof/>
          </w:rPr>
          <w:t>SI 5 – Carbon budget modelling assumptions</w:t>
        </w:r>
        <w:r w:rsidR="00C35171">
          <w:rPr>
            <w:noProof/>
            <w:webHidden/>
          </w:rPr>
          <w:tab/>
        </w:r>
        <w:r w:rsidR="00C35171">
          <w:rPr>
            <w:noProof/>
            <w:webHidden/>
          </w:rPr>
          <w:fldChar w:fldCharType="begin"/>
        </w:r>
        <w:r w:rsidR="00C35171">
          <w:rPr>
            <w:noProof/>
            <w:webHidden/>
          </w:rPr>
          <w:instrText xml:space="preserve"> PAGEREF _Toc87453381 \h </w:instrText>
        </w:r>
        <w:r w:rsidR="00C35171">
          <w:rPr>
            <w:noProof/>
            <w:webHidden/>
          </w:rPr>
        </w:r>
        <w:r w:rsidR="00C35171">
          <w:rPr>
            <w:noProof/>
            <w:webHidden/>
          </w:rPr>
          <w:fldChar w:fldCharType="separate"/>
        </w:r>
        <w:r w:rsidR="00C35171">
          <w:rPr>
            <w:noProof/>
            <w:webHidden/>
          </w:rPr>
          <w:t>29</w:t>
        </w:r>
        <w:r w:rsidR="00C35171">
          <w:rPr>
            <w:noProof/>
            <w:webHidden/>
          </w:rPr>
          <w:fldChar w:fldCharType="end"/>
        </w:r>
      </w:hyperlink>
    </w:p>
    <w:p w14:paraId="5A67DBF0" w14:textId="4BE0E6F3" w:rsidR="00C35171" w:rsidRDefault="00760A7F">
      <w:pPr>
        <w:pStyle w:val="TOC1"/>
        <w:tabs>
          <w:tab w:val="right" w:leader="dot" w:pos="9282"/>
        </w:tabs>
        <w:rPr>
          <w:rFonts w:eastAsiaTheme="minorEastAsia"/>
          <w:noProof/>
          <w:lang w:eastAsia="en-GB"/>
        </w:rPr>
      </w:pPr>
      <w:hyperlink w:anchor="_Toc87453382" w:history="1">
        <w:r w:rsidR="00C35171" w:rsidRPr="000F56DD">
          <w:rPr>
            <w:rStyle w:val="Hyperlink"/>
            <w:rFonts w:cstheme="minorHAnsi"/>
            <w:noProof/>
          </w:rPr>
          <w:t>References</w:t>
        </w:r>
        <w:r w:rsidR="00C35171">
          <w:rPr>
            <w:noProof/>
            <w:webHidden/>
          </w:rPr>
          <w:tab/>
        </w:r>
        <w:r w:rsidR="00C35171">
          <w:rPr>
            <w:noProof/>
            <w:webHidden/>
          </w:rPr>
          <w:fldChar w:fldCharType="begin"/>
        </w:r>
        <w:r w:rsidR="00C35171">
          <w:rPr>
            <w:noProof/>
            <w:webHidden/>
          </w:rPr>
          <w:instrText xml:space="preserve"> PAGEREF _Toc87453382 \h </w:instrText>
        </w:r>
        <w:r w:rsidR="00C35171">
          <w:rPr>
            <w:noProof/>
            <w:webHidden/>
          </w:rPr>
        </w:r>
        <w:r w:rsidR="00C35171">
          <w:rPr>
            <w:noProof/>
            <w:webHidden/>
          </w:rPr>
          <w:fldChar w:fldCharType="separate"/>
        </w:r>
        <w:r w:rsidR="00C35171">
          <w:rPr>
            <w:noProof/>
            <w:webHidden/>
          </w:rPr>
          <w:t>30</w:t>
        </w:r>
        <w:r w:rsidR="00C35171">
          <w:rPr>
            <w:noProof/>
            <w:webHidden/>
          </w:rPr>
          <w:fldChar w:fldCharType="end"/>
        </w:r>
      </w:hyperlink>
    </w:p>
    <w:p w14:paraId="40B2C427" w14:textId="634104F5" w:rsidR="002C4C13" w:rsidRPr="002C4C13" w:rsidRDefault="007E0E5D" w:rsidP="002C4C13">
      <w:pPr>
        <w:rPr>
          <w:rFonts w:cstheme="minorHAnsi"/>
          <w:color w:val="2E74B5"/>
          <w:sz w:val="32"/>
          <w:szCs w:val="32"/>
          <w:bdr w:val="none" w:sz="0" w:space="0" w:color="auto" w:frame="1"/>
        </w:rPr>
        <w:sectPr w:rsidR="002C4C13" w:rsidRPr="002C4C13" w:rsidSect="00615EBB">
          <w:type w:val="continuous"/>
          <w:pgSz w:w="11900" w:h="16840"/>
          <w:pgMar w:top="1701" w:right="1304" w:bottom="1134" w:left="1304" w:header="720" w:footer="720" w:gutter="0"/>
          <w:cols w:space="720"/>
          <w:titlePg/>
          <w:docGrid w:linePitch="360"/>
        </w:sectPr>
      </w:pPr>
      <w:r w:rsidRPr="000E55C1">
        <w:rPr>
          <w:rStyle w:val="normaltextrun"/>
          <w:rFonts w:cstheme="minorHAnsi"/>
          <w:color w:val="2E74B5"/>
          <w:sz w:val="32"/>
          <w:szCs w:val="32"/>
          <w:bdr w:val="none" w:sz="0" w:space="0" w:color="auto" w:frame="1"/>
        </w:rPr>
        <w:fldChar w:fldCharType="end"/>
      </w:r>
      <w:bookmarkStart w:id="0" w:name="_Toc87453377"/>
    </w:p>
    <w:p w14:paraId="7920961F" w14:textId="4813F535" w:rsidR="009627EA" w:rsidRPr="000E55C1" w:rsidRDefault="009627EA" w:rsidP="009627EA">
      <w:pPr>
        <w:pStyle w:val="Heading2"/>
        <w:rPr>
          <w:rFonts w:asciiTheme="minorHAnsi" w:hAnsiTheme="minorHAnsi" w:cstheme="minorHAnsi"/>
        </w:rPr>
      </w:pPr>
      <w:r w:rsidRPr="000E55C1">
        <w:rPr>
          <w:rFonts w:asciiTheme="minorHAnsi" w:hAnsiTheme="minorHAnsi" w:cstheme="minorHAnsi"/>
        </w:rPr>
        <w:lastRenderedPageBreak/>
        <w:t>SI 1 – UK Energy Demand</w:t>
      </w:r>
      <w:bookmarkEnd w:id="0"/>
    </w:p>
    <w:p w14:paraId="722C26AF" w14:textId="77777777" w:rsidR="009627EA" w:rsidRPr="000E55C1" w:rsidRDefault="009627EA">
      <w:pPr>
        <w:rPr>
          <w:rFonts w:cstheme="minorHAnsi"/>
        </w:rPr>
      </w:pPr>
    </w:p>
    <w:p w14:paraId="22D4F87E" w14:textId="77777777" w:rsidR="009627EA" w:rsidRPr="000E55C1" w:rsidRDefault="009627EA" w:rsidP="009627EA">
      <w:pPr>
        <w:rPr>
          <w:rStyle w:val="normaltextrun"/>
          <w:rFonts w:eastAsia="Times New Roman" w:cstheme="minorHAnsi"/>
          <w:lang w:eastAsia="en-GB"/>
        </w:rPr>
      </w:pPr>
      <w:r w:rsidRPr="000E55C1">
        <w:rPr>
          <w:rStyle w:val="normaltextrun"/>
          <w:rFonts w:eastAsia="Times New Roman" w:cstheme="minorHAnsi"/>
          <w:lang w:eastAsia="en-GB"/>
        </w:rPr>
        <w:t xml:space="preserve">The UK Government currently has no comprehensive plan on how to reduce the UK’s energy demand. A comprehensive plan would include a clear projection of energy demand and a sense on how individual strategies and policies would reduce this demand over time. Without a reduction in energy demand, the burden is placed on an even more rapid roll out of renewables to meet high levels of energy demand as well as the reliance on technologies yet to be fully demonstrated e.g. carbon capture and storage. </w:t>
      </w:r>
    </w:p>
    <w:tbl>
      <w:tblPr>
        <w:tblStyle w:val="TableGrid"/>
        <w:tblW w:w="0" w:type="auto"/>
        <w:tblBorders>
          <w:top w:val="none" w:sz="4" w:space="0" w:color="000000" w:themeColor="text1"/>
          <w:left w:val="none" w:sz="4" w:space="0" w:color="000000" w:themeColor="text1"/>
          <w:bottom w:val="none" w:sz="4" w:space="0" w:color="000000" w:themeColor="text1"/>
          <w:right w:val="none" w:sz="4" w:space="0" w:color="000000" w:themeColor="text1"/>
          <w:insideH w:val="none" w:sz="4" w:space="0" w:color="000000" w:themeColor="text1"/>
          <w:insideV w:val="none" w:sz="4" w:space="0" w:color="000000" w:themeColor="text1"/>
        </w:tblBorders>
        <w:tblLook w:val="04A0" w:firstRow="1" w:lastRow="0" w:firstColumn="1" w:lastColumn="0" w:noHBand="0" w:noVBand="1"/>
      </w:tblPr>
      <w:tblGrid>
        <w:gridCol w:w="4560"/>
        <w:gridCol w:w="4732"/>
      </w:tblGrid>
      <w:tr w:rsidR="009627EA" w:rsidRPr="000E55C1" w14:paraId="7CE55B03" w14:textId="77777777" w:rsidTr="009627EA">
        <w:tc>
          <w:tcPr>
            <w:tcW w:w="4556" w:type="dxa"/>
          </w:tcPr>
          <w:p w14:paraId="5F4DC96C" w14:textId="77777777" w:rsidR="009627EA" w:rsidRPr="000E55C1" w:rsidRDefault="009627EA" w:rsidP="009627EA">
            <w:pPr>
              <w:rPr>
                <w:rFonts w:asciiTheme="minorHAnsi" w:hAnsiTheme="minorHAnsi" w:cstheme="minorHAnsi"/>
              </w:rPr>
            </w:pPr>
            <w:r w:rsidRPr="000E55C1">
              <w:rPr>
                <w:rFonts w:asciiTheme="minorHAnsi" w:hAnsiTheme="minorHAnsi" w:cstheme="minorHAnsi"/>
              </w:rPr>
              <w:t>a)</w:t>
            </w:r>
          </w:p>
        </w:tc>
        <w:tc>
          <w:tcPr>
            <w:tcW w:w="4726" w:type="dxa"/>
          </w:tcPr>
          <w:p w14:paraId="4635114C" w14:textId="77777777" w:rsidR="009627EA" w:rsidRPr="000E55C1" w:rsidRDefault="009627EA" w:rsidP="009627EA">
            <w:pPr>
              <w:rPr>
                <w:rFonts w:asciiTheme="minorHAnsi" w:hAnsiTheme="minorHAnsi" w:cstheme="minorHAnsi"/>
              </w:rPr>
            </w:pPr>
            <w:r w:rsidRPr="000E55C1">
              <w:rPr>
                <w:rFonts w:asciiTheme="minorHAnsi" w:hAnsiTheme="minorHAnsi" w:cstheme="minorHAnsi"/>
              </w:rPr>
              <w:t>b)</w:t>
            </w:r>
          </w:p>
        </w:tc>
      </w:tr>
      <w:tr w:rsidR="009627EA" w:rsidRPr="000E55C1" w14:paraId="7B329E13" w14:textId="77777777" w:rsidTr="009627EA">
        <w:trPr>
          <w:trHeight w:val="2730"/>
        </w:trPr>
        <w:tc>
          <w:tcPr>
            <w:tcW w:w="3598" w:type="dxa"/>
          </w:tcPr>
          <w:p w14:paraId="05E16A18" w14:textId="77777777" w:rsidR="009627EA" w:rsidRPr="000E55C1" w:rsidRDefault="009627EA" w:rsidP="009627EA">
            <w:pPr>
              <w:rPr>
                <w:rStyle w:val="normaltextrun"/>
                <w:rFonts w:asciiTheme="minorHAnsi" w:eastAsia="Times New Roman" w:hAnsiTheme="minorHAnsi" w:cstheme="minorHAnsi"/>
                <w:sz w:val="22"/>
                <w:szCs w:val="22"/>
                <w:lang w:eastAsia="en-GB"/>
              </w:rPr>
            </w:pPr>
            <w:r w:rsidRPr="000E55C1">
              <w:rPr>
                <w:rFonts w:cstheme="minorHAnsi"/>
                <w:noProof/>
                <w:lang w:eastAsia="en-GB"/>
              </w:rPr>
              <w:drawing>
                <wp:inline distT="0" distB="0" distL="0" distR="0" wp14:anchorId="79572F61" wp14:editId="20C19B3E">
                  <wp:extent cx="2822657" cy="166878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2822657" cy="1668780"/>
                          </a:xfrm>
                          <a:prstGeom prst="rect">
                            <a:avLst/>
                          </a:prstGeom>
                        </pic:spPr>
                      </pic:pic>
                    </a:graphicData>
                  </a:graphic>
                </wp:inline>
              </w:drawing>
            </w:r>
          </w:p>
        </w:tc>
        <w:tc>
          <w:tcPr>
            <w:tcW w:w="5684" w:type="dxa"/>
          </w:tcPr>
          <w:p w14:paraId="33AFD2B1" w14:textId="77777777" w:rsidR="009627EA" w:rsidRPr="000E55C1" w:rsidRDefault="009627EA" w:rsidP="009627EA">
            <w:pPr>
              <w:rPr>
                <w:rFonts w:asciiTheme="minorHAnsi" w:hAnsiTheme="minorHAnsi" w:cstheme="minorHAnsi"/>
                <w:noProof/>
                <w:lang w:eastAsia="en-GB"/>
              </w:rPr>
            </w:pPr>
            <w:r w:rsidRPr="000E55C1">
              <w:rPr>
                <w:rFonts w:cstheme="minorHAnsi"/>
                <w:noProof/>
                <w:lang w:eastAsia="en-GB"/>
              </w:rPr>
              <w:drawing>
                <wp:inline distT="0" distB="0" distL="0" distR="0" wp14:anchorId="3E6D6EDE" wp14:editId="07431038">
                  <wp:extent cx="2930174" cy="1722120"/>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3">
                            <a:extLst>
                              <a:ext uri="{28A0092B-C50C-407E-A947-70E740481C1C}">
                                <a14:useLocalDpi xmlns:a14="http://schemas.microsoft.com/office/drawing/2010/main" val="0"/>
                              </a:ext>
                            </a:extLst>
                          </a:blip>
                          <a:stretch>
                            <a:fillRect/>
                          </a:stretch>
                        </pic:blipFill>
                        <pic:spPr>
                          <a:xfrm>
                            <a:off x="0" y="0"/>
                            <a:ext cx="2930174" cy="1722120"/>
                          </a:xfrm>
                          <a:prstGeom prst="rect">
                            <a:avLst/>
                          </a:prstGeom>
                        </pic:spPr>
                      </pic:pic>
                    </a:graphicData>
                  </a:graphic>
                </wp:inline>
              </w:drawing>
            </w:r>
          </w:p>
        </w:tc>
      </w:tr>
    </w:tbl>
    <w:p w14:paraId="5FE72D92" w14:textId="4515B6FD" w:rsidR="009627EA" w:rsidRPr="000E55C1" w:rsidRDefault="00BB55E4" w:rsidP="009627EA">
      <w:pPr>
        <w:rPr>
          <w:rFonts w:cstheme="minorHAnsi"/>
          <w:b/>
          <w:bCs/>
          <w:sz w:val="20"/>
          <w:szCs w:val="20"/>
        </w:rPr>
      </w:pPr>
      <w:r w:rsidRPr="000E55C1">
        <w:rPr>
          <w:rFonts w:cstheme="minorHAnsi"/>
          <w:b/>
          <w:bCs/>
          <w:sz w:val="20"/>
          <w:szCs w:val="20"/>
        </w:rPr>
        <w:t xml:space="preserve">Supplementary </w:t>
      </w:r>
      <w:r w:rsidR="00F75044" w:rsidRPr="000E55C1">
        <w:rPr>
          <w:rFonts w:cstheme="minorHAnsi"/>
          <w:b/>
          <w:bCs/>
          <w:sz w:val="20"/>
          <w:szCs w:val="20"/>
        </w:rPr>
        <w:t>Figure 1</w:t>
      </w:r>
      <w:r w:rsidR="009627EA" w:rsidRPr="000E55C1">
        <w:rPr>
          <w:rFonts w:cstheme="minorHAnsi"/>
          <w:b/>
          <w:bCs/>
          <w:sz w:val="20"/>
          <w:szCs w:val="20"/>
        </w:rPr>
        <w:t xml:space="preserve">: a) Total energy demand and b) by sector in the UK (1970-2018) (Source: </w:t>
      </w:r>
      <w:r w:rsidR="00F75044" w:rsidRPr="000E55C1">
        <w:rPr>
          <w:rFonts w:cstheme="minorHAnsi"/>
          <w:b/>
          <w:bCs/>
          <w:sz w:val="20"/>
          <w:szCs w:val="20"/>
        </w:rPr>
        <w:fldChar w:fldCharType="begin" w:fldLock="1"/>
      </w:r>
      <w:r w:rsidR="00090364" w:rsidRPr="000E55C1">
        <w:rPr>
          <w:rFonts w:cstheme="minorHAnsi"/>
          <w:b/>
          <w:bCs/>
          <w:sz w:val="20"/>
          <w:szCs w:val="20"/>
        </w:rPr>
        <w:instrText>ADDIN CSL_CITATION {"citationItems":[{"id":"ITEM-1","itemData":{"author":[{"dropping-particle":"","family":"BEIS","given":"","non-dropping-particle":"","parse-names":false,"suffix":""}],"id":"ITEM-1","issued":{"date-parts":[["2020"]]},"number-of-pages":"1-33","publisher-place":"London","title":"Energy Consumption in the UK 1970 to 2019","type":"report"},"uris":["http://www.mendeley.com/documents/?uuid=1c07272d-86dc-364b-9b77-84823cb29832"]}],"mendeley":{"formattedCitation":"&lt;sup&gt;1&lt;/sup&gt;","manualFormatting":"BEIS, 2020)","plainTextFormattedCitation":"1","previouslyFormattedCitation":"&lt;sup&gt;1&lt;/sup&gt;"},"properties":{"noteIndex":0},"schema":"https://github.com/citation-style-language/schema/raw/master/csl-citation.json"}</w:instrText>
      </w:r>
      <w:r w:rsidR="00F75044" w:rsidRPr="000E55C1">
        <w:rPr>
          <w:rFonts w:cstheme="minorHAnsi"/>
          <w:b/>
          <w:bCs/>
          <w:sz w:val="20"/>
          <w:szCs w:val="20"/>
        </w:rPr>
        <w:fldChar w:fldCharType="separate"/>
      </w:r>
      <w:r w:rsidR="009627EA" w:rsidRPr="000E55C1">
        <w:rPr>
          <w:rFonts w:cstheme="minorHAnsi"/>
          <w:b/>
          <w:bCs/>
          <w:noProof/>
          <w:sz w:val="20"/>
          <w:szCs w:val="20"/>
        </w:rPr>
        <w:t>BEIS, 2020)</w:t>
      </w:r>
      <w:r w:rsidR="00F75044" w:rsidRPr="000E55C1">
        <w:rPr>
          <w:rFonts w:cstheme="minorHAnsi"/>
          <w:b/>
          <w:bCs/>
          <w:sz w:val="20"/>
          <w:szCs w:val="20"/>
        </w:rPr>
        <w:fldChar w:fldCharType="end"/>
      </w:r>
    </w:p>
    <w:p w14:paraId="42CC1ED1" w14:textId="19D3A75D" w:rsidR="009627EA" w:rsidRPr="000E55C1" w:rsidRDefault="009627EA" w:rsidP="009627EA">
      <w:pPr>
        <w:rPr>
          <w:rStyle w:val="normaltextrun"/>
          <w:rFonts w:eastAsia="Times New Roman" w:cstheme="minorHAnsi"/>
          <w:lang w:eastAsia="en-GB"/>
        </w:rPr>
      </w:pPr>
      <w:r w:rsidRPr="000E55C1">
        <w:rPr>
          <w:rStyle w:val="normaltextrun"/>
          <w:rFonts w:eastAsia="Times New Roman" w:cstheme="minorHAnsi"/>
          <w:lang w:eastAsia="en-GB"/>
        </w:rPr>
        <w:t xml:space="preserve">In the last 50 years, the UK’s </w:t>
      </w:r>
      <w:r w:rsidR="00090364" w:rsidRPr="000E55C1">
        <w:rPr>
          <w:rStyle w:val="normaltextrun"/>
          <w:rFonts w:eastAsia="Times New Roman" w:cstheme="minorHAnsi"/>
          <w:lang w:eastAsia="en-GB"/>
        </w:rPr>
        <w:t>energy demand has reduced by 2%</w:t>
      </w:r>
      <w:r w:rsidRPr="000E55C1">
        <w:rPr>
          <w:rStyle w:val="normaltextrun"/>
          <w:rFonts w:eastAsia="Times New Roman" w:cstheme="minorHAnsi"/>
          <w:lang w:eastAsia="en-GB"/>
        </w:rPr>
        <w:fldChar w:fldCharType="begin" w:fldLock="1"/>
      </w:r>
      <w:r w:rsidR="00090364" w:rsidRPr="000E55C1">
        <w:rPr>
          <w:rStyle w:val="normaltextrun"/>
          <w:rFonts w:eastAsia="Times New Roman" w:cstheme="minorHAnsi"/>
          <w:lang w:eastAsia="en-GB"/>
        </w:rPr>
        <w:instrText>ADDIN CSL_CITATION {"citationItems":[{"id":"ITEM-1","itemData":{"author":[{"dropping-particle":"","family":"BEIS","given":"","non-dropping-particle":"","parse-names":false,"suffix":""}],"id":"ITEM-1","issued":{"date-parts":[["2020"]]},"number-of-pages":"1-33","publisher-place":"London","title":"Energy Consumption in the UK 1970 to 2019","type":"report"},"uris":["http://www.mendeley.com/documents/?uuid=1c07272d-86dc-364b-9b77-84823cb29832"]}],"mendeley":{"formattedCitation":"&lt;sup&gt;1&lt;/sup&gt;","plainTextFormattedCitation":"1","previouslyFormattedCitation":"&lt;sup&gt;1&lt;/sup&gt;"},"properties":{"noteIndex":0},"schema":"https://github.com/citation-style-language/schema/raw/master/csl-citation.json"}</w:instrText>
      </w:r>
      <w:r w:rsidRPr="000E55C1">
        <w:rPr>
          <w:rStyle w:val="normaltextrun"/>
          <w:rFonts w:eastAsia="Times New Roman" w:cstheme="minorHAnsi"/>
          <w:vertAlign w:val="superscript"/>
          <w:lang w:eastAsia="en-GB"/>
        </w:rPr>
        <w:fldChar w:fldCharType="separate"/>
      </w:r>
      <w:r w:rsidR="00090364" w:rsidRPr="000E55C1">
        <w:rPr>
          <w:rStyle w:val="normaltextrun"/>
          <w:rFonts w:eastAsia="Times New Roman" w:cstheme="minorHAnsi"/>
          <w:noProof/>
          <w:vertAlign w:val="superscript"/>
          <w:lang w:eastAsia="en-GB"/>
        </w:rPr>
        <w:t>1</w:t>
      </w:r>
      <w:r w:rsidRPr="000E55C1">
        <w:rPr>
          <w:rStyle w:val="normaltextrun"/>
          <w:rFonts w:eastAsia="Times New Roman" w:cstheme="minorHAnsi"/>
          <w:lang w:eastAsia="en-GB"/>
        </w:rPr>
        <w:fldChar w:fldCharType="end"/>
      </w:r>
      <w:r w:rsidRPr="000E55C1">
        <w:rPr>
          <w:rStyle w:val="normaltextrun"/>
          <w:rFonts w:eastAsia="Times New Roman" w:cstheme="minorHAnsi"/>
          <w:lang w:eastAsia="en-GB"/>
        </w:rPr>
        <w:t xml:space="preserve">. In reality, there has been virtually no reduction in energy demand in the UK for 50 years. As can be seen in </w:t>
      </w:r>
      <w:r w:rsidR="00090364" w:rsidRPr="000E55C1">
        <w:rPr>
          <w:rStyle w:val="normaltextrun"/>
          <w:rFonts w:eastAsia="Times New Roman" w:cstheme="minorHAnsi"/>
          <w:lang w:eastAsia="en-GB"/>
        </w:rPr>
        <w:t xml:space="preserve">Supplementary </w:t>
      </w:r>
      <w:r w:rsidRPr="000E55C1">
        <w:rPr>
          <w:rStyle w:val="normaltextrun"/>
          <w:rFonts w:eastAsia="Times New Roman" w:cstheme="minorHAnsi"/>
          <w:lang w:eastAsia="en-GB"/>
        </w:rPr>
        <w:t xml:space="preserve">Figure </w:t>
      </w:r>
      <w:r w:rsidR="006F799C" w:rsidRPr="000E55C1">
        <w:rPr>
          <w:rStyle w:val="normaltextrun"/>
          <w:rFonts w:eastAsia="Times New Roman" w:cstheme="minorHAnsi"/>
          <w:lang w:eastAsia="en-GB"/>
        </w:rPr>
        <w:t>1</w:t>
      </w:r>
      <w:r w:rsidRPr="000E55C1">
        <w:rPr>
          <w:rStyle w:val="normaltextrun"/>
          <w:rFonts w:eastAsia="Times New Roman" w:cstheme="minorHAnsi"/>
          <w:lang w:eastAsia="en-GB"/>
        </w:rPr>
        <w:t>, there have been increases and falls in the total energy demand over this time period. Energy demand was at its high point in 2001 (10% higher than 1971), since then there has been a decline with 2018 being 11% lower than in 2001. However, in recent years these reductions have ceased, with no notable reduction in UK energy demand for the past 6 years.</w:t>
      </w:r>
    </w:p>
    <w:p w14:paraId="2BC71D88" w14:textId="3CBE082B" w:rsidR="009627EA" w:rsidRPr="000E55C1" w:rsidRDefault="009627EA" w:rsidP="009627EA">
      <w:pPr>
        <w:rPr>
          <w:rFonts w:eastAsia="Corbel" w:cstheme="minorHAnsi"/>
        </w:rPr>
      </w:pPr>
      <w:r w:rsidRPr="000E55C1">
        <w:rPr>
          <w:rFonts w:eastAsia="Corbel" w:cstheme="minorHAnsi"/>
        </w:rPr>
        <w:t xml:space="preserve">This has been driven by opposing effects in the demand for energy services and the efficiency with which they are delivered. In the last 30 years, energy efficiency improvements have made the largest contribution to reducing UK emissions, exceeding the combined effects of renewable energy and fuel switching from coal to gas </w:t>
      </w:r>
      <w:r w:rsidRPr="000E55C1">
        <w:rPr>
          <w:rFonts w:eastAsia="Corbel" w:cstheme="minorHAnsi"/>
        </w:rPr>
        <w:fldChar w:fldCharType="begin" w:fldLock="1"/>
      </w:r>
      <w:r w:rsidR="00090364" w:rsidRPr="000E55C1">
        <w:rPr>
          <w:rFonts w:eastAsia="Corbel" w:cstheme="minorHAnsi"/>
        </w:rPr>
        <w:instrText>ADDIN CSL_CITATION {"citationItems":[{"id":"ITEM-1","itemData":{"DOI":"10.1007/s12053-021-09951-2","ISSN":"15706478","abstract":"In April 1989, the UK Prime Minister, Margaret Thatcher, convened a full cabinet meeting on climate change addressed by leading scientists. The presentation on mitigation of carbon dioxide emissions was made by the Head of the Energy Technology Support Unit (ETSU), Ken Currie, and identified the key potential options for mitigation by 2020. In this paper, we compare the mitigation potential identified for each proposed option with the 2019 outturn. The largest mitigation options identified were improved end use energy efficiency across the economy and the generation and use of low carbon electricity. Our analysis finds that these have been the key options adopted. Reductions in primary energy use, resulting from improvements in energy efficiency were concentrated in the period 2005–2012 which in 1989 were widely considered to be ambitious. Decarbonisation of electricity has been achieved by the displacement of coal, initially by gas and more recently by renewable electricity. Renewable electricity has exceeded 1989 expectations in the last 5 years and is now the biggest source of CO2 reductions from electricity generation. The contribution envisaged by nuclear electricity has not occurred, largely due its failure to compete in liberalised generation markets. In all cases, the policy environment has been important. We draw lessons for mitigation options to achieve the goal of net zero emissions in the next 30 years. The contribution of demand side and other modular options will remain crucial, as mass-produced technologies tend to improve more quickly than those requiring large construction projects. Environmental, social and political factors will be important, so analysis should not be a purely techno-economic assessment.","author":[{"dropping-particle":"","family":"Lees","given":"Eoin","non-dropping-particle":"","parse-names":false,"suffix":""},{"dropping-particle":"","family":"Eyre","given":"Nick","non-dropping-particle":"","parse-names":false,"suffix":""}],"container-title":"Energy Efficiency","id":"ITEM-1","issue":"4","issued":{"date-parts":[["2021","4","1"]]},"publisher":"Springer Science and Business Media B.V.","title":"Thirty years of climate mitigation: lessons from the 1989 options appraisal for the UK","type":"article-journal","volume":"14"},"uris":["http://www.mendeley.com/documents/?uuid=6a682585-8a14-367a-91ba-1cd579aaddf9"]}],"mendeley":{"formattedCitation":"&lt;sup&gt;2&lt;/sup&gt;","plainTextFormattedCitation":"2","previouslyFormattedCitation":"&lt;sup&gt;2&lt;/sup&gt;"},"properties":{"noteIndex":0},"schema":"https://github.com/citation-style-language/schema/raw/master/csl-citation.json"}</w:instrText>
      </w:r>
      <w:r w:rsidRPr="000E55C1">
        <w:rPr>
          <w:rFonts w:eastAsia="Corbel" w:cstheme="minorHAnsi"/>
          <w:vertAlign w:val="superscript"/>
        </w:rPr>
        <w:fldChar w:fldCharType="separate"/>
      </w:r>
      <w:r w:rsidR="00090364" w:rsidRPr="000E55C1">
        <w:rPr>
          <w:rFonts w:eastAsia="Corbel" w:cstheme="minorHAnsi"/>
          <w:noProof/>
          <w:vertAlign w:val="superscript"/>
        </w:rPr>
        <w:t>2</w:t>
      </w:r>
      <w:r w:rsidRPr="000E55C1">
        <w:rPr>
          <w:rFonts w:eastAsia="Corbel" w:cstheme="minorHAnsi"/>
        </w:rPr>
        <w:fldChar w:fldCharType="end"/>
      </w:r>
      <w:r w:rsidRPr="000E55C1">
        <w:rPr>
          <w:rFonts w:eastAsia="Corbel" w:cstheme="minorHAnsi"/>
        </w:rPr>
        <w:t xml:space="preserve">. </w:t>
      </w:r>
    </w:p>
    <w:p w14:paraId="10C4A993" w14:textId="77777777" w:rsidR="009627EA" w:rsidRPr="000E55C1" w:rsidRDefault="009627EA" w:rsidP="009627EA">
      <w:pPr>
        <w:rPr>
          <w:rStyle w:val="normaltextrun"/>
          <w:rFonts w:eastAsia="Times New Roman" w:cstheme="minorHAnsi"/>
          <w:lang w:eastAsia="en-GB"/>
        </w:rPr>
      </w:pPr>
      <w:r w:rsidRPr="000E55C1">
        <w:rPr>
          <w:rStyle w:val="normaltextrun"/>
          <w:rFonts w:eastAsia="Times New Roman" w:cstheme="minorHAnsi"/>
          <w:lang w:eastAsia="en-GB"/>
        </w:rPr>
        <w:t xml:space="preserve">The limited changes in total UK energy demand hide some significant changes in its sectoral composition. Energy demand for transport has doubled in the last 50 years while the population has only increased by 20%. Residential energy demand has increased by 11% over the same period while the number of households has increased by 47%, although this hides the fact that that residential energy demand has reduced by 16% from its highest point in 2004. However, </w:t>
      </w:r>
      <w:r w:rsidRPr="000E55C1">
        <w:rPr>
          <w:rFonts w:eastAsia="Corbel" w:cstheme="minorHAnsi"/>
        </w:rPr>
        <w:t>the reductions in residential energy demand have also slowed in recent years as energy efficiency programmes have weakened.</w:t>
      </w:r>
      <w:r w:rsidRPr="000E55C1">
        <w:rPr>
          <w:rStyle w:val="normaltextrun"/>
          <w:rFonts w:eastAsia="Times New Roman" w:cstheme="minorHAnsi"/>
          <w:lang w:eastAsia="en-GB"/>
        </w:rPr>
        <w:t xml:space="preserve"> </w:t>
      </w:r>
    </w:p>
    <w:p w14:paraId="63AA2499" w14:textId="5EADC5B9" w:rsidR="009627EA" w:rsidRPr="000E55C1" w:rsidRDefault="009627EA" w:rsidP="009627EA">
      <w:pPr>
        <w:rPr>
          <w:rStyle w:val="normaltextrun"/>
          <w:rFonts w:eastAsia="Times New Roman" w:cstheme="minorHAnsi"/>
          <w:lang w:eastAsia="en-GB"/>
        </w:rPr>
      </w:pPr>
      <w:r w:rsidRPr="000E55C1">
        <w:rPr>
          <w:rStyle w:val="normaltextrun"/>
          <w:rFonts w:eastAsia="Times New Roman" w:cstheme="minorHAnsi"/>
          <w:lang w:eastAsia="en-GB"/>
        </w:rPr>
        <w:t xml:space="preserve">Energy demand for industry has reduced by 64% over the past 50 years. While some of this reduction can be attributed to energy efficiency improvements, the key driving factor is the shift in the UK towards a service-based economy </w:t>
      </w:r>
      <w:r w:rsidRPr="000E55C1">
        <w:rPr>
          <w:rStyle w:val="normaltextrun"/>
          <w:rFonts w:eastAsia="Times New Roman" w:cstheme="minorHAnsi"/>
          <w:lang w:eastAsia="en-GB"/>
        </w:rPr>
        <w:fldChar w:fldCharType="begin" w:fldLock="1"/>
      </w:r>
      <w:r w:rsidR="00090364" w:rsidRPr="000E55C1">
        <w:rPr>
          <w:rStyle w:val="normaltextrun"/>
          <w:rFonts w:eastAsia="Times New Roman" w:cstheme="minorHAnsi"/>
          <w:lang w:eastAsia="en-GB"/>
        </w:rPr>
        <w:instrText>ADDIN CSL_CITATION {"citationItems":[{"id":"ITEM-1","itemData":{"DOI":"10.1016/j.apenergy.2018.03.127","ISSN":"03062619","abstract":"The UK has been one of the few countries that has successfully decoupled final energy consumption from economic growth over the past 15 years. This study investigates the drivers of final energy consumption in the UK productive sectors between 1997 and 2013 using a decomposition analysis that incorporates two novel features. Firstly, it investigates to what extent changes in thermodynamic efficiency have contributed to overall changes in sectoral energy intensities. Secondly, it analyses how much of the structural change in the UK economy is driven by the offshoring of energy-intensive production overseas. The results show that energy intensity reductions are the strongest factor reducing energy consumption. However, only a third of the energy savings from energy intensity reductions can be attributed to reductions in thermodynamic efficiency with reductions in the exergy intensity of production making up the reminder. In addition the majority of energy savings from structural change are a result of offshoring, which constitutes the second biggest factor reducing energy consumption. In recent years the contributions of all decomposition factors have been declining with very little change in energy consumption after 2009. This suggests that a return to the strong reductions in energy consumption observed between 2001 and 2009 in the UK productive sectors should not be taken for granted. Given that further reductions in UK final energy consumption are needed to achieve global targets for climate change mitigation, additional policy interventions are needed. Such policies should adopt a holistic approach, taking into account all sectors in the UK economy as well as the relationship between the structural change in the UK and in the global supply chains delivering the goods and service for consumption and investment in the UK.","author":[{"dropping-particle":"","family":"Hardt","given":"Lukas","non-dropping-particle":"","parse-names":false,"suffix":""},{"dropping-particle":"","family":"Owen","given":"Anne","non-dropping-particle":"","parse-names":false,"suffix":""},{"dropping-particle":"","family":"Brockway","given":"Paul","non-dropping-particle":"","parse-names":false,"suffix":""},{"dropping-particle":"","family":"Heun","given":"Matthew K.","non-dropping-particle":"","parse-names":false,"suffix":""},{"dropping-particle":"","family":"Barrett","given":"John","non-dropping-particle":"","parse-names":false,"suffix":""},{"dropping-particle":"","family":"Taylor","given":"Peter G.","non-dropping-particle":"","parse-names":false,"suffix":""},{"dropping-particle":"","family":"Foxon","given":"Timothy J.","non-dropping-particle":"","parse-names":false,"suffix":""}],"container-title":"Applied Energy","id":"ITEM-1","issued":{"date-parts":[["2018","8","1"]]},"page":"124-133","publisher":"Elsevier Ltd","title":"Untangling the drivers of energy reduction in the UK productive sectors: Efficiency or offshoring?","type":"article-journal","volume":"223"},"uris":["http://www.mendeley.com/documents/?uuid=94b40320-d30c-4438-8f16-6a98bc810c27"]}],"mendeley":{"formattedCitation":"&lt;sup&gt;3&lt;/sup&gt;","plainTextFormattedCitation":"3","previouslyFormattedCitation":"&lt;sup&gt;3&lt;/sup&gt;"},"properties":{"noteIndex":0},"schema":"https://github.com/citation-style-language/schema/raw/master/csl-citation.json"}</w:instrText>
      </w:r>
      <w:r w:rsidRPr="000E55C1">
        <w:rPr>
          <w:rStyle w:val="normaltextrun"/>
          <w:rFonts w:eastAsia="Times New Roman" w:cstheme="minorHAnsi"/>
          <w:vertAlign w:val="superscript"/>
          <w:lang w:eastAsia="en-GB"/>
        </w:rPr>
        <w:fldChar w:fldCharType="separate"/>
      </w:r>
      <w:r w:rsidR="00090364" w:rsidRPr="000E55C1">
        <w:rPr>
          <w:rStyle w:val="normaltextrun"/>
          <w:rFonts w:eastAsia="Times New Roman" w:cstheme="minorHAnsi"/>
          <w:noProof/>
          <w:vertAlign w:val="superscript"/>
          <w:lang w:eastAsia="en-GB"/>
        </w:rPr>
        <w:t>3</w:t>
      </w:r>
      <w:r w:rsidRPr="000E55C1">
        <w:rPr>
          <w:rStyle w:val="normaltextrun"/>
          <w:rFonts w:eastAsia="Times New Roman" w:cstheme="minorHAnsi"/>
          <w:lang w:eastAsia="en-GB"/>
        </w:rPr>
        <w:fldChar w:fldCharType="end"/>
      </w:r>
      <w:r w:rsidRPr="000E55C1">
        <w:rPr>
          <w:rStyle w:val="normaltextrun"/>
          <w:rFonts w:eastAsia="Times New Roman" w:cstheme="minorHAnsi"/>
          <w:lang w:eastAsia="en-GB"/>
        </w:rPr>
        <w:t>. Data provided by the University of Leeds to the Department of Environment, Food and Rural Affairs (Defra) demonstrates that the UK’s demand for energy to satisfy UK consumption has increased, not reduced</w:t>
      </w:r>
      <w:r w:rsidRPr="000E55C1">
        <w:rPr>
          <w:rStyle w:val="FootnoteReference"/>
          <w:rFonts w:eastAsia="Times New Roman" w:cstheme="minorHAnsi"/>
          <w:lang w:eastAsia="en-GB"/>
        </w:rPr>
        <w:footnoteReference w:id="1"/>
      </w:r>
      <w:r w:rsidRPr="000E55C1">
        <w:rPr>
          <w:rStyle w:val="normaltextrun"/>
          <w:rFonts w:eastAsia="Times New Roman" w:cstheme="minorHAnsi"/>
          <w:lang w:eastAsia="en-GB"/>
        </w:rPr>
        <w:t xml:space="preserve">. However, the energy demand now occurs predominately outside the UK and is imported in the form of materials and products.  </w:t>
      </w:r>
    </w:p>
    <w:p w14:paraId="114AE444" w14:textId="227A3EDC" w:rsidR="009627EA" w:rsidRPr="000E55C1" w:rsidRDefault="009627EA" w:rsidP="009627EA">
      <w:pPr>
        <w:rPr>
          <w:rStyle w:val="normaltextrun"/>
          <w:rFonts w:eastAsia="Times New Roman" w:cstheme="minorHAnsi"/>
          <w:lang w:eastAsia="en-GB"/>
        </w:rPr>
      </w:pPr>
      <w:r w:rsidRPr="000E55C1">
        <w:rPr>
          <w:rStyle w:val="normaltextrun"/>
          <w:rFonts w:eastAsia="Times New Roman" w:cstheme="minorHAnsi"/>
          <w:lang w:eastAsia="en-GB"/>
        </w:rPr>
        <w:lastRenderedPageBreak/>
        <w:t xml:space="preserve">Future projections of UK energy demand undertaken by BEIS suggest that energy demand will remain reasonably constant up to 2040, with their reference scenario showing a 2% decline over the next 20 years </w:t>
      </w:r>
      <w:r w:rsidRPr="000E55C1">
        <w:rPr>
          <w:rStyle w:val="normaltextrun"/>
          <w:rFonts w:eastAsia="Times New Roman" w:cstheme="minorHAnsi"/>
          <w:lang w:eastAsia="en-GB"/>
        </w:rPr>
        <w:fldChar w:fldCharType="begin" w:fldLock="1"/>
      </w:r>
      <w:r w:rsidR="00090364" w:rsidRPr="000E55C1">
        <w:rPr>
          <w:rStyle w:val="normaltextrun"/>
          <w:rFonts w:eastAsia="Times New Roman" w:cstheme="minorHAnsi"/>
          <w:lang w:eastAsia="en-GB"/>
        </w:rPr>
        <w:instrText>ADDIN CSL_CITATION {"citationItems":[{"id":"ITEM-1","itemData":{"author":[{"dropping-particle":"","family":"BEIS","given":"","non-dropping-particle":"","parse-names":false,"suffix":""}],"id":"ITEM-1","issued":{"date-parts":[["2020"]]},"number-of-pages":"1-39","title":"Updated energy and emissions projections 2019","type":"report"},"uris":["http://www.mendeley.com/documents/?uuid=e9b31e51-8d45-31ff-a8d8-63c3f2b09595"]}],"mendeley":{"formattedCitation":"&lt;sup&gt;4&lt;/sup&gt;","plainTextFormattedCitation":"4","previouslyFormattedCitation":"&lt;sup&gt;4&lt;/sup&gt;"},"properties":{"noteIndex":0},"schema":"https://github.com/citation-style-language/schema/raw/master/csl-citation.json"}</w:instrText>
      </w:r>
      <w:r w:rsidRPr="000E55C1">
        <w:rPr>
          <w:rStyle w:val="normaltextrun"/>
          <w:rFonts w:eastAsia="Times New Roman" w:cstheme="minorHAnsi"/>
          <w:vertAlign w:val="superscript"/>
          <w:lang w:eastAsia="en-GB"/>
        </w:rPr>
        <w:fldChar w:fldCharType="separate"/>
      </w:r>
      <w:r w:rsidR="00090364" w:rsidRPr="000E55C1">
        <w:rPr>
          <w:rStyle w:val="normaltextrun"/>
          <w:rFonts w:eastAsia="Times New Roman" w:cstheme="minorHAnsi"/>
          <w:noProof/>
          <w:vertAlign w:val="superscript"/>
          <w:lang w:eastAsia="en-GB"/>
        </w:rPr>
        <w:t>4</w:t>
      </w:r>
      <w:r w:rsidRPr="000E55C1">
        <w:rPr>
          <w:rStyle w:val="normaltextrun"/>
          <w:rFonts w:eastAsia="Times New Roman" w:cstheme="minorHAnsi"/>
          <w:lang w:eastAsia="en-GB"/>
        </w:rPr>
        <w:fldChar w:fldCharType="end"/>
      </w:r>
      <w:r w:rsidRPr="000E55C1">
        <w:rPr>
          <w:rStyle w:val="normaltextrun"/>
          <w:rFonts w:eastAsia="Times New Roman" w:cstheme="minorHAnsi"/>
          <w:lang w:eastAsia="en-GB"/>
        </w:rPr>
        <w:t xml:space="preserve">. The BEIS analysis also suggests that known policies will have no significant effect of the overall level of UK energy demand. The analysis by BEIS refers to know policies, rather than future policy aims or targets. </w:t>
      </w:r>
    </w:p>
    <w:p w14:paraId="0123C0A6" w14:textId="77777777" w:rsidR="009627EA" w:rsidRPr="000E55C1" w:rsidRDefault="009627EA">
      <w:pPr>
        <w:rPr>
          <w:rFonts w:cstheme="minorHAnsi"/>
        </w:rPr>
      </w:pPr>
    </w:p>
    <w:p w14:paraId="53A25FC5" w14:textId="77777777" w:rsidR="009627EA" w:rsidRPr="000E55C1" w:rsidRDefault="009627EA">
      <w:pPr>
        <w:rPr>
          <w:rFonts w:eastAsiaTheme="majorEastAsia" w:cstheme="minorHAnsi"/>
          <w:color w:val="2E74B5" w:themeColor="accent1" w:themeShade="BF"/>
          <w:sz w:val="26"/>
          <w:szCs w:val="26"/>
        </w:rPr>
      </w:pPr>
      <w:r w:rsidRPr="000E55C1">
        <w:rPr>
          <w:rFonts w:cstheme="minorHAnsi"/>
        </w:rPr>
        <w:br w:type="page"/>
      </w:r>
    </w:p>
    <w:p w14:paraId="1740DCA4" w14:textId="052D6266" w:rsidR="009627EA" w:rsidRPr="000E55C1" w:rsidRDefault="009627EA" w:rsidP="009627EA">
      <w:pPr>
        <w:pStyle w:val="Heading2"/>
        <w:rPr>
          <w:rFonts w:asciiTheme="minorHAnsi" w:hAnsiTheme="minorHAnsi" w:cstheme="minorHAnsi"/>
        </w:rPr>
      </w:pPr>
      <w:bookmarkStart w:id="1" w:name="_Toc87453378"/>
      <w:r w:rsidRPr="000E55C1">
        <w:rPr>
          <w:rFonts w:asciiTheme="minorHAnsi" w:hAnsiTheme="minorHAnsi" w:cstheme="minorHAnsi"/>
        </w:rPr>
        <w:lastRenderedPageBreak/>
        <w:t xml:space="preserve">SI 2 - Relevant analysis of energy demand scenarios at </w:t>
      </w:r>
      <w:r w:rsidR="007F4C9E" w:rsidRPr="000E55C1">
        <w:rPr>
          <w:rFonts w:asciiTheme="minorHAnsi" w:hAnsiTheme="minorHAnsi" w:cstheme="minorHAnsi"/>
        </w:rPr>
        <w:t>the global and national</w:t>
      </w:r>
      <w:r w:rsidRPr="000E55C1">
        <w:rPr>
          <w:rFonts w:asciiTheme="minorHAnsi" w:hAnsiTheme="minorHAnsi" w:cstheme="minorHAnsi"/>
        </w:rPr>
        <w:t xml:space="preserve"> level</w:t>
      </w:r>
      <w:bookmarkEnd w:id="1"/>
    </w:p>
    <w:p w14:paraId="2E5D36E0" w14:textId="77777777" w:rsidR="009627EA" w:rsidRPr="000E55C1" w:rsidRDefault="009627EA" w:rsidP="009627EA">
      <w:pPr>
        <w:rPr>
          <w:rFonts w:cstheme="minorHAnsi"/>
        </w:rPr>
      </w:pPr>
    </w:p>
    <w:p w14:paraId="490F0B29" w14:textId="77777777" w:rsidR="009627EA" w:rsidRPr="000E55C1" w:rsidRDefault="009627EA" w:rsidP="009627EA">
      <w:pPr>
        <w:rPr>
          <w:rFonts w:eastAsia="Corbel" w:cstheme="minorHAnsi"/>
        </w:rPr>
      </w:pPr>
      <w:r w:rsidRPr="000E55C1">
        <w:rPr>
          <w:rStyle w:val="normaltextrun"/>
          <w:rFonts w:eastAsia="Corbel" w:cstheme="minorHAnsi"/>
          <w:lang w:eastAsia="en-GB"/>
        </w:rPr>
        <w:t xml:space="preserve">This section identifies studies that have explored the potential mitigation contribution of reducing energy demand. </w:t>
      </w:r>
      <w:r w:rsidRPr="000E55C1">
        <w:rPr>
          <w:rFonts w:eastAsia="Corbel" w:cstheme="minorHAnsi"/>
        </w:rPr>
        <w:t xml:space="preserve">The following literature review highlights that whilst there is a good understanding of mechanisms through which energy demand can be reduced and the potential range of impact this could have upon future global cumulative GHG emissions, there remains a limited picture of how energy demand reduction could be implemented at the national level, or the contribution it could make towards meeting national climate targets. </w:t>
      </w:r>
    </w:p>
    <w:p w14:paraId="612C114A" w14:textId="6139845E" w:rsidR="009627EA" w:rsidRPr="000E55C1" w:rsidRDefault="00955BCE" w:rsidP="009627EA">
      <w:pPr>
        <w:pStyle w:val="Heading3"/>
        <w:rPr>
          <w:rFonts w:asciiTheme="minorHAnsi" w:hAnsiTheme="minorHAnsi" w:cstheme="minorHAnsi"/>
          <w:b/>
          <w:bCs/>
          <w:sz w:val="22"/>
          <w:szCs w:val="22"/>
        </w:rPr>
      </w:pPr>
      <w:bookmarkStart w:id="2" w:name="_Toc77587865"/>
      <w:r w:rsidRPr="000E55C1">
        <w:rPr>
          <w:rFonts w:asciiTheme="minorHAnsi" w:hAnsiTheme="minorHAnsi" w:cstheme="minorHAnsi"/>
          <w:sz w:val="22"/>
          <w:szCs w:val="22"/>
        </w:rPr>
        <w:t>2.</w:t>
      </w:r>
      <w:r w:rsidR="009627EA" w:rsidRPr="000E55C1">
        <w:rPr>
          <w:rFonts w:asciiTheme="minorHAnsi" w:hAnsiTheme="minorHAnsi" w:cstheme="minorHAnsi"/>
          <w:sz w:val="22"/>
          <w:szCs w:val="22"/>
        </w:rPr>
        <w:t>1 Energy Efficiency-led scenarios</w:t>
      </w:r>
      <w:bookmarkEnd w:id="2"/>
    </w:p>
    <w:p w14:paraId="72A02536" w14:textId="670AB43E" w:rsidR="009627EA" w:rsidRPr="000E55C1" w:rsidRDefault="009627EA" w:rsidP="009627EA">
      <w:pPr>
        <w:rPr>
          <w:rFonts w:eastAsia="Corbel" w:cstheme="minorHAnsi"/>
        </w:rPr>
      </w:pPr>
      <w:r w:rsidRPr="000E55C1">
        <w:rPr>
          <w:rFonts w:eastAsia="Corbel" w:cstheme="minorHAnsi"/>
        </w:rPr>
        <w:t>The LED scenario developed by Grubler et al.</w:t>
      </w:r>
      <w:r w:rsidR="00090364" w:rsidRPr="000E55C1">
        <w:rPr>
          <w:rFonts w:eastAsia="Corbel" w:cstheme="minorHAnsi"/>
        </w:rPr>
        <w:fldChar w:fldCharType="begin" w:fldLock="1"/>
      </w:r>
      <w:r w:rsidR="00090364" w:rsidRPr="000E55C1">
        <w:rPr>
          <w:rFonts w:eastAsia="Corbel" w:cstheme="minorHAnsi"/>
        </w:rPr>
        <w:instrText>ADDIN CSL_CITATION {"citationItems":[{"id":"ITEM-1","itemData":{"DOI":"10.1038/s41560-018-0172-6","ISSN":"20587546","abstract":"Scenarios that limit global warming to 1.5 °C describe major transformations in energy supply and ever-rising energy demand. Here, we provide a contrasting perspective by developing a narrative of future change based on observable trends that results in low energy demand. We describe and quantify changes in activity levels and energy intensity in the global North and global South for all major energy services. We project that global final energy demand by 2050 reduces to 245 EJ, around 40% lower than today, despite rises in population, income and activity. Using an integrated assessment modelling framework, we show how changes in the quantity and type of energy services drive structural change in intermediate and upstream supply sectors (energy and land use). Down-sizing the global energy system dramatically improves the feasibility of a low-carbon supply-side transformation. Our scenario meets the 1.5 °C climate target as well as many sustainable development goals, without relying on negative emission technologies.","author":[{"dropping-particle":"","family":"Grubler","given":"Arnulf","non-dropping-particle":"","parse-names":false,"suffix":""},{"dropping-particle":"","family":"Wilson","given":"Charlie","non-dropping-particle":"","parse-names":false,"suffix":""},{"dropping-particle":"","family":"Bento","given":"Nuno","non-dropping-particle":"","parse-names":false,"suffix":""},{"dropping-particle":"","family":"Boza-Kiss","given":"Benigna","non-dropping-particle":"","parse-names":false,"suffix":""},{"dropping-particle":"","family":"Krey","given":"Volker","non-dropping-particle":"","parse-names":false,"suffix":""},{"dropping-particle":"","family":"McCollum","given":"David L.","non-dropping-particle":"","parse-names":false,"suffix":""},{"dropping-particle":"","family":"Rao","given":"Narasimha D","non-dropping-particle":"","parse-names":false,"suffix":""},{"dropping-particle":"","family":"Riahi","given":"Keywan","non-dropping-particle":"","parse-names":false,"suffix":""},{"dropping-particle":"","family":"Rogelj","given":"Joeri","non-dropping-particle":"","parse-names":false,"suffix":""},{"dropping-particle":"","family":"Stercke","given":"Simon","non-dropping-particle":"De","parse-names":false,"suffix":""},{"dropping-particle":"","family":"Cullen","given":"Jonathan","non-dropping-particle":"","parse-names":false,"suffix":""},{"dropping-particle":"","family":"Frank","given":"Stefan","non-dropping-particle":"","parse-names":false,"suffix":""},{"dropping-particle":"","family":"Fricko","given":"Oliver","non-dropping-particle":"","parse-names":false,"suffix":""},{"dropping-particle":"","family":"Guo","given":"Fei","non-dropping-particle":"","parse-names":false,"suffix":""},{"dropping-particle":"","family":"Gidden","given":"Matt","non-dropping-particle":"","parse-names":false,"suffix":""},{"dropping-particle":"","family":"Havlík","given":"Petr","non-dropping-particle":"","parse-names":false,"suffix":""},{"dropping-particle":"","family":"Huppmann","given":"Daniel","non-dropping-particle":"","parse-names":false,"suffix":""},{"dropping-particle":"","family":"Kiesewetter","given":"Gregor","non-dropping-particle":"","parse-names":false,"suffix":""},{"dropping-particle":"","family":"Rafaj","given":"Peter","non-dropping-particle":"","parse-names":false,"suffix":""},{"dropping-particle":"","family":"Schoepp","given":"Wolfgang","non-dropping-particle":"","parse-names":false,"suffix":""},{"dropping-particle":"","family":"Valin","given":"Hugo","non-dropping-particle":"","parse-names":false,"suffix":""}],"container-title":"Nature Energy","id":"ITEM-1","issue":"6","issued":{"date-parts":[["2018"]]},"page":"515-527","title":"A low energy demand scenario for meeting the 1.5 °c target and sustainable development goals without negative emission technologies","type":"article-journal","volume":"3"},"uris":["http://www.mendeley.com/documents/?uuid=ba8beba8-5f39-4fe8-acdc-ab9ba5b51fbf"]}],"mendeley":{"formattedCitation":"&lt;sup&gt;5&lt;/sup&gt;","plainTextFormattedCitation":"5","previouslyFormattedCitation":"&lt;sup&gt;5&lt;/sup&gt;"},"properties":{"noteIndex":0},"schema":"https://github.com/citation-style-language/schema/raw/master/csl-citation.json"}</w:instrText>
      </w:r>
      <w:r w:rsidR="00090364" w:rsidRPr="000E55C1">
        <w:rPr>
          <w:rFonts w:eastAsia="Corbel" w:cstheme="minorHAnsi"/>
        </w:rPr>
        <w:fldChar w:fldCharType="separate"/>
      </w:r>
      <w:r w:rsidR="00090364" w:rsidRPr="000E55C1">
        <w:rPr>
          <w:rFonts w:eastAsia="Corbel" w:cstheme="minorHAnsi"/>
          <w:noProof/>
          <w:vertAlign w:val="superscript"/>
        </w:rPr>
        <w:t>5</w:t>
      </w:r>
      <w:r w:rsidR="00090364" w:rsidRPr="000E55C1">
        <w:rPr>
          <w:rFonts w:eastAsia="Corbel" w:cstheme="minorHAnsi"/>
        </w:rPr>
        <w:fldChar w:fldCharType="end"/>
      </w:r>
      <w:r w:rsidR="00090364" w:rsidRPr="000E55C1">
        <w:rPr>
          <w:rFonts w:eastAsia="Corbel" w:cstheme="minorHAnsi"/>
        </w:rPr>
        <w:t xml:space="preserve"> </w:t>
      </w:r>
      <w:r w:rsidRPr="000E55C1">
        <w:rPr>
          <w:rFonts w:eastAsia="Corbel" w:cstheme="minorHAnsi"/>
        </w:rPr>
        <w:t>is a frequently cited study that explores the potential contribution of global reductions in energy demand to greenhouse gas mitigation. Operating at the global level, it projects that energy demand could be 40% lower than today by 2050, based on a bottom-up analyses of changes in activity levels, energy intensity and final demand of end-use energy services. Its inclusion in the IPCC’s</w:t>
      </w:r>
      <w:r w:rsidR="00090364" w:rsidRPr="000E55C1">
        <w:rPr>
          <w:rFonts w:eastAsia="Corbel" w:cstheme="minorHAnsi"/>
        </w:rPr>
        <w:t xml:space="preserve"> </w:t>
      </w:r>
      <w:r w:rsidRPr="000E55C1">
        <w:rPr>
          <w:rFonts w:eastAsia="Corbel" w:cstheme="minorHAnsi"/>
          <w:i/>
          <w:iCs/>
        </w:rPr>
        <w:t>Special Report on 1.5</w:t>
      </w:r>
      <w:r w:rsidRPr="000E55C1">
        <w:rPr>
          <w:rFonts w:eastAsia="Corbel" w:cstheme="minorHAnsi"/>
          <w:i/>
          <w:iCs/>
          <w:vertAlign w:val="superscript"/>
        </w:rPr>
        <w:t>o</w:t>
      </w:r>
      <w:r w:rsidRPr="000E55C1">
        <w:rPr>
          <w:rFonts w:eastAsia="Corbel" w:cstheme="minorHAnsi"/>
          <w:i/>
          <w:iCs/>
        </w:rPr>
        <w:t>C</w:t>
      </w:r>
      <w:r w:rsidRPr="000E55C1">
        <w:rPr>
          <w:rFonts w:eastAsia="Corbel" w:cstheme="minorHAnsi"/>
        </w:rPr>
        <w:t xml:space="preserve"> </w:t>
      </w:r>
      <w:r w:rsidR="00090364" w:rsidRPr="000E55C1">
        <w:rPr>
          <w:rFonts w:eastAsia="Corbel" w:cstheme="minorHAnsi"/>
        </w:rPr>
        <w:fldChar w:fldCharType="begin" w:fldLock="1"/>
      </w:r>
      <w:r w:rsidR="00A14385" w:rsidRPr="000E55C1">
        <w:rPr>
          <w:rFonts w:eastAsia="Corbel" w:cstheme="minorHAnsi"/>
        </w:rPr>
        <w:instrText>ADDIN CSL_CITATION {"citationItems":[{"id":"ITEM-1","itemData":{"DOI":"10.1016/j.oneear.2019.10.025","ISSN":"25903322","author":[{"dropping-particle":"","family":"IPCC","given":"","non-dropping-particle":"","parse-names":false,"suffix":""}],"container-title":"Global Warming of 1.5°C. An IPCC Special Report on the impacts of global warming of 1.5°C above pre-industrial levels and related global greenhouse gas emission pathways, in the context of strengthening the global response to the threat of climate change,","id":"ITEM-1","issued":{"date-parts":[["2018"]]},"page":"1-24","publisher":"In Press","title":"Summary for Policymakers","type":"chapter"},"uris":["http://www.mendeley.com/documents/?uuid=ec7fb56c-bb3b-4a9d-97fb-802532025116"]}],"mendeley":{"formattedCitation":"&lt;sup&gt;6&lt;/sup&gt;","plainTextFormattedCitation":"6","previouslyFormattedCitation":"&lt;sup&gt;6&lt;/sup&gt;"},"properties":{"noteIndex":0},"schema":"https://github.com/citation-style-language/schema/raw/master/csl-citation.json"}</w:instrText>
      </w:r>
      <w:r w:rsidR="00090364" w:rsidRPr="000E55C1">
        <w:rPr>
          <w:rFonts w:eastAsia="Corbel" w:cstheme="minorHAnsi"/>
        </w:rPr>
        <w:fldChar w:fldCharType="separate"/>
      </w:r>
      <w:r w:rsidR="00090364" w:rsidRPr="000E55C1">
        <w:rPr>
          <w:rFonts w:eastAsia="Corbel" w:cstheme="minorHAnsi"/>
          <w:noProof/>
          <w:vertAlign w:val="superscript"/>
        </w:rPr>
        <w:t>6</w:t>
      </w:r>
      <w:r w:rsidR="00090364" w:rsidRPr="000E55C1">
        <w:rPr>
          <w:rFonts w:eastAsia="Corbel" w:cstheme="minorHAnsi"/>
        </w:rPr>
        <w:fldChar w:fldCharType="end"/>
      </w:r>
      <w:r w:rsidR="00090364" w:rsidRPr="000E55C1">
        <w:rPr>
          <w:rFonts w:eastAsia="Corbel" w:cstheme="minorHAnsi"/>
        </w:rPr>
        <w:t xml:space="preserve"> </w:t>
      </w:r>
      <w:r w:rsidRPr="000E55C1">
        <w:rPr>
          <w:rFonts w:eastAsia="Corbel" w:cstheme="minorHAnsi"/>
        </w:rPr>
        <w:t>offered a contrasting perspective to other 1.5</w:t>
      </w:r>
      <w:r w:rsidRPr="000E55C1">
        <w:rPr>
          <w:rFonts w:eastAsia="Corbel" w:cstheme="minorHAnsi"/>
          <w:vertAlign w:val="superscript"/>
        </w:rPr>
        <w:t>o</w:t>
      </w:r>
      <w:r w:rsidRPr="000E55C1">
        <w:rPr>
          <w:rFonts w:eastAsia="Corbel" w:cstheme="minorHAnsi"/>
        </w:rPr>
        <w:t>C aligned scenarios, as the only scenario that did not increase energy demand. By reducing global energy demand, the reliance on speculative carbon dioxide removal  measures to achieve ambitious carbon budgets was diminished</w:t>
      </w:r>
      <w:r w:rsidRPr="000E55C1">
        <w:rPr>
          <w:rFonts w:eastAsia="Corbel" w:cstheme="minorHAnsi"/>
        </w:rPr>
        <w:fldChar w:fldCharType="begin" w:fldLock="1"/>
      </w:r>
      <w:r w:rsidR="00090364" w:rsidRPr="000E55C1">
        <w:rPr>
          <w:rFonts w:eastAsia="Corbel" w:cstheme="minorHAnsi"/>
        </w:rPr>
        <w:instrText>ADDIN CSL_CITATION {"citationItems":[{"id":"ITEM-1","itemData":{"abstract":", 2018, Mitigation pathways compatible with 1.5°C in the context of sustainable development. In: Global warming of 1.5°C. An IPCC Special Report on the impacts of global warming of 1.5°C above pre-industrial levels and related global greenhouse gas emission pathways, in the context of strengthening the global response to the threat of climate change, sustainable development, and efforts to eradicate poverty","author":[{"dropping-particle":"","family":"Rogelj","given":"J.","non-dropping-particle":"","parse-names":false,"suffix":""},{"dropping-particle":"","family":"Shindell","given":"D.","non-dropping-particle":"","parse-names":false,"suffix":""},{"dropping-particle":"","family":"Jiang","given":"K.","non-dropping-particle":"","parse-names":false,"suffix":""},{"dropping-particle":"","family":"Fifita","given":"S.","non-dropping-particle":"","parse-names":false,"suffix":""},{"dropping-particle":"","family":"Forster","given":"P.","non-dropping-particle":"","parse-names":false,"suffix":""},{"dropping-particle":"","family":"Ginzburg","given":"V.","non-dropping-particle":"","parse-names":false,"suffix":""},{"dropping-particle":"","family":"Handa","given":"C.","non-dropping-particle":"","parse-names":false,"suffix":""},{"dropping-particle":"","family":"Kheshgi","given":"H.","non-dropping-particle":"","parse-names":false,"suffix":""},{"dropping-particle":"","family":"Kobayashi","given":"S.","non-dropping-particle":"","parse-names":false,"suffix":""},{"dropping-particle":"","family":"Kriegler","given":"E.","non-dropping-particle":"","parse-names":false,"suffix":""},{"dropping-particle":"","family":"Mundaca","given":"L.","non-dropping-particle":"","parse-names":false,"suffix":""},{"dropping-particle":"","family":"Séférian","given":"R.","non-dropping-particle":"","parse-names":false,"suffix":""},{"dropping-particle":"","family":"Vilariño","given":"M.V.","non-dropping-particle":"","parse-names":false,"suffix":""}],"container-title":"IPCC: An IPCC Special Report on the impacts of global warming of 1.5°C above pre-industrial levels and related global greenhouse gas emission pathways, in the context of strengthening the global response to the threat of climate change, sustainable develo","id":"ITEM-1","issued":{"date-parts":[["2018"]]},"page":"82","title":"Mitigation Pathways Compatible with 1.5°C in the Context of Sustainable Development.","type":"article-journal"},"uris":["http://www.mendeley.com/documents/?uuid=e36e8abf-014e-4527-8f0f-4b7bf06a6c7a"]}],"mendeley":{"formattedCitation":"&lt;sup&gt;7&lt;/sup&gt;","plainTextFormattedCitation":"7","previouslyFormattedCitation":"&lt;sup&gt;7&lt;/sup&gt;"},"properties":{"noteIndex":0},"schema":"https://github.com/citation-style-language/schema/raw/master/csl-citation.json"}</w:instrText>
      </w:r>
      <w:r w:rsidRPr="000E55C1">
        <w:rPr>
          <w:rFonts w:eastAsia="Corbel" w:cstheme="minorHAnsi"/>
        </w:rPr>
        <w:fldChar w:fldCharType="separate"/>
      </w:r>
      <w:r w:rsidR="00090364" w:rsidRPr="000E55C1">
        <w:rPr>
          <w:rFonts w:eastAsia="Corbel" w:cstheme="minorHAnsi"/>
          <w:noProof/>
          <w:vertAlign w:val="superscript"/>
        </w:rPr>
        <w:t>7</w:t>
      </w:r>
      <w:r w:rsidRPr="000E55C1">
        <w:rPr>
          <w:rFonts w:eastAsia="Corbel" w:cstheme="minorHAnsi"/>
        </w:rPr>
        <w:fldChar w:fldCharType="end"/>
      </w:r>
      <w:r w:rsidRPr="000E55C1">
        <w:rPr>
          <w:rFonts w:eastAsia="Corbel" w:cstheme="minorHAnsi"/>
        </w:rPr>
        <w:t>. Furthermore, Grubler et al.</w:t>
      </w:r>
      <w:r w:rsidR="00090364" w:rsidRPr="000E55C1">
        <w:rPr>
          <w:rFonts w:eastAsia="Corbel" w:cstheme="minorHAnsi"/>
        </w:rPr>
        <w:fldChar w:fldCharType="begin" w:fldLock="1"/>
      </w:r>
      <w:r w:rsidR="00090364" w:rsidRPr="000E55C1">
        <w:rPr>
          <w:rFonts w:eastAsia="Corbel" w:cstheme="minorHAnsi"/>
        </w:rPr>
        <w:instrText>ADDIN CSL_CITATION {"citationItems":[{"id":"ITEM-1","itemData":{"DOI":"10.1038/s41560-018-0172-6","ISSN":"20587546","abstract":"Scenarios that limit global warming to 1.5 °C describe major transformations in energy supply and ever-rising energy demand. Here, we provide a contrasting perspective by developing a narrative of future change based on observable trends that results in low energy demand. We describe and quantify changes in activity levels and energy intensity in the global North and global South for all major energy services. We project that global final energy demand by 2050 reduces to 245 EJ, around 40% lower than today, despite rises in population, income and activity. Using an integrated assessment modelling framework, we show how changes in the quantity and type of energy services drive structural change in intermediate and upstream supply sectors (energy and land use). Down-sizing the global energy system dramatically improves the feasibility of a low-carbon supply-side transformation. Our scenario meets the 1.5 °C climate target as well as many sustainable development goals, without relying on negative emission technologies.","author":[{"dropping-particle":"","family":"Grubler","given":"Arnulf","non-dropping-particle":"","parse-names":false,"suffix":""},{"dropping-particle":"","family":"Wilson","given":"Charlie","non-dropping-particle":"","parse-names":false,"suffix":""},{"dropping-particle":"","family":"Bento","given":"Nuno","non-dropping-particle":"","parse-names":false,"suffix":""},{"dropping-particle":"","family":"Boza-Kiss","given":"Benigna","non-dropping-particle":"","parse-names":false,"suffix":""},{"dropping-particle":"","family":"Krey","given":"Volker","non-dropping-particle":"","parse-names":false,"suffix":""},{"dropping-particle":"","family":"McCollum","given":"David L.","non-dropping-particle":"","parse-names":false,"suffix":""},{"dropping-particle":"","family":"Rao","given":"Narasimha D","non-dropping-particle":"","parse-names":false,"suffix":""},{"dropping-particle":"","family":"Riahi","given":"Keywan","non-dropping-particle":"","parse-names":false,"suffix":""},{"dropping-particle":"","family":"Rogelj","given":"Joeri","non-dropping-particle":"","parse-names":false,"suffix":""},{"dropping-particle":"","family":"Stercke","given":"Simon","non-dropping-particle":"De","parse-names":false,"suffix":""},{"dropping-particle":"","family":"Cullen","given":"Jonathan","non-dropping-particle":"","parse-names":false,"suffix":""},{"dropping-particle":"","family":"Frank","given":"Stefan","non-dropping-particle":"","parse-names":false,"suffix":""},{"dropping-particle":"","family":"Fricko","given":"Oliver","non-dropping-particle":"","parse-names":false,"suffix":""},{"dropping-particle":"","family":"Guo","given":"Fei","non-dropping-particle":"","parse-names":false,"suffix":""},{"dropping-particle":"","family":"Gidden","given":"Matt","non-dropping-particle":"","parse-names":false,"suffix":""},{"dropping-particle":"","family":"Havlík","given":"Petr","non-dropping-particle":"","parse-names":false,"suffix":""},{"dropping-particle":"","family":"Huppmann","given":"Daniel","non-dropping-particle":"","parse-names":false,"suffix":""},{"dropping-particle":"","family":"Kiesewetter","given":"Gregor","non-dropping-particle":"","parse-names":false,"suffix":""},{"dropping-particle":"","family":"Rafaj","given":"Peter","non-dropping-particle":"","parse-names":false,"suffix":""},{"dropping-particle":"","family":"Schoepp","given":"Wolfgang","non-dropping-particle":"","parse-names":false,"suffix":""},{"dropping-particle":"","family":"Valin","given":"Hugo","non-dropping-particle":"","parse-names":false,"suffix":""}],"container-title":"Nature Energy","id":"ITEM-1","issue":"6","issued":{"date-parts":[["2018"]]},"page":"515-527","title":"A low energy demand scenario for meeting the 1.5 °c target and sustainable development goals without negative emission technologies","type":"article-journal","volume":"3"},"uris":["http://www.mendeley.com/documents/?uuid=ba8beba8-5f39-4fe8-acdc-ab9ba5b51fbf"]}],"mendeley":{"formattedCitation":"&lt;sup&gt;5&lt;/sup&gt;","plainTextFormattedCitation":"5","previouslyFormattedCitation":"&lt;sup&gt;5&lt;/sup&gt;"},"properties":{"noteIndex":0},"schema":"https://github.com/citation-style-language/schema/raw/master/csl-citation.json"}</w:instrText>
      </w:r>
      <w:r w:rsidR="00090364" w:rsidRPr="000E55C1">
        <w:rPr>
          <w:rFonts w:eastAsia="Corbel" w:cstheme="minorHAnsi"/>
        </w:rPr>
        <w:fldChar w:fldCharType="separate"/>
      </w:r>
      <w:r w:rsidR="00090364" w:rsidRPr="000E55C1">
        <w:rPr>
          <w:rFonts w:eastAsia="Corbel" w:cstheme="minorHAnsi"/>
          <w:noProof/>
          <w:vertAlign w:val="superscript"/>
        </w:rPr>
        <w:t>5</w:t>
      </w:r>
      <w:r w:rsidR="00090364" w:rsidRPr="000E55C1">
        <w:rPr>
          <w:rFonts w:eastAsia="Corbel" w:cstheme="minorHAnsi"/>
        </w:rPr>
        <w:fldChar w:fldCharType="end"/>
      </w:r>
      <w:r w:rsidR="00090364" w:rsidRPr="000E55C1">
        <w:rPr>
          <w:rFonts w:eastAsia="Corbel" w:cstheme="minorHAnsi"/>
        </w:rPr>
        <w:t xml:space="preserve"> </w:t>
      </w:r>
      <w:r w:rsidRPr="000E55C1">
        <w:rPr>
          <w:rFonts w:eastAsia="Corbel" w:cstheme="minorHAnsi"/>
        </w:rPr>
        <w:t xml:space="preserve">evidence that reducing the size of the global energy system makes the task of transitioning to a low-carbon supply much easier to achieve, as low carbon energy technologies can assume a larger share of the total energy mix. </w:t>
      </w:r>
    </w:p>
    <w:p w14:paraId="04C086F3" w14:textId="761B1DA3" w:rsidR="009627EA" w:rsidRPr="000E55C1" w:rsidRDefault="009627EA" w:rsidP="009627EA">
      <w:pPr>
        <w:rPr>
          <w:rFonts w:eastAsia="Corbel" w:cstheme="minorHAnsi"/>
        </w:rPr>
      </w:pPr>
      <w:r w:rsidRPr="000E55C1">
        <w:rPr>
          <w:rFonts w:eastAsia="Corbel" w:cstheme="minorHAnsi"/>
        </w:rPr>
        <w:t xml:space="preserve">The IEA’s </w:t>
      </w:r>
      <w:r w:rsidRPr="000E55C1">
        <w:rPr>
          <w:rFonts w:eastAsia="Corbel" w:cstheme="minorHAnsi"/>
          <w:i/>
          <w:iCs/>
        </w:rPr>
        <w:t>Energy Technology Perspectives 2020</w:t>
      </w:r>
      <w:r w:rsidR="00A14385" w:rsidRPr="000E55C1">
        <w:rPr>
          <w:rFonts w:eastAsia="Corbel" w:cstheme="minorHAnsi"/>
          <w:i/>
          <w:iCs/>
        </w:rPr>
        <w:fldChar w:fldCharType="begin" w:fldLock="1"/>
      </w:r>
      <w:r w:rsidR="00A14385" w:rsidRPr="000E55C1">
        <w:rPr>
          <w:rFonts w:eastAsia="Corbel" w:cstheme="minorHAnsi"/>
          <w:i/>
          <w:iCs/>
        </w:rPr>
        <w:instrText>ADDIN CSL_CITATION {"citationItems":[{"id":"ITEM-1","itemData":{"DOI":"10.1787/ab43a9a5-en","abstract":"Cleaner Fossil Fuels, Energy Projections, Technologies","author":[{"dropping-particle":"","family":"International Energy Agency","given":"","non-dropping-particle":"","parse-names":false,"suffix":""}],"container-title":"Energy Technology Perspectives 2020","id":"ITEM-1","issued":{"date-parts":[["2020"]]},"title":"Energy Technology Perspectives 2020","type":"report"},"uris":["http://www.mendeley.com/documents/?uuid=667f6940-4ad8-4ee7-a16a-2a2dc71040ae"]}],"mendeley":{"formattedCitation":"&lt;sup&gt;8&lt;/sup&gt;","plainTextFormattedCitation":"8","previouslyFormattedCitation":"&lt;sup&gt;8&lt;/sup&gt;"},"properties":{"noteIndex":0},"schema":"https://github.com/citation-style-language/schema/raw/master/csl-citation.json"}</w:instrText>
      </w:r>
      <w:r w:rsidR="00A14385" w:rsidRPr="000E55C1">
        <w:rPr>
          <w:rFonts w:eastAsia="Corbel" w:cstheme="minorHAnsi"/>
          <w:i/>
          <w:iCs/>
        </w:rPr>
        <w:fldChar w:fldCharType="separate"/>
      </w:r>
      <w:r w:rsidR="00A14385" w:rsidRPr="000E55C1">
        <w:rPr>
          <w:rFonts w:eastAsia="Corbel" w:cstheme="minorHAnsi"/>
          <w:iCs/>
          <w:noProof/>
          <w:vertAlign w:val="superscript"/>
        </w:rPr>
        <w:t>8</w:t>
      </w:r>
      <w:r w:rsidR="00A14385" w:rsidRPr="000E55C1">
        <w:rPr>
          <w:rFonts w:eastAsia="Corbel" w:cstheme="minorHAnsi"/>
          <w:i/>
          <w:iCs/>
        </w:rPr>
        <w:fldChar w:fldCharType="end"/>
      </w:r>
      <w:r w:rsidRPr="000E55C1">
        <w:rPr>
          <w:rFonts w:eastAsia="Corbel" w:cstheme="minorHAnsi"/>
          <w:i/>
          <w:iCs/>
        </w:rPr>
        <w:t xml:space="preserve"> </w:t>
      </w:r>
      <w:r w:rsidRPr="000E55C1">
        <w:rPr>
          <w:rFonts w:eastAsia="Corbel" w:cstheme="minorHAnsi"/>
        </w:rPr>
        <w:t xml:space="preserve">report, included energy demand reducing measures within its ‘Sustainable Development Scenario’, in the form of exploiting energy efficiency improvements present in technologies. Broadly speaking, the scenario covers two groups of efficiency improvements, both of which are included in our UK focused LED scenario, adopting technologies that carry with them reductions in energy intensity, and material efficiency that aims to reduce energy service demand by reducing the material inputs needed to produce goods and services. Similarly, to Grubler et al. </w:t>
      </w:r>
      <w:r w:rsidR="00090364" w:rsidRPr="000E55C1">
        <w:rPr>
          <w:rFonts w:eastAsia="Corbel" w:cstheme="minorHAnsi"/>
        </w:rPr>
        <w:fldChar w:fldCharType="begin" w:fldLock="1"/>
      </w:r>
      <w:r w:rsidR="00090364" w:rsidRPr="000E55C1">
        <w:rPr>
          <w:rFonts w:eastAsia="Corbel" w:cstheme="minorHAnsi"/>
        </w:rPr>
        <w:instrText>ADDIN CSL_CITATION {"citationItems":[{"id":"ITEM-1","itemData":{"DOI":"10.1038/s41560-018-0172-6","ISSN":"20587546","abstract":"Scenarios that limit global warming to 1.5 °C describe major transformations in energy supply and ever-rising energy demand. Here, we provide a contrasting perspective by developing a narrative of future change based on observable trends that results in low energy demand. We describe and quantify changes in activity levels and energy intensity in the global North and global South for all major energy services. We project that global final energy demand by 2050 reduces to 245 EJ, around 40% lower than today, despite rises in population, income and activity. Using an integrated assessment modelling framework, we show how changes in the quantity and type of energy services drive structural change in intermediate and upstream supply sectors (energy and land use). Down-sizing the global energy system dramatically improves the feasibility of a low-carbon supply-side transformation. Our scenario meets the 1.5 °C climate target as well as many sustainable development goals, without relying on negative emission technologies.","author":[{"dropping-particle":"","family":"Grubler","given":"Arnulf","non-dropping-particle":"","parse-names":false,"suffix":""},{"dropping-particle":"","family":"Wilson","given":"Charlie","non-dropping-particle":"","parse-names":false,"suffix":""},{"dropping-particle":"","family":"Bento","given":"Nuno","non-dropping-particle":"","parse-names":false,"suffix":""},{"dropping-particle":"","family":"Boza-Kiss","given":"Benigna","non-dropping-particle":"","parse-names":false,"suffix":""},{"dropping-particle":"","family":"Krey","given":"Volker","non-dropping-particle":"","parse-names":false,"suffix":""},{"dropping-particle":"","family":"McCollum","given":"David L.","non-dropping-particle":"","parse-names":false,"suffix":""},{"dropping-particle":"","family":"Rao","given":"Narasimha D","non-dropping-particle":"","parse-names":false,"suffix":""},{"dropping-particle":"","family":"Riahi","given":"Keywan","non-dropping-particle":"","parse-names":false,"suffix":""},{"dropping-particle":"","family":"Rogelj","given":"Joeri","non-dropping-particle":"","parse-names":false,"suffix":""},{"dropping-particle":"","family":"Stercke","given":"Simon","non-dropping-particle":"De","parse-names":false,"suffix":""},{"dropping-particle":"","family":"Cullen","given":"Jonathan","non-dropping-particle":"","parse-names":false,"suffix":""},{"dropping-particle":"","family":"Frank","given":"Stefan","non-dropping-particle":"","parse-names":false,"suffix":""},{"dropping-particle":"","family":"Fricko","given":"Oliver","non-dropping-particle":"","parse-names":false,"suffix":""},{"dropping-particle":"","family":"Guo","given":"Fei","non-dropping-particle":"","parse-names":false,"suffix":""},{"dropping-particle":"","family":"Gidden","given":"Matt","non-dropping-particle":"","parse-names":false,"suffix":""},{"dropping-particle":"","family":"Havlík","given":"Petr","non-dropping-particle":"","parse-names":false,"suffix":""},{"dropping-particle":"","family":"Huppmann","given":"Daniel","non-dropping-particle":"","parse-names":false,"suffix":""},{"dropping-particle":"","family":"Kiesewetter","given":"Gregor","non-dropping-particle":"","parse-names":false,"suffix":""},{"dropping-particle":"","family":"Rafaj","given":"Peter","non-dropping-particle":"","parse-names":false,"suffix":""},{"dropping-particle":"","family":"Schoepp","given":"Wolfgang","non-dropping-particle":"","parse-names":false,"suffix":""},{"dropping-particle":"","family":"Valin","given":"Hugo","non-dropping-particle":"","parse-names":false,"suffix":""}],"container-title":"Nature Energy","id":"ITEM-1","issue":"6","issued":{"date-parts":[["2018"]]},"page":"515-527","title":"A low energy demand scenario for meeting the 1.5 °c target and sustainable development goals without negative emission technologies","type":"article-journal","volume":"3"},"uris":["http://www.mendeley.com/documents/?uuid=ba8beba8-5f39-4fe8-acdc-ab9ba5b51fbf"]}],"mendeley":{"formattedCitation":"&lt;sup&gt;5&lt;/sup&gt;","plainTextFormattedCitation":"5","previouslyFormattedCitation":"&lt;sup&gt;5&lt;/sup&gt;"},"properties":{"noteIndex":0},"schema":"https://github.com/citation-style-language/schema/raw/master/csl-citation.json"}</w:instrText>
      </w:r>
      <w:r w:rsidR="00090364" w:rsidRPr="000E55C1">
        <w:rPr>
          <w:rFonts w:eastAsia="Corbel" w:cstheme="minorHAnsi"/>
        </w:rPr>
        <w:fldChar w:fldCharType="separate"/>
      </w:r>
      <w:r w:rsidR="00090364" w:rsidRPr="000E55C1">
        <w:rPr>
          <w:rFonts w:eastAsia="Corbel" w:cstheme="minorHAnsi"/>
          <w:noProof/>
          <w:vertAlign w:val="superscript"/>
        </w:rPr>
        <w:t>5</w:t>
      </w:r>
      <w:r w:rsidR="00090364" w:rsidRPr="000E55C1">
        <w:rPr>
          <w:rFonts w:eastAsia="Corbel" w:cstheme="minorHAnsi"/>
        </w:rPr>
        <w:fldChar w:fldCharType="end"/>
      </w:r>
      <w:r w:rsidR="00090364" w:rsidRPr="000E55C1">
        <w:rPr>
          <w:rFonts w:eastAsia="Corbel" w:cstheme="minorHAnsi"/>
        </w:rPr>
        <w:t xml:space="preserve">, </w:t>
      </w:r>
      <w:r w:rsidRPr="000E55C1">
        <w:rPr>
          <w:rFonts w:eastAsia="Corbel" w:cstheme="minorHAnsi"/>
        </w:rPr>
        <w:t>it is argued that energy efficiency measures that reduce overall energy use are crucial to decarbonisation of energy systems, as it reduces the ‘resource constraint’ problem with the roll out of low-carbon technology</w:t>
      </w:r>
      <w:r w:rsidR="00A14385" w:rsidRPr="000E55C1">
        <w:rPr>
          <w:rFonts w:eastAsia="Corbel" w:cstheme="minorHAnsi"/>
        </w:rPr>
        <w:fldChar w:fldCharType="begin" w:fldLock="1"/>
      </w:r>
      <w:r w:rsidR="00A14385" w:rsidRPr="000E55C1">
        <w:rPr>
          <w:rFonts w:eastAsia="Corbel" w:cstheme="minorHAnsi"/>
        </w:rPr>
        <w:instrText>ADDIN CSL_CITATION {"citationItems":[{"id":"ITEM-1","itemData":{"DOI":"10.1787/ab43a9a5-en","abstract":"Cleaner Fossil Fuels, Energy Projections, Technologies","author":[{"dropping-particle":"","family":"International Energy Agency","given":"","non-dropping-particle":"","parse-names":false,"suffix":""}],"container-title":"Energy Technology Perspectives 2020","id":"ITEM-1","issued":{"date-parts":[["2020"]]},"title":"Energy Technology Perspectives 2020","type":"report"},"uris":["http://www.mendeley.com/documents/?uuid=667f6940-4ad8-4ee7-a16a-2a2dc71040ae"]}],"mendeley":{"formattedCitation":"&lt;sup&gt;8&lt;/sup&gt;","plainTextFormattedCitation":"8","previouslyFormattedCitation":"&lt;sup&gt;8&lt;/sup&gt;"},"properties":{"noteIndex":0},"schema":"https://github.com/citation-style-language/schema/raw/master/csl-citation.json"}</w:instrText>
      </w:r>
      <w:r w:rsidR="00A14385" w:rsidRPr="000E55C1">
        <w:rPr>
          <w:rFonts w:eastAsia="Corbel" w:cstheme="minorHAnsi"/>
        </w:rPr>
        <w:fldChar w:fldCharType="separate"/>
      </w:r>
      <w:r w:rsidR="00A14385" w:rsidRPr="000E55C1">
        <w:rPr>
          <w:rFonts w:eastAsia="Corbel" w:cstheme="minorHAnsi"/>
          <w:noProof/>
          <w:vertAlign w:val="superscript"/>
        </w:rPr>
        <w:t>8</w:t>
      </w:r>
      <w:r w:rsidR="00A14385" w:rsidRPr="000E55C1">
        <w:rPr>
          <w:rFonts w:eastAsia="Corbel" w:cstheme="minorHAnsi"/>
        </w:rPr>
        <w:fldChar w:fldCharType="end"/>
      </w:r>
      <w:r w:rsidRPr="000E55C1">
        <w:rPr>
          <w:rFonts w:eastAsia="Corbel" w:cstheme="minorHAnsi"/>
        </w:rPr>
        <w:t xml:space="preserve">. </w:t>
      </w:r>
    </w:p>
    <w:p w14:paraId="6905D557" w14:textId="29271D35" w:rsidR="009627EA" w:rsidRPr="000E55C1" w:rsidRDefault="00090364" w:rsidP="009627EA">
      <w:pPr>
        <w:rPr>
          <w:rFonts w:eastAsia="Corbel" w:cstheme="minorHAnsi"/>
        </w:rPr>
      </w:pPr>
      <w:r w:rsidRPr="000E55C1">
        <w:rPr>
          <w:rFonts w:eastAsia="Corbel" w:cstheme="minorHAnsi"/>
          <w:noProof/>
        </w:rPr>
        <w:t>Brugger et al.</w:t>
      </w:r>
      <w:r w:rsidR="00A14385" w:rsidRPr="000E55C1">
        <w:rPr>
          <w:rFonts w:eastAsia="Corbel" w:cstheme="minorHAnsi"/>
          <w:noProof/>
        </w:rPr>
        <w:fldChar w:fldCharType="begin" w:fldLock="1"/>
      </w:r>
      <w:r w:rsidR="00A14385" w:rsidRPr="000E55C1">
        <w:rPr>
          <w:rFonts w:eastAsia="Corbel" w:cstheme="minorHAnsi"/>
          <w:noProof/>
        </w:rPr>
        <w:instrText>ADDIN CSL_CITATION {"citationItems":[{"id":"ITEM-1","itemData":{"DOI":"10.1016/j.enpol.2021.112216","ISSN":"03014215","abstract":"New societal trends are unfolding, such as digitalization, sharing economy and consumer awareness. They will highly influence future energy demand and, depending on their realization, enhance or counteract projected energy efficiency gains. Therefore, these trends have to be accompanied by policies with a strong focus on reducing energy demand (including Energy Efficiency First). This work analyzes quantitatively for all sectors how New Societal Trends interact with energy efficiency (policies). An extensive consultation with European experts identified 12 new societal trends that are likely to shape future energy demand. Based on these, four energy demand scenarios were developed for 2050. Using literature review and expert consultations, the impacts on all sectors were evaluated taking these trends explicitly into account. The results show that New Societal Trends can have a crucial impact on future energy demand beyond mere techno-economic potentials. In the best case scenario, “New Trends Efficient”, they can reduce final energy demand by 67% compared to the EU “Baseline” scenario in 2050. While in the “Worst Case” scenario, they could increase final energy demand by 40%. This paper opens up the discussion on how New Societal Trends will shape future energy demand and emphasizes the crucial role of policy-making therein.","author":[{"dropping-particle":"","family":"Brugger","given":"Heike","non-dropping-particle":"","parse-names":false,"suffix":""},{"dropping-particle":"","family":"Eichhammer","given":"Wolfgang","non-dropping-particle":"","parse-names":false,"suffix":""},{"dropping-particle":"","family":"Mikova","given":"Nadezhda","non-dropping-particle":"","parse-names":false,"suffix":""},{"dropping-particle":"","family":"Dönitz","given":"Ewa","non-dropping-particle":"","parse-names":false,"suffix":""}],"container-title":"Energy Policy","id":"ITEM-1","issued":{"date-parts":[["2021"]]},"title":"Energy Efficiency Vision 2050: How will new societal trends influence future energy demand in the European countries?","type":"article-journal","volume":"152"},"uris":["http://www.mendeley.com/documents/?uuid=1b0ab0e7-bbdd-49fc-86f4-012bb6121524"]}],"mendeley":{"formattedCitation":"&lt;sup&gt;9&lt;/sup&gt;","plainTextFormattedCitation":"9","previouslyFormattedCitation":"&lt;sup&gt;9&lt;/sup&gt;"},"properties":{"noteIndex":0},"schema":"https://github.com/citation-style-language/schema/raw/master/csl-citation.json"}</w:instrText>
      </w:r>
      <w:r w:rsidR="00A14385" w:rsidRPr="000E55C1">
        <w:rPr>
          <w:rFonts w:eastAsia="Corbel" w:cstheme="minorHAnsi"/>
          <w:noProof/>
        </w:rPr>
        <w:fldChar w:fldCharType="separate"/>
      </w:r>
      <w:r w:rsidR="00A14385" w:rsidRPr="000E55C1">
        <w:rPr>
          <w:rFonts w:eastAsia="Corbel" w:cstheme="minorHAnsi"/>
          <w:noProof/>
          <w:vertAlign w:val="superscript"/>
        </w:rPr>
        <w:t>9</w:t>
      </w:r>
      <w:r w:rsidR="00A14385" w:rsidRPr="000E55C1">
        <w:rPr>
          <w:rFonts w:eastAsia="Corbel" w:cstheme="minorHAnsi"/>
          <w:noProof/>
        </w:rPr>
        <w:fldChar w:fldCharType="end"/>
      </w:r>
      <w:r w:rsidRPr="000E55C1">
        <w:rPr>
          <w:rFonts w:eastAsia="Corbel" w:cstheme="minorHAnsi"/>
          <w:noProof/>
        </w:rPr>
        <w:t xml:space="preserve"> </w:t>
      </w:r>
      <w:r w:rsidR="009627EA" w:rsidRPr="000E55C1">
        <w:rPr>
          <w:rFonts w:eastAsia="Corbel" w:cstheme="minorHAnsi"/>
        </w:rPr>
        <w:t xml:space="preserve">assess the potential for overarching societal trends to have an impact on energy efficiency and final energy demand at the EU level. They identify 12 societal trends that may have a future impact on the success of energy efficiency policies and future energy demand, both positive and negative. These societal trends relate to digitalisation, new social and economic models, industrial transformation, and changes in quality of life. In a best-case scenario, trends such as increased consumer awareness, urbanisation and smaller space living reduce energy demand by 67% compared with an EU baseline projection of final energy demand. Conversely, their worst-case scenario, sees new societal trends contributing to a 40% increase in energy consumption through increased efficiency rebounds. They suggest this wide range of impacts displays that energy efficiency gains do not by themselves lead to energy demand reduction, highlighting the need for strong policy frameworks that ensure energy efficiency gains have the desired effect </w:t>
      </w:r>
      <w:r w:rsidR="009627EA" w:rsidRPr="000E55C1">
        <w:rPr>
          <w:rFonts w:eastAsia="Corbel" w:cstheme="minorHAnsi"/>
        </w:rPr>
        <w:fldChar w:fldCharType="begin" w:fldLock="1"/>
      </w:r>
      <w:r w:rsidRPr="000E55C1">
        <w:rPr>
          <w:rFonts w:eastAsia="Corbel" w:cstheme="minorHAnsi"/>
        </w:rPr>
        <w:instrText>ADDIN CSL_CITATION {"citationItems":[{"id":"ITEM-1","itemData":{"DOI":"10.1016/j.enpol.2021.112216","ISSN":"03014215","abstract":"New societal trends are unfolding, such as digitalization, sharing economy and consumer awareness. They will highly influence future energy demand and, depending on their realization, enhance or counteract projected energy efficiency gains. Therefore, these trends have to be accompanied by policies with a strong focus on reducing energy demand (including Energy Efficiency First). This work analyzes quantitatively for all sectors how New Societal Trends interact with energy efficiency (policies). An extensive consultation with European experts identified 12 new societal trends that are likely to shape future energy demand. Based on these, four energy demand scenarios were developed for 2050. Using literature review and expert consultations, the impacts on all sectors were evaluated taking these trends explicitly into account. The results show that New Societal Trends can have a crucial impact on future energy demand beyond mere techno-economic potentials. In the best case scenario, “New Trends Efficient”, they can reduce final energy demand by 67% compared to the EU “Baseline” scenario in 2050. While in the “Worst Case” scenario, they could increase final energy demand by 40%. This paper opens up the discussion on how New Societal Trends will shape future energy demand and emphasizes the crucial role of policy-making therein.","author":[{"dropping-particle":"","family":"Brugger","given":"Heike","non-dropping-particle":"","parse-names":false,"suffix":""},{"dropping-particle":"","family":"Eichhammer","given":"Wolfgang","non-dropping-particle":"","parse-names":false,"suffix":""},{"dropping-particle":"","family":"Mikova","given":"Nadezhda","non-dropping-particle":"","parse-names":false,"suffix":""},{"dropping-particle":"","family":"Dönitz","given":"Ewa","non-dropping-particle":"","parse-names":false,"suffix":""}],"container-title":"Energy Policy","id":"ITEM-1","issued":{"date-parts":[["2021"]]},"title":"Energy Efficiency Vision 2050: How will new societal trends influence future energy demand in the European countries?","type":"article-journal","volume":"152"},"uris":["http://www.mendeley.com/documents/?uuid=3f4e4802-24d2-31fa-956e-3713bafea7b9"]}],"mendeley":{"formattedCitation":"&lt;sup&gt;9&lt;/sup&gt;","plainTextFormattedCitation":"9","previouslyFormattedCitation":"&lt;sup&gt;9&lt;/sup&gt;"},"properties":{"noteIndex":0},"schema":"https://github.com/citation-style-language/schema/raw/master/csl-citation.json"}</w:instrText>
      </w:r>
      <w:r w:rsidR="009627EA" w:rsidRPr="000E55C1">
        <w:rPr>
          <w:rFonts w:eastAsia="Corbel" w:cstheme="minorHAnsi"/>
          <w:vertAlign w:val="superscript"/>
        </w:rPr>
        <w:fldChar w:fldCharType="separate"/>
      </w:r>
      <w:r w:rsidRPr="000E55C1">
        <w:rPr>
          <w:rFonts w:eastAsia="Corbel" w:cstheme="minorHAnsi"/>
          <w:noProof/>
          <w:vertAlign w:val="superscript"/>
        </w:rPr>
        <w:t>9</w:t>
      </w:r>
      <w:r w:rsidR="009627EA" w:rsidRPr="000E55C1">
        <w:rPr>
          <w:rFonts w:eastAsia="Corbel" w:cstheme="minorHAnsi"/>
        </w:rPr>
        <w:fldChar w:fldCharType="end"/>
      </w:r>
      <w:r w:rsidR="009627EA" w:rsidRPr="000E55C1">
        <w:rPr>
          <w:rFonts w:eastAsia="Corbel" w:cstheme="minorHAnsi"/>
        </w:rPr>
        <w:t xml:space="preserve">. </w:t>
      </w:r>
    </w:p>
    <w:p w14:paraId="1FD66C3C" w14:textId="731DB117" w:rsidR="009627EA" w:rsidRPr="000E55C1" w:rsidRDefault="00955BCE" w:rsidP="009627EA">
      <w:pPr>
        <w:pStyle w:val="Heading3"/>
        <w:rPr>
          <w:rFonts w:asciiTheme="minorHAnsi" w:hAnsiTheme="minorHAnsi" w:cstheme="minorHAnsi"/>
          <w:b/>
          <w:bCs/>
          <w:sz w:val="22"/>
          <w:szCs w:val="22"/>
        </w:rPr>
      </w:pPr>
      <w:bookmarkStart w:id="3" w:name="_Toc77587866"/>
      <w:r w:rsidRPr="000E55C1">
        <w:rPr>
          <w:rFonts w:asciiTheme="minorHAnsi" w:hAnsiTheme="minorHAnsi" w:cstheme="minorHAnsi"/>
          <w:sz w:val="22"/>
          <w:szCs w:val="22"/>
        </w:rPr>
        <w:t>2</w:t>
      </w:r>
      <w:r w:rsidR="009627EA" w:rsidRPr="000E55C1">
        <w:rPr>
          <w:rFonts w:asciiTheme="minorHAnsi" w:hAnsiTheme="minorHAnsi" w:cstheme="minorHAnsi"/>
          <w:sz w:val="22"/>
          <w:szCs w:val="22"/>
        </w:rPr>
        <w:t>.2 Changes to social practices, lifestyles, and behaviour</w:t>
      </w:r>
      <w:bookmarkEnd w:id="3"/>
    </w:p>
    <w:p w14:paraId="0002F66B" w14:textId="57D5FC2E" w:rsidR="009627EA" w:rsidRPr="000E55C1" w:rsidRDefault="009627EA" w:rsidP="009627EA">
      <w:pPr>
        <w:spacing w:line="257" w:lineRule="auto"/>
        <w:rPr>
          <w:rFonts w:eastAsia="Corbel" w:cstheme="minorHAnsi"/>
        </w:rPr>
      </w:pPr>
      <w:r w:rsidRPr="000E55C1">
        <w:rPr>
          <w:rFonts w:eastAsia="Corbel" w:cstheme="minorHAnsi"/>
        </w:rPr>
        <w:t>The literature also includes scenarios that explore the extent that energy demand could be reduced through changes to how society consumes energy services. There are various terms used to describe this mechanism for demand reduction, such as ‘lifestyle change’</w:t>
      </w:r>
      <w:r w:rsidR="00A14385" w:rsidRPr="000E55C1">
        <w:rPr>
          <w:rFonts w:eastAsia="Corbel" w:cstheme="minorHAnsi"/>
        </w:rPr>
        <w:fldChar w:fldCharType="begin" w:fldLock="1"/>
      </w:r>
      <w:r w:rsidR="00A14385" w:rsidRPr="000E55C1">
        <w:rPr>
          <w:rFonts w:eastAsia="Corbel" w:cstheme="minorHAnsi"/>
        </w:rPr>
        <w:instrText>ADDIN CSL_CITATION {"citationItems":[{"id":"ITEM-1","itemData":{"abstract":"Since 2006, researchers at UKERC have been working together on an ambitious project assessing how the UK can move to a resilient ('secure') and low-carbon energy system over the period to 2050. This report synthesises the project findings. A more extended account of the project will be published in book form in early 2010. The Energy 2050 project brought together a wide range of researchers coming from several disciplines to address a common problem, exploring all dimensions of the possible development of the UK energy system through to 2050. A common set of scenarios was used, making it possible to relate the different elements of the project to each other. While the project relied heavily on scenarios and modelling, it also placed great emphasis on the underlying policy and research questions and the conclusions and implications for action. This report focuses on these aspects of the work, in order to make it more relevant to policy makers and a wider readership. Technical detail is kept to a minimum but is available in the full Research Reports that were produced by the various work streams of the project. These are being made available on the UKERC website.","author":[{"dropping-particle":"","family":"Eyre","given":"Nick","non-dropping-particle":"","parse-names":false,"suffix":""},{"dropping-particle":"","family":"Brand","given":"Christian","non-dropping-particle":"","parse-names":false,"suffix":""},{"dropping-particle":"","family":"Layberry","given":"Russel","non-dropping-particle":"","parse-names":false,"suffix":""},{"dropping-particle":"","family":"Anable","given":"Jillian","non-dropping-particle":"","parse-names":false,"suffix":""},{"dropping-particle":"","family":"Strachan","given":"Neil","non-dropping-particle":"","parse-names":false,"suffix":""}],"chapter-number":"6","container-title":"ENERGY 2050: Making the transition to a secure and low-carbon energy system: Synthesis report","editor":[{"dropping-particle":"","family":"Ekins","given":"Paul","non-dropping-particle":"","parse-names":false,"suffix":""},{"dropping-particle":"","family":"Skea","given":"Jim","non-dropping-particle":"","parse-names":false,"suffix":""}],"id":"ITEM-1","issued":{"date-parts":[["2009"]]},"page":"103-118","publisher":"UKERC","title":"Energy Lifestyles","type":"chapter"},"uris":["http://www.mendeley.com/documents/?uuid=83629c2d-63bd-47c4-b830-f979e7c27db2"]},{"id":"ITEM-2","itemData":{"DOI":"10.1016/j.techfore.2015.08.013","ISSN":"00401625","abstract":"Most model studies focus on technical solutions in order to meet the 2°C climate target, such as renewable, carbon capture and energy efficiency technologies. Such studies show that it becomes increasingly more difficult to attain the 2°C target with carbon price driven technical solutions alone. This indicates the need to focus more on non-economic and non-technological drivers of energy system transformations, which are generally not explicitly included in long-term scenario studies. This study implements a set of lifestyle change measures for residential energy use, mobility and waste management in the integrated assessment model IMAGE. We analyze the implications of these lifestyle changes in a business-as-usual and 2°C climate mitigation reference case. We find that lifestyle change measures included in this study mostly affect the end-use sectors. By 2050, the measures reduce CO2 emissions in the residential sector by about 13% and in the transport sector by about 35% compared to baseline emissions. The indirect implications in the industry and energy supply sectors were found to be negligible. In mitigation scenarios the contribution of lifestyle measures is dampened in end-use sectors as they overlap with more technical measures. Yet, as they may create opportunities to mitigate in sectors without more radical changes in (1) the energy infrastructure and (2) on the short term, it leads to a more cost-efficient mitigation strategy. Further research in how behavior can be internalized into integrated assessment studies is recommendable.","author":[{"dropping-particle":"","family":"Sluisveld","given":"Mariësse A.E.","non-dropping-particle":"van","parse-names":false,"suffix":""},{"dropping-particle":"","family":"Martínez","given":"Sara Herreras","non-dropping-particle":"","parse-names":false,"suffix":""},{"dropping-particle":"","family":"Daioglou","given":"Vassilis","non-dropping-particle":"","parse-names":false,"suffix":""},{"dropping-particle":"","family":"Vuuren","given":"Detlef P.","non-dropping-particle":"van","parse-names":false,"suffix":""}],"container-title":"Technological Forecasting and Social Change","id":"ITEM-2","issued":{"date-parts":[["2016","1","1"]]},"page":"309-319","publisher":"Elsevier Inc.","title":"Exploring the implications of lifestyle change in 2°C mitigation scenarios using the IMAGE integrated assessment model","type":"article-journal","volume":"102"},"uris":["http://www.mendeley.com/documents/?uuid=35846b73-b27b-4074-a5a1-6fcf7e274650"]},{"id":"ITEM-3","itemData":{"DOI":"10.1038/s41558-018-0119-8","ISSN":"17586798","abstract":"Mitigation scenarios that achieve the ambitious targets included in the Paris Agreement typically rely on greenhouse gas emission reductions combined with net carbon dioxide removal (CDR) from the atmosphere, mostly accomplished through large-scale application of bioenergy with carbon capture and storage, and afforestation. However, CDR strategies face several difficulties such as reliance on underground CO2 storage and competition for land with food production and biodiversity protection. The question arises whether alternative deep mitigation pathways exist. Here, using an integrated assessment model, we explore the impact of alternative pathways that include lifestyle change, additional reduction of non-CO2 greenhouse gases and more rapid electrification of energy demand based on renewable energy. Although these alternatives also face specific difficulties, they are found to significantly reduce the need for CDR, but not fully eliminate it. The alternatives offer a means to diversify transition pathways to meet the Paris Agreement targets, while simultaneously benefiting other sustainability goals.","author":[{"dropping-particle":"","family":"Vuuren","given":"Detlef P.","non-dropping-particle":"Van","parse-names":false,"suffix":""},{"dropping-particle":"","family":"Stehfest","given":"Elke","non-dropping-particle":"","parse-names":false,"suffix":""},{"dropping-particle":"","family":"Gernaat","given":"David E.H.J.","non-dropping-particle":"","parse-names":false,"suffix":""},{"dropping-particle":"","family":"Berg","given":"Maarten","non-dropping-particle":"Van Den","parse-names":false,"suffix":""},{"dropping-particle":"","family":"Bijl","given":"David L.","non-dropping-particle":"","parse-names":false,"suffix":""},{"dropping-particle":"","family":"Boer","given":"Harmen Sytze","non-dropping-particle":"De","parse-names":false,"suffix":""},{"dropping-particle":"","family":"Daioglou","given":"Vassilis","non-dropping-particle":"","parse-names":false,"suffix":""},{"dropping-particle":"","family":"Doelman","given":"Jonathan C.","non-dropping-particle":"","parse-names":false,"suffix":""},{"dropping-particle":"","family":"Edelenbosch","given":"Oreane Y.","non-dropping-particle":"","parse-names":false,"suffix":""},{"dropping-particle":"","family":"Harmsen","given":"Mathijs","non-dropping-particle":"","parse-names":false,"suffix":""},{"dropping-particle":"","family":"Hof","given":"Andries F.","non-dropping-particle":"","parse-names":false,"suffix":""},{"dropping-particle":"","family":"Sluisveld","given":"Mariësse A.E.","non-dropping-particle":"Van","parse-names":false,"suffix":""}],"container-title":"Nature Climate Change","id":"ITEM-3","issue":"5","issued":{"date-parts":[["2018","5","1"]]},"page":"391-397","publisher":"Nature Publishing Group","title":"Alternative pathways to the 1.5 °c target reduce the need for negative emission technologies","type":"article-journal","volume":"8"},"uris":["http://www.mendeley.com/documents/?uuid=2403c4a6-f51c-4718-a297-39cf60728602"]},{"id":"ITEM-4","itemData":{"ISBN":"978-4-88788-221-8","abstract":"Institute for Global Environmental Strategies, Aalto University, and D-mat ltd. 2019. 1.5-Degree Lifestyles: Targets and Options for Reducing Lifestyle Carbon Footprints. Technical Report. Institute for Global Environmental Strategies, Hayama, Japan","author":[{"dropping-particle":"","family":"Institute for Global Environmental Strategies, Aalto University","given":"and D-mat ltd. 2019.","non-dropping-particle":"","parse-names":false,"suffix":""}],"id":"ITEM-4","issued":{"date-parts":[["2019"]]},"number-of-pages":"49","title":"1.5-Degree Lifestyles: Targets and options for reducing lifestyle carbon footprints","type":"book"},"uris":["http://www.mendeley.com/documents/?uuid=1e60e0b8-a203-4f60-b74e-39df8d4adb4e"]}],"mendeley":{"formattedCitation":"&lt;sup&gt;10–13&lt;/sup&gt;","plainTextFormattedCitation":"10–13","previouslyFormattedCitation":"&lt;sup&gt;10–13&lt;/sup&gt;"},"properties":{"noteIndex":0},"schema":"https://github.com/citation-style-language/schema/raw/master/csl-citation.json"}</w:instrText>
      </w:r>
      <w:r w:rsidR="00A14385" w:rsidRPr="000E55C1">
        <w:rPr>
          <w:rFonts w:eastAsia="Corbel" w:cstheme="minorHAnsi"/>
        </w:rPr>
        <w:fldChar w:fldCharType="separate"/>
      </w:r>
      <w:r w:rsidR="00A14385" w:rsidRPr="000E55C1">
        <w:rPr>
          <w:rFonts w:eastAsia="Corbel" w:cstheme="minorHAnsi"/>
          <w:noProof/>
          <w:vertAlign w:val="superscript"/>
        </w:rPr>
        <w:t>10–13</w:t>
      </w:r>
      <w:r w:rsidR="00A14385" w:rsidRPr="000E55C1">
        <w:rPr>
          <w:rFonts w:eastAsia="Corbel" w:cstheme="minorHAnsi"/>
        </w:rPr>
        <w:fldChar w:fldCharType="end"/>
      </w:r>
      <w:r w:rsidRPr="000E55C1">
        <w:rPr>
          <w:rFonts w:eastAsia="Corbel" w:cstheme="minorHAnsi"/>
        </w:rPr>
        <w:t>, ‘behaviour change’</w:t>
      </w:r>
      <w:r w:rsidR="00A14385" w:rsidRPr="000E55C1">
        <w:rPr>
          <w:rFonts w:eastAsia="Corbel" w:cstheme="minorHAnsi"/>
        </w:rPr>
        <w:fldChar w:fldCharType="begin" w:fldLock="1"/>
      </w:r>
      <w:r w:rsidR="00A14385" w:rsidRPr="000E55C1">
        <w:rPr>
          <w:rFonts w:eastAsia="Corbel" w:cstheme="minorHAnsi"/>
        </w:rPr>
        <w:instrText>ADDIN CSL_CITATION {"citationItems":[{"id":"ITEM-1","itemData":{"DOI":"10.1787/ab43a9a5-en","abstract":"Cleaner Fossil Fuels, Energy Projections, Technologies","author":[{"dropping-particle":"","family":"International Energy Agency","given":"","non-dropping-particle":"","parse-names":false,"suffix":""}],"container-title":"Energy Technology Perspectives 2020","id":"ITEM-1","issued":{"date-parts":[["2020"]]},"title":"Energy Technology Perspectives 2020","type":"report"},"uris":["http://www.mendeley.com/documents/?uuid=667f6940-4ad8-4ee7-a16a-2a2dc71040ae"]},{"id":"ITEM-2","itemData":{"DOI":"10.1016/j.envsoft.2020.104839","ISSN":"13648152","abstract":"Households are responsible for a significant share of global greenhouse emissions. Hence, academic and policy discourses highlight behavioral changes among households as an essential strategy for combating climate change. However, formal models used to assess economic impacts of energy policies face limitations in tracing cumulative impacts of adaptive behavior of diverse households. The past decade has witnessed a proliferation of agent-based simulation models that quantify behavioral climate change mitigation relying on social science theories and micro-level survey data. Yet, these behaviorally-rich models usually operate on a small scale of neighborhoods, towns, and small regions, ignoring macro-scale social institutions such as international markets and rarely covering large areas relevant for climate change mitigation policy. This paper presents a methodology to scale up behavioral changes among heterogeneous individuals regarding energy choices while tracing their macroeconomic and cross-sectoral impacts. To achieve this goal, we combine the strengths of top-down computable general equilibrium models and bottom-up agent-based models. We illustrate the integration process of these two alien modeling approaches by linking data-rich macroeconomic with micro-behavioral models. Following a three-step approach, we investigate the dynamics of cumulative impacts of changes in individual energy use under three behavioral scenarios. Our findings demonstrate that the regional dimension is important in a low-carbon economy transition. Heterogeneity in individual socio-demographics (e.g. education and age), structural characteristics (e.g. type and size of dwellings), behavioral and social traits (e.g. awareness and personal norms), and social interactions amplify these differences, causing nonlinearities in diffusion of green investments among households and macro-economic dynamics.","author":[{"dropping-particle":"","family":"Niamir","given":"Leila","non-dropping-particle":"","parse-names":false,"suffix":""},{"dropping-particle":"","family":"Ivanova","given":"Olga","non-dropping-particle":"","parse-names":false,"suffix":""},{"dropping-particle":"","family":"Filatova","given":"Tatiana","non-dropping-particle":"","parse-names":false,"suffix":""}],"container-title":"Environmental Modelling and Software","id":"ITEM-2","issued":{"date-parts":[["2020","12","1"]]},"page":"104839","publisher":"Elsevier Ltd","title":"Economy-wide impacts of behavioral climate change mitigation: Linking agent-based and computable general equilibrium models","type":"article-journal","volume":"134"},"uris":["http://www.mendeley.com/documents/?uuid=07012b8f-b518-49fd-a98c-fbd23157daa2"]}],"mendeley":{"formattedCitation":"&lt;sup&gt;8,14&lt;/sup&gt;","plainTextFormattedCitation":"8,14","previouslyFormattedCitation":"&lt;sup&gt;8,14&lt;/sup&gt;"},"properties":{"noteIndex":0},"schema":"https://github.com/citation-style-language/schema/raw/master/csl-citation.json"}</w:instrText>
      </w:r>
      <w:r w:rsidR="00A14385" w:rsidRPr="000E55C1">
        <w:rPr>
          <w:rFonts w:eastAsia="Corbel" w:cstheme="minorHAnsi"/>
        </w:rPr>
        <w:fldChar w:fldCharType="separate"/>
      </w:r>
      <w:r w:rsidR="00A14385" w:rsidRPr="000E55C1">
        <w:rPr>
          <w:rFonts w:eastAsia="Corbel" w:cstheme="minorHAnsi"/>
          <w:noProof/>
          <w:vertAlign w:val="superscript"/>
        </w:rPr>
        <w:t>8,14</w:t>
      </w:r>
      <w:r w:rsidR="00A14385" w:rsidRPr="000E55C1">
        <w:rPr>
          <w:rFonts w:eastAsia="Corbel" w:cstheme="minorHAnsi"/>
        </w:rPr>
        <w:fldChar w:fldCharType="end"/>
      </w:r>
      <w:r w:rsidRPr="000E55C1">
        <w:rPr>
          <w:rFonts w:eastAsia="Corbel" w:cstheme="minorHAnsi"/>
        </w:rPr>
        <w:t xml:space="preserve">  or </w:t>
      </w:r>
      <w:r w:rsidR="00A14385" w:rsidRPr="000E55C1">
        <w:rPr>
          <w:rFonts w:eastAsia="Corbel" w:cstheme="minorHAnsi"/>
        </w:rPr>
        <w:t>‘</w:t>
      </w:r>
      <w:r w:rsidRPr="000E55C1">
        <w:rPr>
          <w:rFonts w:eastAsia="Corbel" w:cstheme="minorHAnsi"/>
        </w:rPr>
        <w:t>social change</w:t>
      </w:r>
      <w:r w:rsidR="00A14385" w:rsidRPr="000E55C1">
        <w:rPr>
          <w:rFonts w:eastAsia="Corbel" w:cstheme="minorHAnsi"/>
        </w:rPr>
        <w:t>’</w:t>
      </w:r>
      <w:r w:rsidRPr="000E55C1">
        <w:rPr>
          <w:rFonts w:eastAsia="Corbel" w:cstheme="minorHAnsi"/>
        </w:rPr>
        <w:t xml:space="preserve"> </w:t>
      </w:r>
      <w:r w:rsidRPr="000E55C1">
        <w:rPr>
          <w:rFonts w:eastAsia="Corbel" w:cstheme="minorHAnsi"/>
        </w:rPr>
        <w:fldChar w:fldCharType="begin" w:fldLock="1"/>
      </w:r>
      <w:r w:rsidR="00A14385" w:rsidRPr="000E55C1">
        <w:rPr>
          <w:rFonts w:eastAsia="Corbel" w:cstheme="minorHAnsi"/>
        </w:rPr>
        <w:instrText>ADDIN CSL_CITATION {"citationItems":[{"id":"ITEM-1","itemData":{"DOI":"10.1088/1748-9326/ab8589","ISSN":"17489326","abstract":"Background. Around two-thirds of global GHG emissions are directly and indirectly linked to household consumption, with a global average of about 6 tCO2eq/cap. The average per capita carbon footprint of North America and Europe amount to 13.4 and 7.5 tCO2eq/cap, respectively, while that of Africa and the Middle East - to 1.7 tCO2eq/cap on average. Changes in consumption patterns to low-carbon alternatives therefore present a great and urgently required potential for emission reductions. In this paper, we synthesize emission mitigation potentials across the consumption domains of food, housing, transport and other consumption. Methods. We systematically screened 6990 records in the Web of Science Core Collections and Scopus. Searches were restricted to (1) reviews of lifecycle assessment studies and (2) multiregional input-output studies of household consumption, published after 2011 in English. We selected against pre-determined eligibility criteria and quantitatively synthesized findings from 53 studies in a meta-review. We identified 771 original options, which we summarized and presented in 61 consumption options with a positive mitigation potential. We used a fixed-effects model to explore the role of contextual factors (geographical, technical and socio-demographic factors) for the outcome variable (mitigation potential per capita) within consumption options. Results and discussion. We establish consumption options with a high mitigation potential measured in tons of CO2eq/capita/yr. For transport, the options with the highest mitigation potential include living car-free, shifting to a battery electric vehicle, and reducing flying by a long return flight with a median reduction potential of more than 1.7 tCO2eq/cap. In the context of food, the highest carbon savings come from dietary changes, particularly an adoption of vegan diet with an average and median mitigation potential of 0.9 and 0.8 tCO2eq/cap, respectively. Shifting to renewable electricity and refurbishment and renovation are the options with the highest mitigation potential in the housing domain, with medians at 1.6 and 0.9 tCO2eq/cap, respectively. We find that the top ten consumption options together yield an average mitigation potential of 9.2 tCO2eq/cap, indicating substantial contributions towards achieving the 1.5 C-2 C target, particularly in high-income context.","author":[{"dropping-particle":"","family":"Ivanova","given":"Diana","non-dropping-particle":"","parse-names":false,"suffix":""},{"dropping-particle":"","family":"Barrett","given":"John","non-dropping-particle":"","parse-names":false,"suffix":""},{"dropping-particle":"","family":"Wiedenhofer","given":"Dominik","non-dropping-particle":"","parse-names":false,"suffix":""},{"dropping-particle":"","family":"Macura","given":"Biljana","non-dropping-particle":"","parse-names":false,"suffix":""},{"dropping-particle":"","family":"Callaghan","given":"Max","non-dropping-particle":"","parse-names":false,"suffix":""},{"dropping-particle":"","family":"Creutzig","given":"Felix","non-dropping-particle":"","parse-names":false,"suffix":""}],"container-title":"Environmental Research Letters","id":"ITEM-1","issue":"9","issued":{"date-parts":[["2020","9","1"]]},"page":"093001","publisher":"IOP Publishing Ltd","title":"Quantifying the potential for climate change mitigation of consumption options","type":"article","volume":"15"},"uris":["http://www.mendeley.com/documents/?uuid=c919d8ec-3572-4820-acf2-513ed704e0b3"]},{"id":"ITEM-2","itemData":{"DOI":"10.1038/s41560-018-0172-6","ISSN":"20587546","abstract":"Scenarios that limit global warming to 1.5 °C describe major transformations in energy supply and ever-rising energy demand. Here, we provide a contrasting perspective by developing a narrative of future change based on observable trends that results in low energy demand. We describe and quantify changes in activity levels and energy intensity in the global North and global South for all major energy services. We project that global final energy demand by 2050 reduces to 245 EJ, around 40% lower than today, despite rises in population, income and activity. Using an integrated assessment modelling framework, we show how changes in the quantity and type of energy services drive structural change in intermediate and upstream supply sectors (energy and land use). Down-sizing the global energy system dramatically improves the feasibility of a low-carbon supply-side transformation. Our scenario meets the 1.5 °C climate target as well as many sustainable development goals, without relying on negative emission technologies.","author":[{"dropping-particle":"","family":"Grubler","given":"Arnulf","non-dropping-particle":"","parse-names":false,"suffix":""},{"dropping-particle":"","family":"Wilson","given":"Charlie","non-dropping-particle":"","parse-names":false,"suffix":""},{"dropping-particle":"","family":"Bento","given":"Nuno","non-dropping-particle":"","parse-names":false,"suffix":""},{"dropping-particle":"","family":"Boza-Kiss","given":"Benigna","non-dropping-particle":"","parse-names":false,"suffix":""},{"dropping-particle":"","family":"Krey","given":"Volker","non-dropping-particle":"","parse-names":false,"suffix":""},{"dropping-particle":"","family":"McCollum","given":"David L.","non-dropping-particle":"","parse-names":false,"suffix":""},{"dropping-particle":"","family":"Rao","given":"Narasimha D","non-dropping-particle":"","parse-names":false,"suffix":""},{"dropping-particle":"","family":"Riahi","given":"Keywan","non-dropping-particle":"","parse-names":false,"suffix":""},{"dropping-particle":"","family":"Rogelj","given":"Joeri","non-dropping-particle":"","parse-names":false,"suffix":""},{"dropping-particle":"","family":"Stercke","given":"Simon","non-dropping-particle":"De","parse-names":false,"suffix":""},{"dropping-particle":"","family":"Cullen","given":"Jonathan","non-dropping-particle":"","parse-names":false,"suffix":""},{"dropping-particle":"","family":"Frank","given":"Stefan","non-dropping-particle":"","parse-names":false,"suffix":""},{"dropping-particle":"","family":"Fricko","given":"Oliver","non-dropping-particle":"","parse-names":false,"suffix":""},{"dropping-particle":"","family":"Guo","given":"Fei","non-dropping-particle":"","parse-names":false,"suffix":""},{"dropping-particle":"","family":"Gidden","given":"Matt","non-dropping-particle":"","parse-names":false,"suffix":""},{"dropping-particle":"","family":"Havlík","given":"Petr","non-dropping-particle":"","parse-names":false,"suffix":""},{"dropping-particle":"","family":"Huppmann","given":"Daniel","non-dropping-particle":"","parse-names":false,"suffix":""},{"dropping-particle":"","family":"Kiesewetter","given":"Gregor","non-dropping-particle":"","parse-names":false,"suffix":""},{"dropping-particle":"","family":"Rafaj","given":"Peter","non-dropping-particle":"","parse-names":false,"suffix":""},{"dropping-particle":"","family":"Schoepp","given":"Wolfgang","non-dropping-particle":"","parse-names":false,"suffix":""},{"dropping-particle":"","family":"Valin","given":"Hugo","non-dropping-particle":"","parse-names":false,"suffix":""}],"container-title":"Nature Energy","id":"ITEM-2","issue":"6","issued":{"date-parts":[["2018"]]},"page":"515-527","title":"A low energy demand scenario for meeting the 1.5 °c target and sustainable development goals without negative emission technologies","type":"article-journal","volume":"3"},"uris":["http://www.mendeley.com/documents/?uuid=ba8beba8-5f39-4fe8-acdc-ab9ba5b51fbf"]},{"id":"ITEM-3","itemData":{"author":[{"dropping-particle":"","family":"Kuhnhenn","given":"Kai","non-dropping-particle":"","parse-names":false,"suffix":""},{"dropping-particle":"","family":"Costa","given":"Luis","non-dropping-particle":"","parse-names":false,"suffix":""},{"dropping-particle":"","family":"Mahnke","given":"Eva","non-dropping-particle":"","parse-names":false,"suffix":""},{"dropping-particle":"","family":"Schneider","given":"Linda","non-dropping-particle":"","parse-names":false,"suffix":""},{"dropping-particle":"","family":"Lange","given":"Steffen","non-dropping-particle":"","parse-names":false,"suffix":""}],"id":"ITEM-3","issued":{"date-parts":[["2020"]]},"number-of-pages":"100","title":"A Societal Transformation Scenario for Staying Below 1.5°C","type":"report"},"uris":["http://www.mendeley.com/documents/?uuid=38466556-3edd-4355-938a-659df10a3ec7"]}],"mendeley":{"formattedCitation":"&lt;sup&gt;5,15,16&lt;/sup&gt;","plainTextFormattedCitation":"5,15,16","previouslyFormattedCitation":"&lt;sup&gt;5,15,16&lt;/sup&gt;"},"properties":{"noteIndex":0},"schema":"https://github.com/citation-style-language/schema/raw/master/csl-citation.json"}</w:instrText>
      </w:r>
      <w:r w:rsidRPr="000E55C1">
        <w:rPr>
          <w:rFonts w:eastAsia="Corbel" w:cstheme="minorHAnsi"/>
          <w:vertAlign w:val="superscript"/>
        </w:rPr>
        <w:fldChar w:fldCharType="separate"/>
      </w:r>
      <w:r w:rsidR="00A14385" w:rsidRPr="000E55C1">
        <w:rPr>
          <w:rFonts w:eastAsia="Corbel" w:cstheme="minorHAnsi"/>
          <w:noProof/>
          <w:vertAlign w:val="superscript"/>
        </w:rPr>
        <w:t>5,15,16</w:t>
      </w:r>
      <w:r w:rsidRPr="000E55C1">
        <w:rPr>
          <w:rFonts w:eastAsia="Corbel" w:cstheme="minorHAnsi"/>
        </w:rPr>
        <w:fldChar w:fldCharType="end"/>
      </w:r>
      <w:r w:rsidRPr="000E55C1">
        <w:rPr>
          <w:rFonts w:eastAsia="Corbel" w:cstheme="minorHAnsi"/>
        </w:rPr>
        <w:t xml:space="preserve">. </w:t>
      </w:r>
    </w:p>
    <w:p w14:paraId="0CB41854" w14:textId="5506D4C7" w:rsidR="009627EA" w:rsidRPr="000E55C1" w:rsidRDefault="009627EA" w:rsidP="009627EA">
      <w:pPr>
        <w:spacing w:line="257" w:lineRule="auto"/>
        <w:rPr>
          <w:rFonts w:eastAsia="Corbel" w:cstheme="minorHAnsi"/>
        </w:rPr>
      </w:pPr>
      <w:r w:rsidRPr="000E55C1">
        <w:rPr>
          <w:rFonts w:eastAsia="Corbel" w:cstheme="minorHAnsi"/>
        </w:rPr>
        <w:lastRenderedPageBreak/>
        <w:t xml:space="preserve">Van </w:t>
      </w:r>
      <w:proofErr w:type="spellStart"/>
      <w:r w:rsidRPr="000E55C1">
        <w:rPr>
          <w:rFonts w:eastAsia="Corbel" w:cstheme="minorHAnsi"/>
        </w:rPr>
        <w:t>Vuuren</w:t>
      </w:r>
      <w:proofErr w:type="spellEnd"/>
      <w:r w:rsidRPr="000E55C1">
        <w:rPr>
          <w:rFonts w:eastAsia="Corbel" w:cstheme="minorHAnsi"/>
        </w:rPr>
        <w:t xml:space="preserve"> et al.</w:t>
      </w:r>
      <w:r w:rsidR="00A14385" w:rsidRPr="000E55C1">
        <w:rPr>
          <w:rFonts w:eastAsia="Corbel" w:cstheme="minorHAnsi"/>
        </w:rPr>
        <w:fldChar w:fldCharType="begin" w:fldLock="1"/>
      </w:r>
      <w:r w:rsidR="00A14385" w:rsidRPr="000E55C1">
        <w:rPr>
          <w:rFonts w:eastAsia="Corbel" w:cstheme="minorHAnsi"/>
        </w:rPr>
        <w:instrText>ADDIN CSL_CITATION {"citationItems":[{"id":"ITEM-1","itemData":{"DOI":"10.1038/s41558-018-0119-8","ISSN":"17586798","abstract":"Mitigation scenarios that achieve the ambitious targets included in the Paris Agreement typically rely on greenhouse gas emission reductions combined with net carbon dioxide removal (CDR) from the atmosphere, mostly accomplished through large-scale application of bioenergy with carbon capture and storage, and afforestation. However, CDR strategies face several difficulties such as reliance on underground CO2 storage and competition for land with food production and biodiversity protection. The question arises whether alternative deep mitigation pathways exist. Here, using an integrated assessment model, we explore the impact of alternative pathways that include lifestyle change, additional reduction of non-CO2 greenhouse gases and more rapid electrification of energy demand based on renewable energy. Although these alternatives also face specific difficulties, they are found to significantly reduce the need for CDR, but not fully eliminate it. The alternatives offer a means to diversify transition pathways to meet the Paris Agreement targets, while simultaneously benefiting other sustainability goals.","author":[{"dropping-particle":"","family":"Vuuren","given":"Detlef P.","non-dropping-particle":"Van","parse-names":false,"suffix":""},{"dropping-particle":"","family":"Stehfest","given":"Elke","non-dropping-particle":"","parse-names":false,"suffix":""},{"dropping-particle":"","family":"Gernaat","given":"David E.H.J.","non-dropping-particle":"","parse-names":false,"suffix":""},{"dropping-particle":"","family":"Berg","given":"Maarten","non-dropping-particle":"Van Den","parse-names":false,"suffix":""},{"dropping-particle":"","family":"Bijl","given":"David L.","non-dropping-particle":"","parse-names":false,"suffix":""},{"dropping-particle":"","family":"Boer","given":"Harmen Sytze","non-dropping-particle":"De","parse-names":false,"suffix":""},{"dropping-particle":"","family":"Daioglou","given":"Vassilis","non-dropping-particle":"","parse-names":false,"suffix":""},{"dropping-particle":"","family":"Doelman","given":"Jonathan C.","non-dropping-particle":"","parse-names":false,"suffix":""},{"dropping-particle":"","family":"Edelenbosch","given":"Oreane Y.","non-dropping-particle":"","parse-names":false,"suffix":""},{"dropping-particle":"","family":"Harmsen","given":"Mathijs","non-dropping-particle":"","parse-names":false,"suffix":""},{"dropping-particle":"","family":"Hof","given":"Andries F.","non-dropping-particle":"","parse-names":false,"suffix":""},{"dropping-particle":"","family":"Sluisveld","given":"Mariësse A.E.","non-dropping-particle":"Van","parse-names":false,"suffix":""}],"container-title":"Nature Climate Change","id":"ITEM-1","issue":"5","issued":{"date-parts":[["2018","5","1"]]},"page":"391-397","publisher":"Nature Publishing Group","title":"Alternative pathways to the 1.5 °c target reduce the need for negative emission technologies","type":"article-journal","volume":"8"},"uris":["http://www.mendeley.com/documents/?uuid=2403c4a6-f51c-4718-a297-39cf60728602"]}],"mendeley":{"formattedCitation":"&lt;sup&gt;12&lt;/sup&gt;","plainTextFormattedCitation":"12","previouslyFormattedCitation":"&lt;sup&gt;12&lt;/sup&gt;"},"properties":{"noteIndex":0},"schema":"https://github.com/citation-style-language/schema/raw/master/csl-citation.json"}</w:instrText>
      </w:r>
      <w:r w:rsidR="00A14385" w:rsidRPr="000E55C1">
        <w:rPr>
          <w:rFonts w:eastAsia="Corbel" w:cstheme="minorHAnsi"/>
        </w:rPr>
        <w:fldChar w:fldCharType="separate"/>
      </w:r>
      <w:r w:rsidR="00A14385" w:rsidRPr="000E55C1">
        <w:rPr>
          <w:rFonts w:eastAsia="Corbel" w:cstheme="minorHAnsi"/>
          <w:noProof/>
          <w:vertAlign w:val="superscript"/>
        </w:rPr>
        <w:t>12</w:t>
      </w:r>
      <w:r w:rsidR="00A14385" w:rsidRPr="000E55C1">
        <w:rPr>
          <w:rFonts w:eastAsia="Corbel" w:cstheme="minorHAnsi"/>
        </w:rPr>
        <w:fldChar w:fldCharType="end"/>
      </w:r>
      <w:r w:rsidR="00A14385" w:rsidRPr="000E55C1">
        <w:rPr>
          <w:rFonts w:eastAsia="Corbel" w:cstheme="minorHAnsi"/>
        </w:rPr>
        <w:t xml:space="preserve"> </w:t>
      </w:r>
      <w:r w:rsidRPr="000E55C1">
        <w:rPr>
          <w:rFonts w:eastAsia="Corbel" w:cstheme="minorHAnsi"/>
        </w:rPr>
        <w:t xml:space="preserve">explore global scenarios consistent with limiting warming to 1.5oC that minimise the reliance on carbon dioxide removal strategies. Their scenario includes significant energy demand reduction through ‘lifestyle change’ including reduced meat consumption, modal shift in mobility service provision, changes in heating preferences and the avoidance of consumption of household appliances. Whilst on their own, these changes are found to be unable to match the pace of mitigation required, as part of a broader mitigation pathway including energy efficiency measures and shifts to low-carbon energy production, demand reduction measures significantly reduce the need for carbon dioxide removal in limiting warming to 1.5oC. </w:t>
      </w:r>
    </w:p>
    <w:p w14:paraId="7415FD7F" w14:textId="02AAA763" w:rsidR="009627EA" w:rsidRPr="000E55C1" w:rsidRDefault="00A14385" w:rsidP="009627EA">
      <w:pPr>
        <w:spacing w:line="257" w:lineRule="auto"/>
        <w:rPr>
          <w:rFonts w:eastAsia="Corbel" w:cstheme="minorHAnsi"/>
        </w:rPr>
      </w:pPr>
      <w:r w:rsidRPr="000E55C1">
        <w:rPr>
          <w:rFonts w:eastAsia="Corbel" w:cstheme="minorHAnsi"/>
        </w:rPr>
        <w:t>Eyre et al.</w:t>
      </w:r>
      <w:r w:rsidR="009627EA" w:rsidRPr="000E55C1">
        <w:rPr>
          <w:rFonts w:eastAsia="Corbel" w:cstheme="minorHAnsi"/>
        </w:rPr>
        <w:fldChar w:fldCharType="begin" w:fldLock="1"/>
      </w:r>
      <w:r w:rsidRPr="000E55C1">
        <w:rPr>
          <w:rFonts w:eastAsia="Corbel" w:cstheme="minorHAnsi"/>
        </w:rPr>
        <w:instrText>ADDIN CSL_CITATION {"citationItems":[{"id":"ITEM-1","itemData":{"abstract":"Since 2006, researchers at UKERC have been working together on an ambitious project assessing how the UK can move to a resilient ('secure') and low-carbon energy system over the period to 2050. This report synthesises the project findings. A more extended account of the project will be published in book form in early 2010. The Energy 2050 project brought together a wide range of researchers coming from several disciplines to address a common problem, exploring all dimensions of the possible development of the UK energy system through to 2050. A common set of scenarios was used, making it possible to relate the different elements of the project to each other. While the project relied heavily on scenarios and modelling, it also placed great emphasis on the underlying policy and research questions and the conclusions and implications for action. This report focuses on these aspects of the work, in order to make it more relevant to policy makers and a wider readership. Technical detail is kept to a minimum but is available in the full Research Reports that were produced by the various work streams of the project. These are being made available on the UKERC website.","author":[{"dropping-particle":"","family":"Eyre","given":"Nick","non-dropping-particle":"","parse-names":false,"suffix":""},{"dropping-particle":"","family":"Brand","given":"Christian","non-dropping-particle":"","parse-names":false,"suffix":""},{"dropping-particle":"","family":"Layberry","given":"Russel","non-dropping-particle":"","parse-names":false,"suffix":""},{"dropping-particle":"","family":"Anable","given":"Jillian","non-dropping-particle":"","parse-names":false,"suffix":""},{"dropping-particle":"","family":"Strachan","given":"Neil","non-dropping-particle":"","parse-names":false,"suffix":""}],"chapter-number":"6","container-title":"ENERGY 2050: Making the transition to a secure and low-carbon energy system: Synthesis report","editor":[{"dropping-particle":"","family":"Ekins","given":"Paul","non-dropping-particle":"","parse-names":false,"suffix":""},{"dropping-particle":"","family":"Skea","given":"Jim","non-dropping-particle":"","parse-names":false,"suffix":""}],"id":"ITEM-1","issued":{"date-parts":[["2009"]]},"page":"103-118","publisher":"UKERC","title":"Energy Lifestyles","type":"chapter"},"uris":["http://www.mendeley.com/documents/?uuid=83629c2d-63bd-47c4-b830-f979e7c27db2"]}],"mendeley":{"formattedCitation":"&lt;sup&gt;10&lt;/sup&gt;","plainTextFormattedCitation":"10","previouslyFormattedCitation":"&lt;sup&gt;10&lt;/sup&gt;"},"properties":{"noteIndex":0},"schema":"https://github.com/citation-style-language/schema/raw/master/csl-citation.json"}</w:instrText>
      </w:r>
      <w:r w:rsidR="009627EA" w:rsidRPr="000E55C1">
        <w:rPr>
          <w:rFonts w:eastAsia="Corbel" w:cstheme="minorHAnsi"/>
        </w:rPr>
        <w:fldChar w:fldCharType="separate"/>
      </w:r>
      <w:r w:rsidRPr="000E55C1">
        <w:rPr>
          <w:rFonts w:eastAsia="Corbel" w:cstheme="minorHAnsi"/>
          <w:noProof/>
          <w:vertAlign w:val="superscript"/>
        </w:rPr>
        <w:t>10</w:t>
      </w:r>
      <w:r w:rsidR="009627EA" w:rsidRPr="000E55C1">
        <w:rPr>
          <w:rFonts w:eastAsia="Corbel" w:cstheme="minorHAnsi"/>
        </w:rPr>
        <w:fldChar w:fldCharType="end"/>
      </w:r>
      <w:r w:rsidR="009627EA" w:rsidRPr="000E55C1">
        <w:rPr>
          <w:rFonts w:eastAsia="Corbel" w:cstheme="minorHAnsi"/>
        </w:rPr>
        <w:t xml:space="preserve"> develop a scenario of lifestyle change in the UK built upon increasing concerns about energy use and its environmental implications. They suggest that lifestyle change impacts service demands mostly in residential and transportation energy services and have the potential to reduce national energy use and carbon emissions by 35% and 30% respectively. They conclude that such a shift would reduce the cost of transitioning the energy supply to low carbon alternatives by £70 billion, concurring with others in the literature</w:t>
      </w:r>
      <w:r w:rsidR="00090364" w:rsidRPr="000E55C1">
        <w:rPr>
          <w:rFonts w:eastAsia="Corbel" w:cstheme="minorHAnsi"/>
        </w:rPr>
        <w:t xml:space="preserve"> </w:t>
      </w:r>
      <w:r w:rsidR="00090364" w:rsidRPr="000E55C1">
        <w:rPr>
          <w:rFonts w:eastAsia="Corbel" w:cstheme="minorHAnsi"/>
        </w:rPr>
        <w:fldChar w:fldCharType="begin" w:fldLock="1"/>
      </w:r>
      <w:r w:rsidR="00090364" w:rsidRPr="000E55C1">
        <w:rPr>
          <w:rFonts w:eastAsia="Corbel" w:cstheme="minorHAnsi"/>
        </w:rPr>
        <w:instrText>ADDIN CSL_CITATION {"citationItems":[{"id":"ITEM-1","itemData":{"DOI":"10.1038/s41560-018-0172-6","ISSN":"20587546","abstract":"Scenarios that limit global warming to 1.5 °C describe major transformations in energy supply and ever-rising energy demand. Here, we provide a contrasting perspective by developing a narrative of future change based on observable trends that results in low energy demand. We describe and quantify changes in activity levels and energy intensity in the global North and global South for all major energy services. We project that global final energy demand by 2050 reduces to 245 EJ, around 40% lower than today, despite rises in population, income and activity. Using an integrated assessment modelling framework, we show how changes in the quantity and type of energy services drive structural change in intermediate and upstream supply sectors (energy and land use). Down-sizing the global energy system dramatically improves the feasibility of a low-carbon supply-side transformation. Our scenario meets the 1.5 °C climate target as well as many sustainable development goals, without relying on negative emission technologies.","author":[{"dropping-particle":"","family":"Grubler","given":"Arnulf","non-dropping-particle":"","parse-names":false,"suffix":""},{"dropping-particle":"","family":"Wilson","given":"Charlie","non-dropping-particle":"","parse-names":false,"suffix":""},{"dropping-particle":"","family":"Bento","given":"Nuno","non-dropping-particle":"","parse-names":false,"suffix":""},{"dropping-particle":"","family":"Boza-Kiss","given":"Benigna","non-dropping-particle":"","parse-names":false,"suffix":""},{"dropping-particle":"","family":"Krey","given":"Volker","non-dropping-particle":"","parse-names":false,"suffix":""},{"dropping-particle":"","family":"McCollum","given":"David L.","non-dropping-particle":"","parse-names":false,"suffix":""},{"dropping-particle":"","family":"Rao","given":"Narasimha D","non-dropping-particle":"","parse-names":false,"suffix":""},{"dropping-particle":"","family":"Riahi","given":"Keywan","non-dropping-particle":"","parse-names":false,"suffix":""},{"dropping-particle":"","family":"Rogelj","given":"Joeri","non-dropping-particle":"","parse-names":false,"suffix":""},{"dropping-particle":"","family":"Stercke","given":"Simon","non-dropping-particle":"De","parse-names":false,"suffix":""},{"dropping-particle":"","family":"Cullen","given":"Jonathan","non-dropping-particle":"","parse-names":false,"suffix":""},{"dropping-particle":"","family":"Frank","given":"Stefan","non-dropping-particle":"","parse-names":false,"suffix":""},{"dropping-particle":"","family":"Fricko","given":"Oliver","non-dropping-particle":"","parse-names":false,"suffix":""},{"dropping-particle":"","family":"Guo","given":"Fei","non-dropping-particle":"","parse-names":false,"suffix":""},{"dropping-particle":"","family":"Gidden","given":"Matt","non-dropping-particle":"","parse-names":false,"suffix":""},{"dropping-particle":"","family":"Havlík","given":"Petr","non-dropping-particle":"","parse-names":false,"suffix":""},{"dropping-particle":"","family":"Huppmann","given":"Daniel","non-dropping-particle":"","parse-names":false,"suffix":""},{"dropping-particle":"","family":"Kiesewetter","given":"Gregor","non-dropping-particle":"","parse-names":false,"suffix":""},{"dropping-particle":"","family":"Rafaj","given":"Peter","non-dropping-particle":"","parse-names":false,"suffix":""},{"dropping-particle":"","family":"Schoepp","given":"Wolfgang","non-dropping-particle":"","parse-names":false,"suffix":""},{"dropping-particle":"","family":"Valin","given":"Hugo","non-dropping-particle":"","parse-names":false,"suffix":""}],"container-title":"Nature Energy","id":"ITEM-1","issue":"6","issued":{"date-parts":[["2018"]]},"page":"515-527","title":"A low energy demand scenario for meeting the 1.5 °c target and sustainable development goals without negative emission technologies","type":"article-journal","volume":"3"},"uris":["http://www.mendeley.com/documents/?uuid=ba8beba8-5f39-4fe8-acdc-ab9ba5b51fbf"]},{"id":"ITEM-2","itemData":{"DOI":"10.1787/ab43a9a5-en","abstract":"Cleaner Fossil Fuels, Energy Projections, Technologies","author":[{"dropping-particle":"","family":"International Energy Agency","given":"","non-dropping-particle":"","parse-names":false,"suffix":""}],"container-title":"Energy Technology Perspectives 2020","id":"ITEM-2","issued":{"date-parts":[["2020"]]},"title":"Energy Technology Perspectives 2020","type":"report"},"uris":["http://www.mendeley.com/documents/?uuid=667f6940-4ad8-4ee7-a16a-2a2dc71040ae"]}],"mendeley":{"formattedCitation":"&lt;sup&gt;5,8&lt;/sup&gt;","plainTextFormattedCitation":"5,8","previouslyFormattedCitation":"&lt;sup&gt;5,8&lt;/sup&gt;"},"properties":{"noteIndex":0},"schema":"https://github.com/citation-style-language/schema/raw/master/csl-citation.json"}</w:instrText>
      </w:r>
      <w:r w:rsidR="00090364" w:rsidRPr="000E55C1">
        <w:rPr>
          <w:rFonts w:eastAsia="Corbel" w:cstheme="minorHAnsi"/>
        </w:rPr>
        <w:fldChar w:fldCharType="separate"/>
      </w:r>
      <w:r w:rsidR="00090364" w:rsidRPr="000E55C1">
        <w:rPr>
          <w:rFonts w:eastAsia="Corbel" w:cstheme="minorHAnsi"/>
          <w:noProof/>
          <w:vertAlign w:val="superscript"/>
        </w:rPr>
        <w:t>5,8</w:t>
      </w:r>
      <w:r w:rsidR="00090364" w:rsidRPr="000E55C1">
        <w:rPr>
          <w:rFonts w:eastAsia="Corbel" w:cstheme="minorHAnsi"/>
        </w:rPr>
        <w:fldChar w:fldCharType="end"/>
      </w:r>
      <w:r w:rsidR="009627EA" w:rsidRPr="000E55C1">
        <w:rPr>
          <w:rFonts w:eastAsia="Corbel" w:cstheme="minorHAnsi"/>
        </w:rPr>
        <w:t xml:space="preserve"> that energy demand reduction helps to facilitate supply-side transitions.</w:t>
      </w:r>
    </w:p>
    <w:p w14:paraId="0AAAD48B" w14:textId="0FB3A973" w:rsidR="009627EA" w:rsidRPr="000E55C1" w:rsidRDefault="009627EA" w:rsidP="009627EA">
      <w:pPr>
        <w:spacing w:line="257" w:lineRule="auto"/>
        <w:rPr>
          <w:rFonts w:eastAsia="Corbel" w:cstheme="minorHAnsi"/>
        </w:rPr>
      </w:pPr>
      <w:r w:rsidRPr="000E55C1">
        <w:rPr>
          <w:rFonts w:eastAsia="Corbel" w:cstheme="minorHAnsi"/>
        </w:rPr>
        <w:t xml:space="preserve">The Social Transformation Scenario developed by </w:t>
      </w:r>
      <w:proofErr w:type="spellStart"/>
      <w:r w:rsidRPr="000E55C1">
        <w:rPr>
          <w:rFonts w:eastAsia="Corbel" w:cstheme="minorHAnsi"/>
        </w:rPr>
        <w:t>Kuhnhenn</w:t>
      </w:r>
      <w:proofErr w:type="spellEnd"/>
      <w:r w:rsidRPr="000E55C1">
        <w:rPr>
          <w:rFonts w:eastAsia="Corbel" w:cstheme="minorHAnsi"/>
        </w:rPr>
        <w:t xml:space="preserve"> et al.</w:t>
      </w:r>
      <w:r w:rsidR="00A14385" w:rsidRPr="000E55C1">
        <w:rPr>
          <w:rFonts w:eastAsia="Corbel" w:cstheme="minorHAnsi"/>
        </w:rPr>
        <w:fldChar w:fldCharType="begin" w:fldLock="1"/>
      </w:r>
      <w:r w:rsidR="00A14385" w:rsidRPr="000E55C1">
        <w:rPr>
          <w:rFonts w:eastAsia="Corbel" w:cstheme="minorHAnsi"/>
        </w:rPr>
        <w:instrText>ADDIN CSL_CITATION {"citationItems":[{"id":"ITEM-1","itemData":{"author":[{"dropping-particle":"","family":"Kuhnhenn","given":"Kai","non-dropping-particle":"","parse-names":false,"suffix":""},{"dropping-particle":"","family":"Costa","given":"Luis","non-dropping-particle":"","parse-names":false,"suffix":""},{"dropping-particle":"","family":"Mahnke","given":"Eva","non-dropping-particle":"","parse-names":false,"suffix":""},{"dropping-particle":"","family":"Schneider","given":"Linda","non-dropping-particle":"","parse-names":false,"suffix":""},{"dropping-particle":"","family":"Lange","given":"Steffen","non-dropping-particle":"","parse-names":false,"suffix":""}],"id":"ITEM-1","issued":{"date-parts":[["2020"]]},"number-of-pages":"100","title":"A Societal Transformation Scenario for Staying Below 1.5°C","type":"report"},"uris":["http://www.mendeley.com/documents/?uuid=38466556-3edd-4355-938a-659df10a3ec7"]}],"mendeley":{"formattedCitation":"&lt;sup&gt;16&lt;/sup&gt;","plainTextFormattedCitation":"16","previouslyFormattedCitation":"&lt;sup&gt;16&lt;/sup&gt;"},"properties":{"noteIndex":0},"schema":"https://github.com/citation-style-language/schema/raw/master/csl-citation.json"}</w:instrText>
      </w:r>
      <w:r w:rsidR="00A14385" w:rsidRPr="000E55C1">
        <w:rPr>
          <w:rFonts w:eastAsia="Corbel" w:cstheme="minorHAnsi"/>
        </w:rPr>
        <w:fldChar w:fldCharType="separate"/>
      </w:r>
      <w:r w:rsidR="00A14385" w:rsidRPr="000E55C1">
        <w:rPr>
          <w:rFonts w:eastAsia="Corbel" w:cstheme="minorHAnsi"/>
          <w:noProof/>
          <w:vertAlign w:val="superscript"/>
        </w:rPr>
        <w:t>16</w:t>
      </w:r>
      <w:r w:rsidR="00A14385" w:rsidRPr="000E55C1">
        <w:rPr>
          <w:rFonts w:eastAsia="Corbel" w:cstheme="minorHAnsi"/>
        </w:rPr>
        <w:fldChar w:fldCharType="end"/>
      </w:r>
      <w:r w:rsidR="00A14385" w:rsidRPr="000E55C1">
        <w:rPr>
          <w:rFonts w:eastAsia="Corbel" w:cstheme="minorHAnsi"/>
        </w:rPr>
        <w:t xml:space="preserve"> </w:t>
      </w:r>
      <w:r w:rsidRPr="000E55C1">
        <w:rPr>
          <w:rFonts w:eastAsia="Corbel" w:cstheme="minorHAnsi"/>
        </w:rPr>
        <w:t xml:space="preserve">is the most transformative scenario in terms of reducing energy demand. It does so by reducing the demand for high-carbon goods and services, focussing on high-carbon freight and passenger transport, heating, energy consuming appliances, and food. Energy demand in countries in the global north is significantly reduced through a strong decline in overall consumption levels, creating room for increased necessary consumption in the global south, whilst reducing global energy demand and staying within a global carbon budget consistent with 1.5oC of warming. They argue that the global north has a responsibility to dramatically reduce their consumption of high-carbon goods and services, and abandon the pursuit of economic growth, to facilitate the dual aim of redistributing wealth within nations and internationally, whilst achieving mitigation rates consistent with limiting warming to 1.5oC. </w:t>
      </w:r>
    </w:p>
    <w:p w14:paraId="56A88620" w14:textId="73BE9496" w:rsidR="009627EA" w:rsidRPr="000E55C1" w:rsidRDefault="00A14385" w:rsidP="009627EA">
      <w:pPr>
        <w:spacing w:line="257" w:lineRule="auto"/>
        <w:rPr>
          <w:rFonts w:eastAsia="Corbel" w:cstheme="minorHAnsi"/>
        </w:rPr>
      </w:pPr>
      <w:proofErr w:type="spellStart"/>
      <w:r w:rsidRPr="000E55C1">
        <w:rPr>
          <w:rFonts w:eastAsia="Corbel" w:cstheme="minorHAnsi"/>
        </w:rPr>
        <w:t>Key</w:t>
      </w:r>
      <w:r w:rsidRPr="000E55C1">
        <w:rPr>
          <w:rFonts w:eastAsia="Corbel" w:cstheme="minorHAnsi"/>
          <w:noProof/>
        </w:rPr>
        <w:t>ßer</w:t>
      </w:r>
      <w:proofErr w:type="spellEnd"/>
      <w:r w:rsidRPr="000E55C1">
        <w:rPr>
          <w:rFonts w:eastAsia="Corbel" w:cstheme="minorHAnsi"/>
          <w:noProof/>
        </w:rPr>
        <w:t xml:space="preserve"> and Lenzen</w:t>
      </w:r>
      <w:r w:rsidRPr="000E55C1">
        <w:rPr>
          <w:rFonts w:eastAsia="Corbel" w:cstheme="minorHAnsi"/>
          <w:noProof/>
        </w:rPr>
        <w:fldChar w:fldCharType="begin" w:fldLock="1"/>
      </w:r>
      <w:r w:rsidRPr="000E55C1">
        <w:rPr>
          <w:rFonts w:eastAsia="Corbel" w:cstheme="minorHAnsi"/>
          <w:noProof/>
        </w:rPr>
        <w:instrText>ADDIN CSL_CITATION {"citationItems":[{"id":"ITEM-1","itemData":{"DOI":"10.1038/s41467-021-22884-9","ISSN":"20411723","PMID":"33976156","abstract":"1.5 °C scenarios reported by the Intergovernmental Panel on Climate Change (IPCC) rely on combinations of controversial negative emissions and unprecedented technological change, while assuming continued growth in gross domestic product (GDP). Thus far, the integrated assessment modelling community and the IPCC have neglected to consider degrowth scenarios, where economic output declines due to stringent climate mitigation. Hence, their potential to avoid reliance on negative emissions and speculative rates of technological change remains unexplored. As a first step to address this gap, this paper compares 1.5 °C degrowth scenarios with IPCC archetype scenarios, using a simplified quantitative representation of the fuel-energy-emissions nexus. Here we find that the degrowth scenarios minimize many key risks for feasibility and sustainability compared to technology-driven pathways, such as the reliance on high energy-GDP decoupling, large-scale carbon dioxide removal and large-scale and high-speed renewable energy transformation. However, substantial challenges remain regarding political feasibility. Nevertheless, degrowth pathways should be thoroughly considered.","author":[{"dropping-particle":"","family":"Keyßer","given":"Lorenz T","non-dropping-particle":"","parse-names":false,"suffix":""},{"dropping-particle":"","family":"Lenzen","given":"Manfred","non-dropping-particle":"","parse-names":false,"suffix":""}],"container-title":"Nature Communications","id":"ITEM-1","issue":"1","issued":{"date-parts":[["2021"]]},"title":"1.5 °C degrowth scenarios suggest the need for new mitigation pathways","type":"article-journal","volume":"12"},"uris":["http://www.mendeley.com/documents/?uuid=fc1f06b8-3f88-49cb-8658-787409ea5384"]}],"mendeley":{"formattedCitation":"&lt;sup&gt;17&lt;/sup&gt;","plainTextFormattedCitation":"17","previouslyFormattedCitation":"&lt;sup&gt;17&lt;/sup&gt;"},"properties":{"noteIndex":0},"schema":"https://github.com/citation-style-language/schema/raw/master/csl-citation.json"}</w:instrText>
      </w:r>
      <w:r w:rsidRPr="000E55C1">
        <w:rPr>
          <w:rFonts w:eastAsia="Corbel" w:cstheme="minorHAnsi"/>
          <w:noProof/>
        </w:rPr>
        <w:fldChar w:fldCharType="separate"/>
      </w:r>
      <w:r w:rsidRPr="000E55C1">
        <w:rPr>
          <w:rFonts w:eastAsia="Corbel" w:cstheme="minorHAnsi"/>
          <w:noProof/>
          <w:vertAlign w:val="superscript"/>
        </w:rPr>
        <w:t>17</w:t>
      </w:r>
      <w:r w:rsidRPr="000E55C1">
        <w:rPr>
          <w:rFonts w:eastAsia="Corbel" w:cstheme="minorHAnsi"/>
          <w:noProof/>
        </w:rPr>
        <w:fldChar w:fldCharType="end"/>
      </w:r>
      <w:r w:rsidRPr="000E55C1">
        <w:rPr>
          <w:rFonts w:eastAsia="Corbel" w:cstheme="minorHAnsi"/>
          <w:noProof/>
        </w:rPr>
        <w:t xml:space="preserve"> </w:t>
      </w:r>
      <w:r w:rsidR="009627EA" w:rsidRPr="000E55C1">
        <w:rPr>
          <w:rFonts w:eastAsia="Corbel" w:cstheme="minorHAnsi"/>
        </w:rPr>
        <w:t xml:space="preserve">assess global 1.5 </w:t>
      </w:r>
      <w:proofErr w:type="spellStart"/>
      <w:r w:rsidR="009627EA" w:rsidRPr="000E55C1">
        <w:rPr>
          <w:rFonts w:eastAsia="Corbel" w:cstheme="minorHAnsi"/>
        </w:rPr>
        <w:t>oC</w:t>
      </w:r>
      <w:proofErr w:type="spellEnd"/>
      <w:r w:rsidR="009627EA" w:rsidRPr="000E55C1">
        <w:rPr>
          <w:rFonts w:eastAsia="Corbel" w:cstheme="minorHAnsi"/>
        </w:rPr>
        <w:t xml:space="preserve"> scenarios that include a general reduction in economic output in the global north, due to strong climate mitigation. They compare these ‘</w:t>
      </w:r>
      <w:proofErr w:type="spellStart"/>
      <w:r w:rsidR="009627EA" w:rsidRPr="000E55C1">
        <w:rPr>
          <w:rFonts w:eastAsia="Corbel" w:cstheme="minorHAnsi"/>
        </w:rPr>
        <w:t>degrowth</w:t>
      </w:r>
      <w:proofErr w:type="spellEnd"/>
      <w:r w:rsidR="009627EA" w:rsidRPr="000E55C1">
        <w:rPr>
          <w:rFonts w:eastAsia="Corbel" w:cstheme="minorHAnsi"/>
        </w:rPr>
        <w:t xml:space="preserve">’ mitigation scenarios to IPCC ‘archetype scenarios’ that assume ever expanding growth in economic output and energy demand. Whilst the political feasibility of </w:t>
      </w:r>
      <w:proofErr w:type="spellStart"/>
      <w:r w:rsidR="009627EA" w:rsidRPr="000E55C1">
        <w:rPr>
          <w:rFonts w:eastAsia="Corbel" w:cstheme="minorHAnsi"/>
        </w:rPr>
        <w:t>degrowth</w:t>
      </w:r>
      <w:proofErr w:type="spellEnd"/>
      <w:r w:rsidR="009627EA" w:rsidRPr="000E55C1">
        <w:rPr>
          <w:rFonts w:eastAsia="Corbel" w:cstheme="minorHAnsi"/>
        </w:rPr>
        <w:t xml:space="preserve"> is questioned, they suggest a reduction in final demand levels reduces the reliance on decoupling GDP from energy use at unprecedented rates, the development of unpredictable  carbon dioxide removal technologies, and the unmatched speed of technological change necessary to decarbonise current the energy supply </w:t>
      </w:r>
      <w:r w:rsidR="009627EA" w:rsidRPr="000E55C1">
        <w:rPr>
          <w:rFonts w:eastAsia="Corbel" w:cstheme="minorHAnsi"/>
        </w:rPr>
        <w:fldChar w:fldCharType="begin" w:fldLock="1"/>
      </w:r>
      <w:r w:rsidRPr="000E55C1">
        <w:rPr>
          <w:rFonts w:eastAsia="Corbel" w:cstheme="minorHAnsi"/>
        </w:rPr>
        <w:instrText>ADDIN CSL_CITATION {"citationItems":[{"id":"ITEM-1","itemData":{"DOI":"10.1038/s41467-021-22884-9","ISSN":"20411723","PMID":"33976156","abstract":"1.5 °C scenarios reported by the Intergovernmental Panel on Climate Change (IPCC) rely on combinations of controversial negative emissions and unprecedented technological change, while assuming continued growth in gross domestic product (GDP). Thus far, the integrated assessment modelling community and the IPCC have neglected to consider degrowth scenarios, where economic output declines due to stringent climate mitigation. Hence, their potential to avoid reliance on negative emissions and speculative rates of technological change remains unexplored. As a first step to address this gap, this paper compares 1.5 °C degrowth scenarios with IPCC archetype scenarios, using a simplified quantitative representation of the fuel-energy-emissions nexus. Here we find that the degrowth scenarios minimize many key risks for feasibility and sustainability compared to technology-driven pathways, such as the reliance on high energy-GDP decoupling, large-scale carbon dioxide removal and large-scale and high-speed renewable energy transformation. However, substantial challenges remain regarding political feasibility. Nevertheless, degrowth pathways should be thoroughly considered.","author":[{"dropping-particle":"","family":"Keyßer","given":"Lorenz T","non-dropping-particle":"","parse-names":false,"suffix":""},{"dropping-particle":"","family":"Lenzen","given":"Manfred","non-dropping-particle":"","parse-names":false,"suffix":""}],"container-title":"Nature Communications","id":"ITEM-1","issue":"1","issued":{"date-parts":[["2021"]]},"title":"1.5 °C degrowth scenarios suggest the need for new mitigation pathways","type":"article-journal","volume":"12"},"uris":["http://www.mendeley.com/documents/?uuid=fc1f06b8-3f88-49cb-8658-787409ea5384"]}],"mendeley":{"formattedCitation":"&lt;sup&gt;17&lt;/sup&gt;","plainTextFormattedCitation":"17","previouslyFormattedCitation":"&lt;sup&gt;17&lt;/sup&gt;"},"properties":{"noteIndex":0},"schema":"https://github.com/citation-style-language/schema/raw/master/csl-citation.json"}</w:instrText>
      </w:r>
      <w:r w:rsidR="009627EA" w:rsidRPr="000E55C1">
        <w:rPr>
          <w:rFonts w:eastAsia="Corbel" w:cstheme="minorHAnsi"/>
          <w:vertAlign w:val="superscript"/>
        </w:rPr>
        <w:fldChar w:fldCharType="separate"/>
      </w:r>
      <w:r w:rsidRPr="000E55C1">
        <w:rPr>
          <w:rFonts w:eastAsia="Corbel" w:cstheme="minorHAnsi"/>
          <w:noProof/>
          <w:vertAlign w:val="superscript"/>
        </w:rPr>
        <w:t>17</w:t>
      </w:r>
      <w:r w:rsidR="009627EA" w:rsidRPr="000E55C1">
        <w:rPr>
          <w:rFonts w:eastAsia="Corbel" w:cstheme="minorHAnsi"/>
        </w:rPr>
        <w:fldChar w:fldCharType="end"/>
      </w:r>
      <w:r w:rsidR="009627EA" w:rsidRPr="000E55C1">
        <w:rPr>
          <w:rFonts w:eastAsia="Corbel" w:cstheme="minorHAnsi"/>
        </w:rPr>
        <w:t xml:space="preserve">. </w:t>
      </w:r>
    </w:p>
    <w:p w14:paraId="1A2E6B38" w14:textId="4336A21C" w:rsidR="009627EA" w:rsidRPr="000E55C1" w:rsidRDefault="00A14385" w:rsidP="009627EA">
      <w:pPr>
        <w:spacing w:line="257" w:lineRule="auto"/>
        <w:rPr>
          <w:rFonts w:eastAsia="Corbel" w:cstheme="minorHAnsi"/>
        </w:rPr>
      </w:pPr>
      <w:r w:rsidRPr="000E55C1">
        <w:rPr>
          <w:rFonts w:eastAsia="Corbel" w:cstheme="minorHAnsi"/>
        </w:rPr>
        <w:t>Ivanova et al.</w:t>
      </w:r>
      <w:r w:rsidRPr="000E55C1">
        <w:rPr>
          <w:rFonts w:eastAsia="Corbel" w:cstheme="minorHAnsi"/>
        </w:rPr>
        <w:fldChar w:fldCharType="begin" w:fldLock="1"/>
      </w:r>
      <w:r w:rsidRPr="000E55C1">
        <w:rPr>
          <w:rFonts w:eastAsia="Corbel" w:cstheme="minorHAnsi"/>
        </w:rPr>
        <w:instrText>ADDIN CSL_CITATION {"citationItems":[{"id":"ITEM-1","itemData":{"DOI":"10.1088/1748-9326/ab8589","ISSN":"17489326","abstract":"Background. Around two-thirds of global GHG emissions are directly and indirectly linked to household consumption, with a global average of about 6 tCO2eq/cap. The average per capita carbon footprint of North America and Europe amount to 13.4 and 7.5 tCO2eq/cap, respectively, while that of Africa and the Middle East - to 1.7 tCO2eq/cap on average. Changes in consumption patterns to low-carbon alternatives therefore present a great and urgently required potential for emission reductions. In this paper, we synthesize emission mitigation potentials across the consumption domains of food, housing, transport and other consumption. Methods. We systematically screened 6990 records in the Web of Science Core Collections and Scopus. Searches were restricted to (1) reviews of lifecycle assessment studies and (2) multiregional input-output studies of household consumption, published after 2011 in English. We selected against pre-determined eligibility criteria and quantitatively synthesized findings from 53 studies in a meta-review. We identified 771 original options, which we summarized and presented in 61 consumption options with a positive mitigation potential. We used a fixed-effects model to explore the role of contextual factors (geographical, technical and socio-demographic factors) for the outcome variable (mitigation potential per capita) within consumption options. Results and discussion. We establish consumption options with a high mitigation potential measured in tons of CO2eq/capita/yr. For transport, the options with the highest mitigation potential include living car-free, shifting to a battery electric vehicle, and reducing flying by a long return flight with a median reduction potential of more than 1.7 tCO2eq/cap. In the context of food, the highest carbon savings come from dietary changes, particularly an adoption of vegan diet with an average and median mitigation potential of 0.9 and 0.8 tCO2eq/cap, respectively. Shifting to renewable electricity and refurbishment and renovation are the options with the highest mitigation potential in the housing domain, with medians at 1.6 and 0.9 tCO2eq/cap, respectively. We find that the top ten consumption options together yield an average mitigation potential of 9.2 tCO2eq/cap, indicating substantial contributions towards achieving the 1.5 C-2 C target, particularly in high-income context.","author":[{"dropping-particle":"","family":"Ivanova","given":"Diana","non-dropping-particle":"","parse-names":false,"suffix":""},{"dropping-particle":"","family":"Barrett","given":"John","non-dropping-particle":"","parse-names":false,"suffix":""},{"dropping-particle":"","family":"Wiedenhofer","given":"Dominik","non-dropping-particle":"","parse-names":false,"suffix":""},{"dropping-particle":"","family":"Macura","given":"Biljana","non-dropping-particle":"","parse-names":false,"suffix":""},{"dropping-particle":"","family":"Callaghan","given":"Max","non-dropping-particle":"","parse-names":false,"suffix":""},{"dropping-particle":"","family":"Creutzig","given":"Felix","non-dropping-particle":"","parse-names":false,"suffix":""}],"container-title":"Environmental Research Letters","id":"ITEM-1","issue":"9","issued":{"date-parts":[["2020","9","1"]]},"page":"093001","publisher":"IOP Publishing Ltd","title":"Quantifying the potential for climate change mitigation of consumption options","type":"article","volume":"15"},"uris":["http://www.mendeley.com/documents/?uuid=c919d8ec-3572-4820-acf2-513ed704e0b3"]}],"mendeley":{"formattedCitation":"&lt;sup&gt;15&lt;/sup&gt;","plainTextFormattedCitation":"15","previouslyFormattedCitation":"&lt;sup&gt;15&lt;/sup&gt;"},"properties":{"noteIndex":0},"schema":"https://github.com/citation-style-language/schema/raw/master/csl-citation.json"}</w:instrText>
      </w:r>
      <w:r w:rsidRPr="000E55C1">
        <w:rPr>
          <w:rFonts w:eastAsia="Corbel" w:cstheme="minorHAnsi"/>
        </w:rPr>
        <w:fldChar w:fldCharType="separate"/>
      </w:r>
      <w:r w:rsidRPr="000E55C1">
        <w:rPr>
          <w:rFonts w:eastAsia="Corbel" w:cstheme="minorHAnsi"/>
          <w:noProof/>
          <w:vertAlign w:val="superscript"/>
        </w:rPr>
        <w:t>15</w:t>
      </w:r>
      <w:r w:rsidRPr="000E55C1">
        <w:rPr>
          <w:rFonts w:eastAsia="Corbel" w:cstheme="minorHAnsi"/>
        </w:rPr>
        <w:fldChar w:fldCharType="end"/>
      </w:r>
      <w:r w:rsidRPr="000E55C1">
        <w:rPr>
          <w:rFonts w:eastAsia="Corbel" w:cstheme="minorHAnsi"/>
        </w:rPr>
        <w:t xml:space="preserve"> </w:t>
      </w:r>
      <w:r w:rsidR="009627EA" w:rsidRPr="000E55C1">
        <w:rPr>
          <w:rFonts w:eastAsia="Corbel" w:cstheme="minorHAnsi"/>
        </w:rPr>
        <w:t xml:space="preserve">evaluate the extent that various sustainable energy service consumption options led to genuine GHG mitigation, across food, housing, transport, and other consumption. They find that their top 10 most effective consumption options have the potential to mitigate 9.2tCO2eq/cap, compared to the high-carbon alternative consumption option. They suggest this indicates an untapped area of mitigation that goes beyond discussions of the efficiency of production, to consider the nature of and scale of consumption in relation to planetary boundaries and satisfying human needs. </w:t>
      </w:r>
    </w:p>
    <w:p w14:paraId="01D404E9" w14:textId="003E4694" w:rsidR="009627EA" w:rsidRPr="000E55C1" w:rsidRDefault="009627EA" w:rsidP="009627EA">
      <w:pPr>
        <w:spacing w:line="257" w:lineRule="auto"/>
        <w:rPr>
          <w:rFonts w:eastAsia="Corbel" w:cstheme="minorHAnsi"/>
        </w:rPr>
      </w:pPr>
      <w:r w:rsidRPr="000E55C1">
        <w:rPr>
          <w:rFonts w:eastAsia="Corbel" w:cstheme="minorHAnsi"/>
        </w:rPr>
        <w:t xml:space="preserve">Modelling social change using integrated assessment models is a key challenge discussed widely in the literature, with various approaches being taken </w:t>
      </w:r>
      <w:r w:rsidRPr="000E55C1">
        <w:rPr>
          <w:rFonts w:eastAsia="Corbel" w:cstheme="minorHAnsi"/>
        </w:rPr>
        <w:fldChar w:fldCharType="begin" w:fldLock="1"/>
      </w:r>
      <w:r w:rsidR="00A14385" w:rsidRPr="000E55C1">
        <w:rPr>
          <w:rFonts w:eastAsia="Corbel" w:cstheme="minorHAnsi"/>
        </w:rPr>
        <w:instrText>ADDIN CSL_CITATION {"citationItems":[{"id":"ITEM-1","itemData":{"DOI":"10.1016/j.techfore.2015.08.013","ISSN":"00401625","abstract":"Most model studies focus on technical solutions in order to meet the 2°C climate target, such as renewable, carbon capture and energy efficiency technologies. Such studies show that it becomes increasingly more difficult to attain the 2°C target with carbon price driven technical solutions alone. This indicates the need to focus more on non-economic and non-technological drivers of energy system transformations, which are generally not explicitly included in long-term scenario studies. This study implements a set of lifestyle change measures for residential energy use, mobility and waste management in the integrated assessment model IMAGE. We analyze the implications of these lifestyle changes in a business-as-usual and 2°C climate mitigation reference case. We find that lifestyle change measures included in this study mostly affect the end-use sectors. By 2050, the measures reduce CO2 emissions in the residential sector by about 13% and in the transport sector by about 35% compared to baseline emissions. The indirect implications in the industry and energy supply sectors were found to be negligible. In mitigation scenarios the contribution of lifestyle measures is dampened in end-use sectors as they overlap with more technical measures. Yet, as they may create opportunities to mitigate in sectors without more radical changes in (1) the energy infrastructure and (2) on the short term, it leads to a more cost-efficient mitigation strategy. Further research in how behavior can be internalized into integrated assessment studies is recommendable.","author":[{"dropping-particle":"","family":"Sluisveld","given":"Mariësse A.E.","non-dropping-particle":"van","parse-names":false,"suffix":""},{"dropping-particle":"","family":"Martínez","given":"Sara Herreras","non-dropping-particle":"","parse-names":false,"suffix":""},{"dropping-particle":"","family":"Daioglou","given":"Vassilis","non-dropping-particle":"","parse-names":false,"suffix":""},{"dropping-particle":"","family":"Vuuren","given":"Detlef P.","non-dropping-particle":"van","parse-names":false,"suffix":""}],"container-title":"Technological Forecasting and Social Change","id":"ITEM-1","issued":{"date-parts":[["2016","1","1"]]},"page":"309-319","publisher":"Elsevier Inc.","title":"Exploring the implications of lifestyle change in 2°C mitigation scenarios using the IMAGE integrated assessment model","type":"article-journal","volume":"102"},"uris":["http://www.mendeley.com/documents/?uuid=35846b73-b27b-4074-a5a1-6fcf7e274650"]},{"id":"ITEM-2","itemData":{"DOI":"10.1016/j.envsoft.2020.104839","ISSN":"13648152","abstract":"Households are responsible for a significant share of global greenhouse emissions. Hence, academic and policy discourses highlight behavioral changes among households as an essential strategy for combating climate change. However, formal models used to assess economic impacts of energy policies face limitations in tracing cumulative impacts of adaptive behavior of diverse households. The past decade has witnessed a proliferation of agent-based simulation models that quantify behavioral climate change mitigation relying on social science theories and micro-level survey data. Yet, these behaviorally-rich models usually operate on a small scale of neighborhoods, towns, and small regions, ignoring macro-scale social institutions such as international markets and rarely covering large areas relevant for climate change mitigation policy. This paper presents a methodology to scale up behavioral changes among heterogeneous individuals regarding energy choices while tracing their macroeconomic and cross-sectoral impacts. To achieve this goal, we combine the strengths of top-down computable general equilibrium models and bottom-up agent-based models. We illustrate the integration process of these two alien modeling approaches by linking data-rich macroeconomic with micro-behavioral models. Following a three-step approach, we investigate the dynamics of cumulative impacts of changes in individual energy use under three behavioral scenarios. Our findings demonstrate that the regional dimension is important in a low-carbon economy transition. Heterogeneity in individual socio-demographics (e.g. education and age), structural characteristics (e.g. type and size of dwellings), behavioral and social traits (e.g. awareness and personal norms), and social interactions amplify these differences, causing nonlinearities in diffusion of green investments among households and macro-economic dynamics.","author":[{"dropping-particle":"","family":"Niamir","given":"Leila","non-dropping-particle":"","parse-names":false,"suffix":""},{"dropping-particle":"","family":"Ivanova","given":"Olga","non-dropping-particle":"","parse-names":false,"suffix":""},{"dropping-particle":"","family":"Filatova","given":"Tatiana","non-dropping-particle":"","parse-names":false,"suffix":""}],"container-title":"Environmental Modelling and Software","id":"ITEM-2","issued":{"date-parts":[["2020","12","1"]]},"page":"104839","publisher":"Elsevier Ltd","title":"Economy-wide impacts of behavioral climate change mitigation: Linking agent-based and computable general equilibrium models","type":"article-journal","volume":"134"},"uris":["http://www.mendeley.com/documents/?uuid=07012b8f-b518-49fd-a98c-fbd23157daa2"]},{"id":"ITEM-3","itemData":{"DOI":"10.1080/14693062.2020.1831430","ISSN":"17527457","abstract":"Limiting warming to well below 2°C requires rapid and complete decarbonisation of energy systems. We compare economy-wide modelling of 1.5°C and 2°C scenarios with sector-focused analyses of four critical sectors that are difficult to decarbonise: aviation, shipping, road freight transport, and industry. We develop and apply a novel framework to analyse and track mitigation progress in these sectors. We find that emission reductions in the 1.5°C and 2°C scenarios of the IMAGE model come from deep cuts in CO2 intensities and lower energy intensities, with minimal demand reductions in these sectors’ activity. We identify a range of additional measures and policy levers that are not explicitly captured in modelled scenarios but could contribute significant emission reductions. These are demand reduction options, and include less air travel (aviation), reduced transportation of fossil fuels (shipping), more locally produced goods combined with high load factors (road freight), and a shift to a circular economy (industry). We discuss the challenges of reducing demand both for economy-wide modelling and for policy. Based on our sectoral analysis framework, we suggest modelling improvements and policy recommendations, calling on the relevant UN agencies to start tracking mitigation progress through monitoring key elements of the framework (CO2 intensity, energy efficiency, and demand for sectoral activity, as well as the underlying drivers), as a matter of urgency. Key policy insights Four critical sectors (aviation, shipping, road freight, and industry) cannot cut their CO2 emissions to zero rapidly with technological supply-side options alone. Without large-scale negative emissions, significant demand reductions for those sectors’ activities are needed to meet the 1.5–2°C goal. Policy priorities include affordable alternatives to frequent air travel; smooth connectivity between low-carbon travel modes; speed reductions in shipping and reduced demand for transporting fossil fuels; distributed manufacturing and local storage; and tightening standards for material use and product longevity. The COVID-19 crisis presents a unique opportunity to enact lasting CO2 emissions reductions, through switching from frequent air travel to other transport modes and online interactions. Policies driving significant demand reductions for the critical sectors’ activities would reduce reliance on carbon removal technologies that are unavailable at scale.","author":[{"dropping-particle":"","family":"Sharmina","given":"M","non-dropping-particle":"","parse-names":false,"suffix":""},{"dropping-particle":"","family":"Edelenbosch","given":"O Y","non-dropping-particle":"","parse-names":false,"suffix":""},{"dropping-particle":"","family":"Wilson","given":"C","non-dropping-particle":"","parse-names":false,"suffix":""},{"dropping-particle":"","family":"Freeman","given":"R","non-dropping-particle":"","parse-names":false,"suffix":""},{"dropping-particle":"","family":"Gernaat","given":"D. E.H.J.","non-dropping-particle":"","parse-names":false,"suffix":""},{"dropping-particle":"","family":"Gilbert","given":"P","non-dropping-particle":"","parse-names":false,"suffix":""},{"dropping-particle":"","family":"Larkin","given":"A","non-dropping-particle":"","parse-names":false,"suffix":""},{"dropping-particle":"","family":"Littleton","given":"E W","non-dropping-particle":"","parse-names":false,"suffix":""},{"dropping-particle":"","family":"Traut","given":"M","non-dropping-particle":"","parse-names":false,"suffix":""},{"dropping-particle":"","family":"Vuuren","given":"D. P.","non-dropping-particle":"van","parse-names":false,"suffix":""},{"dropping-particle":"","family":"Vaughan","given":"N E","non-dropping-particle":"","parse-names":false,"suffix":""},{"dropping-particle":"","family":"Wood","given":"F R","non-dropping-particle":"","parse-names":false,"suffix":""},{"dropping-particle":"","family":"Quéré","given":"C","non-dropping-particle":"Le","parse-names":false,"suffix":""}],"container-title":"Climate Policy","id":"ITEM-3","issue":"4","issued":{"date-parts":[["2021"]]},"page":"455-474","title":"Decarbonising the critical sectors of aviation, shipping, road freight and industry to limit warming to 1.5–2°C","type":"article-journal","volume":"21"},"uris":["http://www.mendeley.com/documents/?uuid=7702a92f-0d27-4a47-afbb-4646ba6d7156"]}],"mendeley":{"formattedCitation":"&lt;sup&gt;11,14,18&lt;/sup&gt;","plainTextFormattedCitation":"11,14,18","previouslyFormattedCitation":"&lt;sup&gt;11,14,18&lt;/sup&gt;"},"properties":{"noteIndex":0},"schema":"https://github.com/citation-style-language/schema/raw/master/csl-citation.json"}</w:instrText>
      </w:r>
      <w:r w:rsidRPr="000E55C1">
        <w:rPr>
          <w:rFonts w:eastAsia="Corbel" w:cstheme="minorHAnsi"/>
          <w:vertAlign w:val="superscript"/>
        </w:rPr>
        <w:fldChar w:fldCharType="separate"/>
      </w:r>
      <w:r w:rsidR="00A14385" w:rsidRPr="000E55C1">
        <w:rPr>
          <w:rFonts w:eastAsia="Corbel" w:cstheme="minorHAnsi"/>
          <w:noProof/>
          <w:vertAlign w:val="superscript"/>
        </w:rPr>
        <w:t>11,14,18</w:t>
      </w:r>
      <w:r w:rsidRPr="000E55C1">
        <w:rPr>
          <w:rFonts w:eastAsia="Corbel" w:cstheme="minorHAnsi"/>
        </w:rPr>
        <w:fldChar w:fldCharType="end"/>
      </w:r>
      <w:r w:rsidRPr="000E55C1">
        <w:rPr>
          <w:rFonts w:eastAsia="Corbel" w:cstheme="minorHAnsi"/>
        </w:rPr>
        <w:t>.</w:t>
      </w:r>
      <w:r w:rsidR="00A14385" w:rsidRPr="000E55C1">
        <w:rPr>
          <w:rFonts w:eastAsia="Corbel" w:cstheme="minorHAnsi"/>
        </w:rPr>
        <w:t xml:space="preserve"> Van </w:t>
      </w:r>
      <w:proofErr w:type="spellStart"/>
      <w:r w:rsidR="00A14385" w:rsidRPr="000E55C1">
        <w:rPr>
          <w:rFonts w:eastAsia="Corbel" w:cstheme="minorHAnsi"/>
        </w:rPr>
        <w:t>Sluisveld</w:t>
      </w:r>
      <w:proofErr w:type="spellEnd"/>
      <w:r w:rsidR="00A14385" w:rsidRPr="000E55C1">
        <w:rPr>
          <w:rFonts w:eastAsia="Corbel" w:cstheme="minorHAnsi"/>
        </w:rPr>
        <w:t xml:space="preserve"> et al.</w:t>
      </w:r>
      <w:r w:rsidR="00A14385" w:rsidRPr="000E55C1">
        <w:rPr>
          <w:rFonts w:eastAsia="Corbel" w:cstheme="minorHAnsi"/>
        </w:rPr>
        <w:fldChar w:fldCharType="begin" w:fldLock="1"/>
      </w:r>
      <w:r w:rsidR="00A14385" w:rsidRPr="000E55C1">
        <w:rPr>
          <w:rFonts w:eastAsia="Corbel" w:cstheme="minorHAnsi"/>
        </w:rPr>
        <w:instrText>ADDIN CSL_CITATION {"citationItems":[{"id":"ITEM-1","itemData":{"DOI":"10.1016/j.techfore.2015.08.013","ISSN":"00401625","abstract":"Most model studies focus on technical solutions in order to meet the 2°C climate target, such as renewable, carbon capture and energy efficiency technologies. Such studies show that it becomes increasingly more difficult to attain the 2°C target with carbon price driven technical solutions alone. This indicates the need to focus more on non-economic and non-technological drivers of energy system transformations, which are generally not explicitly included in long-term scenario studies. This study implements a set of lifestyle change measures for residential energy use, mobility and waste management in the integrated assessment model IMAGE. We analyze the implications of these lifestyle changes in a business-as-usual and 2°C climate mitigation reference case. We find that lifestyle change measures included in this study mostly affect the end-use sectors. By 2050, the measures reduce CO2 emissions in the residential sector by about 13% and in the transport sector by about 35% compared to baseline emissions. The indirect implications in the industry and energy supply sectors were found to be negligible. In mitigation scenarios the contribution of lifestyle measures is dampened in end-use sectors as they overlap with more technical measures. Yet, as they may create opportunities to mitigate in sectors without more radical changes in (1) the energy infrastructure and (2) on the short term, it leads to a more cost-efficient mitigation strategy. Further research in how behavior can be internalized into integrated assessment studies is recommendable.","author":[{"dropping-particle":"","family":"Sluisveld","given":"Mariësse A.E.","non-dropping-particle":"van","parse-names":false,"suffix":""},{"dropping-particle":"","family":"Martínez","given":"Sara Herreras","non-dropping-particle":"","parse-names":false,"suffix":""},{"dropping-particle":"","family":"Daioglou","given":"Vassilis","non-dropping-particle":"","parse-names":false,"suffix":""},{"dropping-particle":"","family":"Vuuren","given":"Detlef P.","non-dropping-particle":"van","parse-names":false,"suffix":""}],"container-title":"Technological Forecasting and Social Change","id":"ITEM-1","issued":{"date-parts":[["2016","1","1"]]},"page":"309-319","publisher":"Elsevier Inc.","title":"Exploring the implications of lifestyle change in 2°C mitigation scenarios using the IMAGE integrated assessment model","type":"article-journal","volume":"102"},"uris":["http://www.mendeley.com/documents/?uuid=35846b73-b27b-4074-a5a1-6fcf7e274650"]}],"mendeley":{"formattedCitation":"&lt;sup&gt;11&lt;/sup&gt;","plainTextFormattedCitation":"11","previouslyFormattedCitation":"&lt;sup&gt;11&lt;/sup&gt;"},"properties":{"noteIndex":0},"schema":"https://github.com/citation-style-language/schema/raw/master/csl-citation.json"}</w:instrText>
      </w:r>
      <w:r w:rsidR="00A14385" w:rsidRPr="000E55C1">
        <w:rPr>
          <w:rFonts w:eastAsia="Corbel" w:cstheme="minorHAnsi"/>
        </w:rPr>
        <w:fldChar w:fldCharType="separate"/>
      </w:r>
      <w:r w:rsidR="00A14385" w:rsidRPr="000E55C1">
        <w:rPr>
          <w:rFonts w:eastAsia="Corbel" w:cstheme="minorHAnsi"/>
          <w:noProof/>
          <w:vertAlign w:val="superscript"/>
        </w:rPr>
        <w:t>11</w:t>
      </w:r>
      <w:r w:rsidR="00A14385" w:rsidRPr="000E55C1">
        <w:rPr>
          <w:rFonts w:eastAsia="Corbel" w:cstheme="minorHAnsi"/>
        </w:rPr>
        <w:fldChar w:fldCharType="end"/>
      </w:r>
      <w:r w:rsidRPr="000E55C1">
        <w:rPr>
          <w:rFonts w:eastAsia="Corbel" w:cstheme="minorHAnsi"/>
        </w:rPr>
        <w:t xml:space="preserve"> insert ‘lifestyle change’ measures into an integrated assessment model, by changing key model parameters based on estimates established in the literature. Whilst this simple method does not directly capture agent decision making in the model, it facilitates a quick estimation of the scale of reductions given lifestyle changes could facilitate. </w:t>
      </w:r>
      <w:proofErr w:type="spellStart"/>
      <w:r w:rsidR="00A14385" w:rsidRPr="000E55C1">
        <w:rPr>
          <w:rFonts w:eastAsia="Corbel" w:cstheme="minorHAnsi"/>
        </w:rPr>
        <w:t>Niamir</w:t>
      </w:r>
      <w:proofErr w:type="spellEnd"/>
      <w:r w:rsidR="00A14385" w:rsidRPr="000E55C1">
        <w:rPr>
          <w:rFonts w:eastAsia="Corbel" w:cstheme="minorHAnsi"/>
        </w:rPr>
        <w:t xml:space="preserve"> et al.</w:t>
      </w:r>
      <w:r w:rsidR="00A14385" w:rsidRPr="000E55C1">
        <w:rPr>
          <w:rFonts w:eastAsia="Corbel" w:cstheme="minorHAnsi"/>
        </w:rPr>
        <w:fldChar w:fldCharType="begin" w:fldLock="1"/>
      </w:r>
      <w:r w:rsidR="00A14385" w:rsidRPr="000E55C1">
        <w:rPr>
          <w:rFonts w:eastAsia="Corbel" w:cstheme="minorHAnsi"/>
        </w:rPr>
        <w:instrText>ADDIN CSL_CITATION {"citationItems":[{"id":"ITEM-1","itemData":{"DOI":"10.1016/j.envsoft.2020.104839","ISSN":"13648152","abstract":"Households are responsible for a significant share of global greenhouse emissions. Hence, academic and policy discourses highlight behavioral changes among households as an essential strategy for combating climate change. However, formal models used to assess economic impacts of energy policies face limitations in tracing cumulative impacts of adaptive behavior of diverse households. The past decade has witnessed a proliferation of agent-based simulation models that quantify behavioral climate change mitigation relying on social science theories and micro-level survey data. Yet, these behaviorally-rich models usually operate on a small scale of neighborhoods, towns, and small regions, ignoring macro-scale social institutions such as international markets and rarely covering large areas relevant for climate change mitigation policy. This paper presents a methodology to scale up behavioral changes among heterogeneous individuals regarding energy choices while tracing their macroeconomic and cross-sectoral impacts. To achieve this goal, we combine the strengths of top-down computable general equilibrium models and bottom-up agent-based models. We illustrate the integration process of these two alien modeling approaches by linking data-rich macroeconomic with micro-behavioral models. Following a three-step approach, we investigate the dynamics of cumulative impacts of changes in individual energy use under three behavioral scenarios. Our findings demonstrate that the regional dimension is important in a low-carbon economy transition. Heterogeneity in individual socio-demographics (e.g. education and age), structural characteristics (e.g. type and size of dwellings), behavioral and social traits (e.g. awareness and personal norms), and social interactions amplify these differences, causing nonlinearities in diffusion of green investments among households and macro-economic dynamics.","author":[{"dropping-particle":"","family":"Niamir","given":"Leila","non-dropping-particle":"","parse-names":false,"suffix":""},{"dropping-particle":"","family":"Ivanova","given":"Olga","non-dropping-particle":"","parse-names":false,"suffix":""},{"dropping-particle":"","family":"Filatova","given":"Tatiana","non-dropping-particle":"","parse-names":false,"suffix":""}],"container-title":"Environmental Modelling and Software","id":"ITEM-1","issued":{"date-parts":[["2020","12","1"]]},"page":"104839","publisher":"Elsevier Ltd","title":"Economy-wide impacts of behavioral climate change mitigation: Linking agent-based and computable general equilibrium models","type":"article-journal","volume":"134"},"uris":["http://www.mendeley.com/documents/?uuid=07012b8f-b518-49fd-a98c-fbd23157daa2"]}],"mendeley":{"formattedCitation":"&lt;sup&gt;14&lt;/sup&gt;","plainTextFormattedCitation":"14","previouslyFormattedCitation":"&lt;sup&gt;14&lt;/sup&gt;"},"properties":{"noteIndex":0},"schema":"https://github.com/citation-style-language/schema/raw/master/csl-citation.json"}</w:instrText>
      </w:r>
      <w:r w:rsidR="00A14385" w:rsidRPr="000E55C1">
        <w:rPr>
          <w:rFonts w:eastAsia="Corbel" w:cstheme="minorHAnsi"/>
        </w:rPr>
        <w:fldChar w:fldCharType="separate"/>
      </w:r>
      <w:r w:rsidR="00A14385" w:rsidRPr="000E55C1">
        <w:rPr>
          <w:rFonts w:eastAsia="Corbel" w:cstheme="minorHAnsi"/>
          <w:noProof/>
          <w:vertAlign w:val="superscript"/>
        </w:rPr>
        <w:t>14</w:t>
      </w:r>
      <w:r w:rsidR="00A14385" w:rsidRPr="000E55C1">
        <w:rPr>
          <w:rFonts w:eastAsia="Corbel" w:cstheme="minorHAnsi"/>
        </w:rPr>
        <w:fldChar w:fldCharType="end"/>
      </w:r>
      <w:r w:rsidRPr="000E55C1">
        <w:rPr>
          <w:rFonts w:eastAsia="Corbel" w:cstheme="minorHAnsi"/>
        </w:rPr>
        <w:t xml:space="preserve"> address this flaw, integrating an agent-based modelling framework into a computable general equilibrium model. This facilitates the scaling up of agent-based models of </w:t>
      </w:r>
      <w:r w:rsidRPr="000E55C1">
        <w:rPr>
          <w:rFonts w:eastAsia="Corbel" w:cstheme="minorHAnsi"/>
        </w:rPr>
        <w:lastRenderedPageBreak/>
        <w:t xml:space="preserve">heterogeneous individuals to a larger level, capturing regional, social-demographic, and structural differences in individual’s decision making when adopting low-carbon decision making. Whilst these modelling approaches and methods used throughout the literature represent significant improvements in the methodologies to model social change-led energy demand reduction and GHG mitigation, the need for further model development is a key suggestion for further research throughout the literature. </w:t>
      </w:r>
    </w:p>
    <w:p w14:paraId="3DCD0FA6" w14:textId="043E815B" w:rsidR="009627EA" w:rsidRPr="000E55C1" w:rsidRDefault="00955BCE" w:rsidP="00955BCE">
      <w:pPr>
        <w:pStyle w:val="Heading3"/>
        <w:rPr>
          <w:rFonts w:asciiTheme="minorHAnsi" w:hAnsiTheme="minorHAnsi" w:cstheme="minorHAnsi"/>
        </w:rPr>
      </w:pPr>
      <w:bookmarkStart w:id="4" w:name="_Toc77587867"/>
      <w:r w:rsidRPr="000E55C1">
        <w:rPr>
          <w:rFonts w:asciiTheme="minorHAnsi" w:hAnsiTheme="minorHAnsi" w:cstheme="minorHAnsi"/>
        </w:rPr>
        <w:t>2</w:t>
      </w:r>
      <w:r w:rsidR="009627EA" w:rsidRPr="000E55C1">
        <w:rPr>
          <w:rFonts w:asciiTheme="minorHAnsi" w:hAnsiTheme="minorHAnsi" w:cstheme="minorHAnsi"/>
        </w:rPr>
        <w:t>.3 Sectoral energy demand reduction</w:t>
      </w:r>
      <w:bookmarkEnd w:id="4"/>
    </w:p>
    <w:p w14:paraId="7EDE2533" w14:textId="00979727" w:rsidR="009627EA" w:rsidRPr="000E55C1" w:rsidRDefault="009627EA" w:rsidP="009627EA">
      <w:pPr>
        <w:spacing w:line="257" w:lineRule="auto"/>
        <w:rPr>
          <w:rFonts w:eastAsia="Corbel" w:cstheme="minorHAnsi"/>
        </w:rPr>
      </w:pPr>
      <w:r w:rsidRPr="000E55C1">
        <w:rPr>
          <w:rFonts w:eastAsia="Corbel" w:cstheme="minorHAnsi"/>
        </w:rPr>
        <w:t xml:space="preserve">Some of the literature explores energy demand reduction scenarios in individual sectors with significantly high embodied energy such as construction </w:t>
      </w:r>
      <w:r w:rsidRPr="000E55C1">
        <w:rPr>
          <w:rFonts w:eastAsia="Corbel" w:cstheme="minorHAnsi"/>
        </w:rPr>
        <w:fldChar w:fldCharType="begin" w:fldLock="1"/>
      </w:r>
      <w:r w:rsidR="00A14385" w:rsidRPr="000E55C1">
        <w:rPr>
          <w:rFonts w:eastAsia="Corbel" w:cstheme="minorHAnsi"/>
        </w:rPr>
        <w:instrText>ADDIN CSL_CITATION {"citationItems":[{"id":"ITEM-1","itemData":{"DOI":"10.1088/1748-9326/abb69f","ISSN":"17489326","abstract":"Formulation of targets and establishing which factors in different contexts will achieve these targets are critical to successful decarbonization of the building sector. To contribute to this, we have performed an evidence map of roadmaps for zero and low energy and carbon buildings (ZLECB) worldwide, including a list and classification of documents in an on-line geographical map, a description of gaps, and a narrative review of the knowledge gluts. We have retrieved 1219 scientific documents from Scopus, extracted metadata from 274 documents, and identified 117 roadmaps, policies or plans from 27 countries worldwide. We find that there is a coverage bias towards more developed regions. The identified scientific studies are mostly recommendations to policy makers, different types of case studies, and demonstration projects. The geographical inequalities found in the coverage of the scientific literature are even more extreme in the coverage of the roadmaps. These underexplored world regions represent an area for further investigation and increased research/policy attention. Our review of the more substantial amount of literature and roadmaps for developed regions shows differences in target metrics and enforcement mechanisms but that all regions dedicate some efforts at national and local levels. Roadmaps generally focus more on new and public buildings than existing buildings, despite the fact that the latter are naturally larger in number and total floor area, and perform less energy efficiently. A combination of efficiency, technical upgrades, and renewable generation is generally proposed in the roadmaps, with behavioral measures only reflected in the use of information and communication technologies, and minimal focus being placed on lifecycle perspectives. We conclude that insufficient progress is being made in the implementation of ZLECB. More work is needed to couple the existing climate goals, with realistic, enforceable policies to make the carbon savings a reality for different contexts and stakeholders worldwide.","author":[{"dropping-particle":"","family":"Mata","given":"","non-dropping-particle":"","parse-names":false,"suffix":""},{"dropping-particle":"","family":"Korpal","given":"A. K.","non-dropping-particle":"","parse-names":false,"suffix":""},{"dropping-particle":"","family":"Cheng","given":"S. H.","non-dropping-particle":"","parse-names":false,"suffix":""},{"dropping-particle":"","family":"Jiménez Navarro","given":"J. P.","non-dropping-particle":"","parse-names":false,"suffix":""},{"dropping-particle":"","family":"Filippidou","given":"F.","non-dropping-particle":"","parse-names":false,"suffix":""},{"dropping-particle":"","family":"Reyna","given":"J.","non-dropping-particle":"","parse-names":false,"suffix":""},{"dropping-particle":"","family":"Wang","given":"R.","non-dropping-particle":"","parse-names":false,"suffix":""}],"container-title":"Environmental Research Letters","id":"ITEM-1","issue":"11","issued":{"date-parts":[["2020","11","1"]]},"page":"113003","publisher":"IOP Publishing Ltd","title":"A map of roadmaps for zero and low energy and carbon buildings worldwide","type":"article","volume":"15"},"uris":["http://www.mendeley.com/documents/?uuid=823d8c65-7e9b-487a-bf2d-d4a13624d605"]}],"mendeley":{"formattedCitation":"&lt;sup&gt;19&lt;/sup&gt;","plainTextFormattedCitation":"19","previouslyFormattedCitation":"&lt;sup&gt;19&lt;/sup&gt;"},"properties":{"noteIndex":0},"schema":"https://github.com/citation-style-language/schema/raw/master/csl-citation.json"}</w:instrText>
      </w:r>
      <w:r w:rsidRPr="000E55C1">
        <w:rPr>
          <w:rFonts w:eastAsia="Corbel" w:cstheme="minorHAnsi"/>
          <w:vertAlign w:val="superscript"/>
        </w:rPr>
        <w:fldChar w:fldCharType="separate"/>
      </w:r>
      <w:r w:rsidR="00A14385" w:rsidRPr="000E55C1">
        <w:rPr>
          <w:rFonts w:eastAsia="Corbel" w:cstheme="minorHAnsi"/>
          <w:noProof/>
          <w:vertAlign w:val="superscript"/>
        </w:rPr>
        <w:t>19</w:t>
      </w:r>
      <w:r w:rsidRPr="000E55C1">
        <w:rPr>
          <w:rFonts w:eastAsia="Corbel" w:cstheme="minorHAnsi"/>
        </w:rPr>
        <w:fldChar w:fldCharType="end"/>
      </w:r>
      <w:r w:rsidRPr="000E55C1">
        <w:rPr>
          <w:rFonts w:eastAsia="Corbel" w:cstheme="minorHAnsi"/>
        </w:rPr>
        <w:t xml:space="preserve">, agriculture </w:t>
      </w:r>
      <w:r w:rsidRPr="000E55C1">
        <w:rPr>
          <w:rFonts w:eastAsia="Corbel" w:cstheme="minorHAnsi"/>
        </w:rPr>
        <w:fldChar w:fldCharType="begin" w:fldLock="1"/>
      </w:r>
      <w:r w:rsidR="00A14385" w:rsidRPr="000E55C1">
        <w:rPr>
          <w:rFonts w:eastAsia="Corbel" w:cstheme="minorHAnsi"/>
        </w:rPr>
        <w:instrText>ADDIN CSL_CITATION {"citationItems":[{"id":"ITEM-1","itemData":{"DOI":"10.1126/science.aaq0216","ISSN":"10959203","PMID":"29853680","abstract":"Food’s environmental impacts are created by millions of diverse producers. To identify solutions that are effective under this heterogeneity, we consolidated data covering five environmental indicators; 38,700 farms; and 1600 processors, packaging types, and retailers. Impact can vary 50-fold among producers of the same product, creating substantial mitigation opportunities. However, mitigation is complicated by trade-offs, multiple ways for producers to achieve low impacts, and interactions throughout the supply chain. Producers have limits on how far they can reduce impacts. Most strikingly, impacts of the lowest-impact animal products typically exceed those of vegetable substitutes, providing new evidence for the importance of dietary change. Cumulatively, our findings support an approach where producers monitor their own impacts, flexibly meet environmental targets by choosing from multiple practices, and communicate their impacts to consumers.","author":[{"dropping-particle":"","family":"Poore","given":"J.","non-dropping-particle":"","parse-names":false,"suffix":""},{"dropping-particle":"","family":"Nemecek","given":"T.","non-dropping-particle":"","parse-names":false,"suffix":""}],"container-title":"Science","id":"ITEM-1","issue":"6392","issued":{"date-parts":[["2018","6","1"]]},"page":"987-992","publisher":"American Association for the Advancement of Science","title":"Reducing food’s environmental impacts through producers and consumers","type":"article-journal","volume":"360"},"uris":["http://www.mendeley.com/documents/?uuid=a0636b1c-ed34-444d-8d70-da110c36e536"]},{"id":"ITEM-2","itemData":{"DOI":"10.1016/j.jclepro.2020.125672","ISSN":"09596526","abstract":"The UK has committed to achieving net zero emissions by 2050, and the food system is increasingly recognised as a critical part of realising this scale of mitigation. Food-related emissions are ultimately driven by demand. We therefore present a scenario analysis of the mitigation potential from transformative demand-side interventions in the UK food system. We construct a hybrid physical input-output food system model, evaluating the effect on emissions of moderating calorific intake to that in the UK Government Dietary Recommendations, modal shifts in diets towards plant-derived proteins, and of reducing consumer food waste. We conclude that the UK could reduce absolute annual territorial Greenhouse Gas (GHG) emissions by 52% (from 2017 to 2050) in the most ambitious scenario, where dietary transitions are the single most effective measure with reductions of 22–44%. Demand-side mitigation is also well positioned to address the UK's consumption-based food emissions, which are approximately 52% higher than current territorial emissions emitted in the UK. Well-designed and equitable policy is required to realise the full mitigation potential of these options, and to navigate multiple structural issues including food poverty and carbon leakage. However, the current culture of acceptability around pro-environmental dietary change in the UK has arguably created greater space for policy intervention on the demand-side. Novelties of the analysis include modelling a range of demand-side options using territorial and consumption-based emissions accounting, designing scenarios of dietary change which reflect recent trends towards sustainable consumption, and proposing up-to-date policy interventions. The implications of the analysis are highly transferable to other developed nations. A demand-side mitigation approach could feasibly implement the identified emissions savings whilst working towards a more environmentally, socially and economically sustainable food system.","author":[{"dropping-particle":"","family":"Garvey","given":"Alice","non-dropping-particle":"","parse-names":false,"suffix":""},{"dropping-particle":"","family":"Norman","given":"Jonathan B.","non-dropping-particle":"","parse-names":false,"suffix":""},{"dropping-particle":"","family":"Owen","given":"Anne","non-dropping-particle":"","parse-names":false,"suffix":""},{"dropping-particle":"","family":"Barrett","given":"John","non-dropping-particle":"","parse-names":false,"suffix":""}],"container-title":"Journal of Cleaner Production","id":"ITEM-2","issued":{"date-parts":[["2021","3","25"]]},"page":"125672","publisher":"Elsevier Ltd","title":"Towards net zero nutrition: The contribution of demand-side change to mitigating UK food emissions","type":"article-journal","volume":"290"},"uris":["http://www.mendeley.com/documents/?uuid=77aceaec-ad73-4ff3-8b67-12b518956349"]}],"mendeley":{"formattedCitation":"&lt;sup&gt;20,21&lt;/sup&gt;","plainTextFormattedCitation":"20,21","previouslyFormattedCitation":"&lt;sup&gt;20,21&lt;/sup&gt;"},"properties":{"noteIndex":0},"schema":"https://github.com/citation-style-language/schema/raw/master/csl-citation.json"}</w:instrText>
      </w:r>
      <w:r w:rsidRPr="000E55C1">
        <w:rPr>
          <w:rFonts w:eastAsia="Corbel" w:cstheme="minorHAnsi"/>
        </w:rPr>
        <w:fldChar w:fldCharType="separate"/>
      </w:r>
      <w:r w:rsidR="00A14385" w:rsidRPr="000E55C1">
        <w:rPr>
          <w:rFonts w:eastAsia="Corbel" w:cstheme="minorHAnsi"/>
          <w:noProof/>
          <w:vertAlign w:val="superscript"/>
        </w:rPr>
        <w:t>20,21</w:t>
      </w:r>
      <w:r w:rsidRPr="000E55C1">
        <w:rPr>
          <w:rFonts w:eastAsia="Corbel" w:cstheme="minorHAnsi"/>
        </w:rPr>
        <w:fldChar w:fldCharType="end"/>
      </w:r>
      <w:r w:rsidRPr="000E55C1">
        <w:rPr>
          <w:rFonts w:eastAsia="Corbel" w:cstheme="minorHAnsi"/>
        </w:rPr>
        <w:t xml:space="preserve">, transport </w:t>
      </w:r>
      <w:r w:rsidRPr="000E55C1">
        <w:rPr>
          <w:rFonts w:eastAsia="Corbel" w:cstheme="minorHAnsi"/>
        </w:rPr>
        <w:fldChar w:fldCharType="begin" w:fldLock="1"/>
      </w:r>
      <w:r w:rsidR="00A14385" w:rsidRPr="000E55C1">
        <w:rPr>
          <w:rFonts w:eastAsia="Corbel" w:cstheme="minorHAnsi"/>
        </w:rPr>
        <w:instrText>ADDIN CSL_CITATION {"citationItems":[{"id":"ITEM-1","itemData":{"DOI":"10.3390/en12203870","ISSN":"1996-1073","abstract":"&lt;p&gt;The pivotal target of the Paris Agreement is to keep temperature rise well below 2 °C above the pre-industrial level and pursue efforts to limit temperature rise to 1.5 °C. To meet this target, all energy-consuming sectors, including the transport sector, need to be restructured. The transport sector accounted for 19% of the global final energy demand in 2015, of which the vast majority was supplied by fossil fuels (around 31,080 TWh). Fossil-fuel consumption leads to greenhouse gas emissions, which accounted for about 8260 MtCO2eq from the transport sector in 2015. This paper examines the transportation demand that can be expected and how alternative transportation technologies along with new sustainable energy sources can impact the energy demand and emissions trend in the transport sector until 2050. Battery-electric vehicles and fuel-cell electric vehicles are the two most promising technologies for the future on roads. Electric ships and airplanes for shorter distances and hydrogen-based synthetic fuels for longer distances may appear around 2030 onwards to reduce the emissions from the marine and aviation transport modes. The rail mode will remain the least energy-demanding, compared to other transport modes. An ambitious scenario for achieving zero greenhouse gas emissions by 2050 is applied, also demonstrating the very high relevance of direct and indirect electrification of the transport sector. Fossil-fuel demand can be reduced to zero by 2050; however, the electricity demand is projected to rise from 125 TWhel in 2015 to about 51,610 TWhel in 2050, substantially driven by indirect electricity demand for the production of synthetic fuels. While the transportation demand roughly triples from 2015 to 2050, substantial efficiency gains enable an almost stable final energy demand for the transport sector, as a consequence of broad electrification. The overall well-to-wheel efficiency in the transport sector increases from 26% in 2015 to 39% in 2050, resulting in a respective reduction of overall losses from primary energy to mechanical energy in vehicles. Power-to-fuels needed mainly for marine and aviation transport is not a significant burden for overall transport sector efficiency. The primary energy base of the transport sector switches in the next decades from fossil resources to renewable electricity, driven by higher efficiency and sustainability.&lt;/p&gt;","author":[{"dropping-particle":"","family":"Khalili","given":"Siavash","non-dropping-particle":"","parse-names":false,"suffix":""},{"dropping-particle":"","family":"Rantanen","given":"Eetu","non-dropping-particle":"","parse-names":false,"suffix":""},{"dropping-particle":"","family":"Bogdanov","given":"Dmitrii","non-dropping-particle":"","parse-names":false,"suffix":""},{"dropping-particle":"","family":"Breyer","given":"Christian","non-dropping-particle":"","parse-names":false,"suffix":""}],"container-title":"Energies","id":"ITEM-1","issue":"20","issued":{"date-parts":[["2019","10","12"]]},"page":"3870","publisher":"MDPI AG","title":"Global Transportation Demand Development with Impacts on the Energy Demand and Greenhouse Gas Emissions in a Climate-Constrained World","type":"article-journal","volume":"12"},"uris":["http://www.mendeley.com/documents/?uuid=50cc06e4-117a-47e9-91d4-714bb09f4cf7"]}],"mendeley":{"formattedCitation":"&lt;sup&gt;22&lt;/sup&gt;","plainTextFormattedCitation":"22","previouslyFormattedCitation":"&lt;sup&gt;22&lt;/sup&gt;"},"properties":{"noteIndex":0},"schema":"https://github.com/citation-style-language/schema/raw/master/csl-citation.json"}</w:instrText>
      </w:r>
      <w:r w:rsidRPr="000E55C1">
        <w:rPr>
          <w:rFonts w:eastAsia="Corbel" w:cstheme="minorHAnsi"/>
        </w:rPr>
        <w:fldChar w:fldCharType="separate"/>
      </w:r>
      <w:r w:rsidR="00A14385" w:rsidRPr="000E55C1">
        <w:rPr>
          <w:rFonts w:eastAsia="Corbel" w:cstheme="minorHAnsi"/>
          <w:noProof/>
          <w:vertAlign w:val="superscript"/>
        </w:rPr>
        <w:t>22</w:t>
      </w:r>
      <w:r w:rsidRPr="000E55C1">
        <w:rPr>
          <w:rFonts w:eastAsia="Corbel" w:cstheme="minorHAnsi"/>
        </w:rPr>
        <w:fldChar w:fldCharType="end"/>
      </w:r>
      <w:r w:rsidRPr="000E55C1">
        <w:rPr>
          <w:rFonts w:eastAsia="Corbel" w:cstheme="minorHAnsi"/>
        </w:rPr>
        <w:t xml:space="preserve"> and other hard to mitigate sectors such as aviation, shipping, freight, and industry </w:t>
      </w:r>
      <w:r w:rsidRPr="000E55C1">
        <w:rPr>
          <w:rFonts w:eastAsia="Corbel" w:cstheme="minorHAnsi"/>
        </w:rPr>
        <w:fldChar w:fldCharType="begin" w:fldLock="1"/>
      </w:r>
      <w:r w:rsidR="00A14385" w:rsidRPr="000E55C1">
        <w:rPr>
          <w:rFonts w:eastAsia="Corbel" w:cstheme="minorHAnsi"/>
        </w:rPr>
        <w:instrText>ADDIN CSL_CITATION {"citationItems":[{"id":"ITEM-1","itemData":{"DOI":"10.1080/14693062.2020.1831430","ISSN":"17527457","abstract":"Limiting warming to well below 2°C requires rapid and complete decarbonisation of energy systems. We compare economy-wide modelling of 1.5°C and 2°C scenarios with sector-focused analyses of four critical sectors that are difficult to decarbonise: aviation, shipping, road freight transport, and industry. We develop and apply a novel framework to analyse and track mitigation progress in these sectors. We find that emission reductions in the 1.5°C and 2°C scenarios of the IMAGE model come from deep cuts in CO2 intensities and lower energy intensities, with minimal demand reductions in these sectors’ activity. We identify a range of additional measures and policy levers that are not explicitly captured in modelled scenarios but could contribute significant emission reductions. These are demand reduction options, and include less air travel (aviation), reduced transportation of fossil fuels (shipping), more locally produced goods combined with high load factors (road freight), and a shift to a circular economy (industry). We discuss the challenges of reducing demand both for economy-wide modelling and for policy. Based on our sectoral analysis framework, we suggest modelling improvements and policy recommendations, calling on the relevant UN agencies to start tracking mitigation progress through monitoring key elements of the framework (CO2 intensity, energy efficiency, and demand for sectoral activity, as well as the underlying drivers), as a matter of urgency. Key policy insights Four critical sectors (aviation, shipping, road freight, and industry) cannot cut their CO2 emissions to zero rapidly with technological supply-side options alone. Without large-scale negative emissions, significant demand reductions for those sectors’ activities are needed to meet the 1.5–2°C goal. Policy priorities include affordable alternatives to frequent air travel; smooth connectivity between low-carbon travel modes; speed reductions in shipping and reduced demand for transporting fossil fuels; distributed manufacturing and local storage; and tightening standards for material use and product longevity. The COVID-19 crisis presents a unique opportunity to enact lasting CO2 emissions reductions, through switching from frequent air travel to other transport modes and online interactions. Policies driving significant demand reductions for the critical sectors’ activities would reduce reliance on carbon removal technologies that are unavailable at scale.","author":[{"dropping-particle":"","family":"Sharmina","given":"M","non-dropping-particle":"","parse-names":false,"suffix":""},{"dropping-particle":"","family":"Edelenbosch","given":"O Y","non-dropping-particle":"","parse-names":false,"suffix":""},{"dropping-particle":"","family":"Wilson","given":"C","non-dropping-particle":"","parse-names":false,"suffix":""},{"dropping-particle":"","family":"Freeman","given":"R","non-dropping-particle":"","parse-names":false,"suffix":""},{"dropping-particle":"","family":"Gernaat","given":"D. E.H.J.","non-dropping-particle":"","parse-names":false,"suffix":""},{"dropping-particle":"","family":"Gilbert","given":"P","non-dropping-particle":"","parse-names":false,"suffix":""},{"dropping-particle":"","family":"Larkin","given":"A","non-dropping-particle":"","parse-names":false,"suffix":""},{"dropping-particle":"","family":"Littleton","given":"E W","non-dropping-particle":"","parse-names":false,"suffix":""},{"dropping-particle":"","family":"Traut","given":"M","non-dropping-particle":"","parse-names":false,"suffix":""},{"dropping-particle":"","family":"Vuuren","given":"D. P.","non-dropping-particle":"van","parse-names":false,"suffix":""},{"dropping-particle":"","family":"Vaughan","given":"N E","non-dropping-particle":"","parse-names":false,"suffix":""},{"dropping-particle":"","family":"Wood","given":"F R","non-dropping-particle":"","parse-names":false,"suffix":""},{"dropping-particle":"","family":"Quéré","given":"C","non-dropping-particle":"Le","parse-names":false,"suffix":""}],"container-title":"Climate Policy","id":"ITEM-1","issue":"4","issued":{"date-parts":[["2021"]]},"page":"455-474","title":"Decarbonising the critical sectors of aviation, shipping, road freight and industry to limit warming to 1.5–2°C","type":"article-journal","volume":"21"},"uris":["http://www.mendeley.com/documents/?uuid=7702a92f-0d27-4a47-afbb-4646ba6d7156"]}],"mendeley":{"formattedCitation":"&lt;sup&gt;18&lt;/sup&gt;","plainTextFormattedCitation":"18","previouslyFormattedCitation":"&lt;sup&gt;18&lt;/sup&gt;"},"properties":{"noteIndex":0},"schema":"https://github.com/citation-style-language/schema/raw/master/csl-citation.json"}</w:instrText>
      </w:r>
      <w:r w:rsidRPr="000E55C1">
        <w:rPr>
          <w:rFonts w:eastAsia="Corbel" w:cstheme="minorHAnsi"/>
        </w:rPr>
        <w:fldChar w:fldCharType="separate"/>
      </w:r>
      <w:r w:rsidR="00A14385" w:rsidRPr="000E55C1">
        <w:rPr>
          <w:rFonts w:eastAsia="Corbel" w:cstheme="minorHAnsi"/>
          <w:noProof/>
          <w:vertAlign w:val="superscript"/>
        </w:rPr>
        <w:t>18</w:t>
      </w:r>
      <w:r w:rsidRPr="000E55C1">
        <w:rPr>
          <w:rFonts w:eastAsia="Corbel" w:cstheme="minorHAnsi"/>
        </w:rPr>
        <w:fldChar w:fldCharType="end"/>
      </w:r>
      <w:r w:rsidRPr="000E55C1">
        <w:rPr>
          <w:rFonts w:eastAsia="Corbel" w:cstheme="minorHAnsi"/>
        </w:rPr>
        <w:t xml:space="preserve">. </w:t>
      </w:r>
      <w:r w:rsidR="00A14385" w:rsidRPr="000E55C1">
        <w:rPr>
          <w:rFonts w:eastAsia="Corbel" w:cstheme="minorHAnsi"/>
        </w:rPr>
        <w:t>Mata et al.</w:t>
      </w:r>
      <w:r w:rsidR="00A14385" w:rsidRPr="000E55C1">
        <w:rPr>
          <w:rFonts w:eastAsia="Corbel" w:cstheme="minorHAnsi"/>
        </w:rPr>
        <w:fldChar w:fldCharType="begin" w:fldLock="1"/>
      </w:r>
      <w:r w:rsidR="00A14385" w:rsidRPr="000E55C1">
        <w:rPr>
          <w:rFonts w:eastAsia="Corbel" w:cstheme="minorHAnsi"/>
        </w:rPr>
        <w:instrText>ADDIN CSL_CITATION {"citationItems":[{"id":"ITEM-1","itemData":{"DOI":"10.1088/1748-9326/abb69f","ISSN":"17489326","abstract":"Formulation of targets and establishing which factors in different contexts will achieve these targets are critical to successful decarbonization of the building sector. To contribute to this, we have performed an evidence map of roadmaps for zero and low energy and carbon buildings (ZLECB) worldwide, including a list and classification of documents in an on-line geographical map, a description of gaps, and a narrative review of the knowledge gluts. We have retrieved 1219 scientific documents from Scopus, extracted metadata from 274 documents, and identified 117 roadmaps, policies or plans from 27 countries worldwide. We find that there is a coverage bias towards more developed regions. The identified scientific studies are mostly recommendations to policy makers, different types of case studies, and demonstration projects. The geographical inequalities found in the coverage of the scientific literature are even more extreme in the coverage of the roadmaps. These underexplored world regions represent an area for further investigation and increased research/policy attention. Our review of the more substantial amount of literature and roadmaps for developed regions shows differences in target metrics and enforcement mechanisms but that all regions dedicate some efforts at national and local levels. Roadmaps generally focus more on new and public buildings than existing buildings, despite the fact that the latter are naturally larger in number and total floor area, and perform less energy efficiently. A combination of efficiency, technical upgrades, and renewable generation is generally proposed in the roadmaps, with behavioral measures only reflected in the use of information and communication technologies, and minimal focus being placed on lifecycle perspectives. We conclude that insufficient progress is being made in the implementation of ZLECB. More work is needed to couple the existing climate goals, with realistic, enforceable policies to make the carbon savings a reality for different contexts and stakeholders worldwide.","author":[{"dropping-particle":"","family":"Mata","given":"","non-dropping-particle":"","parse-names":false,"suffix":""},{"dropping-particle":"","family":"Korpal","given":"A. K.","non-dropping-particle":"","parse-names":false,"suffix":""},{"dropping-particle":"","family":"Cheng","given":"S. H.","non-dropping-particle":"","parse-names":false,"suffix":""},{"dropping-particle":"","family":"Jiménez Navarro","given":"J. P.","non-dropping-particle":"","parse-names":false,"suffix":""},{"dropping-particle":"","family":"Filippidou","given":"F.","non-dropping-particle":"","parse-names":false,"suffix":""},{"dropping-particle":"","family":"Reyna","given":"J.","non-dropping-particle":"","parse-names":false,"suffix":""},{"dropping-particle":"","family":"Wang","given":"R.","non-dropping-particle":"","parse-names":false,"suffix":""}],"container-title":"Environmental Research Letters","id":"ITEM-1","issue":"11","issued":{"date-parts":[["2020","11","1"]]},"page":"113003","publisher":"IOP Publishing Ltd","title":"A map of roadmaps for zero and low energy and carbon buildings worldwide","type":"article","volume":"15"},"uris":["http://www.mendeley.com/documents/?uuid=823d8c65-7e9b-487a-bf2d-d4a13624d605"]}],"mendeley":{"formattedCitation":"&lt;sup&gt;19&lt;/sup&gt;","plainTextFormattedCitation":"19","previouslyFormattedCitation":"&lt;sup&gt;19&lt;/sup&gt;"},"properties":{"noteIndex":0},"schema":"https://github.com/citation-style-language/schema/raw/master/csl-citation.json"}</w:instrText>
      </w:r>
      <w:r w:rsidR="00A14385" w:rsidRPr="000E55C1">
        <w:rPr>
          <w:rFonts w:eastAsia="Corbel" w:cstheme="minorHAnsi"/>
        </w:rPr>
        <w:fldChar w:fldCharType="separate"/>
      </w:r>
      <w:r w:rsidR="00A14385" w:rsidRPr="000E55C1">
        <w:rPr>
          <w:rFonts w:eastAsia="Corbel" w:cstheme="minorHAnsi"/>
          <w:noProof/>
          <w:vertAlign w:val="superscript"/>
        </w:rPr>
        <w:t>19</w:t>
      </w:r>
      <w:r w:rsidR="00A14385" w:rsidRPr="000E55C1">
        <w:rPr>
          <w:rFonts w:eastAsia="Corbel" w:cstheme="minorHAnsi"/>
        </w:rPr>
        <w:fldChar w:fldCharType="end"/>
      </w:r>
      <w:r w:rsidRPr="000E55C1">
        <w:rPr>
          <w:rFonts w:eastAsia="Corbel" w:cstheme="minorHAnsi"/>
        </w:rPr>
        <w:t xml:space="preserve"> investigate energy demand reduction in the building sector, through an exploration of sector roadmaps for net-zero around the world. They find that most roadmaps are focused on efficiency measures and technology-based upgrades to the housing stock, with limited focus on ‘lifestyle’ or ‘behavioural’ changes </w:t>
      </w:r>
      <w:r w:rsidRPr="000E55C1">
        <w:rPr>
          <w:rFonts w:eastAsia="Corbel" w:cstheme="minorHAnsi"/>
        </w:rPr>
        <w:fldChar w:fldCharType="begin" w:fldLock="1"/>
      </w:r>
      <w:r w:rsidR="00A14385" w:rsidRPr="000E55C1">
        <w:rPr>
          <w:rFonts w:eastAsia="Corbel" w:cstheme="minorHAnsi"/>
        </w:rPr>
        <w:instrText>ADDIN CSL_CITATION {"citationItems":[{"id":"ITEM-1","itemData":{"DOI":"10.1088/1748-9326/abb69f","ISSN":"17489326","abstract":"Formulation of targets and establishing which factors in different contexts will achieve these targets are critical to successful decarbonization of the building sector. To contribute to this, we have performed an evidence map of roadmaps for zero and low energy and carbon buildings (ZLECB) worldwide, including a list and classification of documents in an on-line geographical map, a description of gaps, and a narrative review of the knowledge gluts. We have retrieved 1219 scientific documents from Scopus, extracted metadata from 274 documents, and identified 117 roadmaps, policies or plans from 27 countries worldwide. We find that there is a coverage bias towards more developed regions. The identified scientific studies are mostly recommendations to policy makers, different types of case studies, and demonstration projects. The geographical inequalities found in the coverage of the scientific literature are even more extreme in the coverage of the roadmaps. These underexplored world regions represent an area for further investigation and increased research/policy attention. Our review of the more substantial amount of literature and roadmaps for developed regions shows differences in target metrics and enforcement mechanisms but that all regions dedicate some efforts at national and local levels. Roadmaps generally focus more on new and public buildings than existing buildings, despite the fact that the latter are naturally larger in number and total floor area, and perform less energy efficiently. A combination of efficiency, technical upgrades, and renewable generation is generally proposed in the roadmaps, with behavioral measures only reflected in the use of information and communication technologies, and minimal focus being placed on lifecycle perspectives. We conclude that insufficient progress is being made in the implementation of ZLECB. More work is needed to couple the existing climate goals, with realistic, enforceable policies to make the carbon savings a reality for different contexts and stakeholders worldwide.","author":[{"dropping-particle":"","family":"Mata","given":"","non-dropping-particle":"","parse-names":false,"suffix":""},{"dropping-particle":"","family":"Korpal","given":"A. K.","non-dropping-particle":"","parse-names":false,"suffix":""},{"dropping-particle":"","family":"Cheng","given":"S. H.","non-dropping-particle":"","parse-names":false,"suffix":""},{"dropping-particle":"","family":"Jiménez Navarro","given":"J. P.","non-dropping-particle":"","parse-names":false,"suffix":""},{"dropping-particle":"","family":"Filippidou","given":"F.","non-dropping-particle":"","parse-names":false,"suffix":""},{"dropping-particle":"","family":"Reyna","given":"J.","non-dropping-particle":"","parse-names":false,"suffix":""},{"dropping-particle":"","family":"Wang","given":"R.","non-dropping-particle":"","parse-names":false,"suffix":""}],"container-title":"Environmental Research Letters","id":"ITEM-1","issue":"11","issued":{"date-parts":[["2020","11","1"]]},"page":"113003","publisher":"IOP Publishing Ltd","title":"A map of roadmaps for zero and low energy and carbon buildings worldwide","type":"article","volume":"15"},"uris":["http://www.mendeley.com/documents/?uuid=823d8c65-7e9b-487a-bf2d-d4a13624d605"]}],"mendeley":{"formattedCitation":"&lt;sup&gt;19&lt;/sup&gt;","plainTextFormattedCitation":"19","previouslyFormattedCitation":"&lt;sup&gt;19&lt;/sup&gt;"},"properties":{"noteIndex":0},"schema":"https://github.com/citation-style-language/schema/raw/master/csl-citation.json"}</w:instrText>
      </w:r>
      <w:r w:rsidRPr="000E55C1">
        <w:rPr>
          <w:rFonts w:eastAsia="Corbel" w:cstheme="minorHAnsi"/>
        </w:rPr>
        <w:fldChar w:fldCharType="separate"/>
      </w:r>
      <w:r w:rsidR="00A14385" w:rsidRPr="000E55C1">
        <w:rPr>
          <w:rFonts w:eastAsia="Corbel" w:cstheme="minorHAnsi"/>
          <w:noProof/>
          <w:vertAlign w:val="superscript"/>
        </w:rPr>
        <w:t>19</w:t>
      </w:r>
      <w:r w:rsidRPr="000E55C1">
        <w:rPr>
          <w:rFonts w:eastAsia="Corbel" w:cstheme="minorHAnsi"/>
        </w:rPr>
        <w:fldChar w:fldCharType="end"/>
      </w:r>
      <w:r w:rsidRPr="000E55C1">
        <w:rPr>
          <w:rFonts w:eastAsia="Corbel" w:cstheme="minorHAnsi"/>
        </w:rPr>
        <w:t>. Brand et al.</w:t>
      </w:r>
      <w:r w:rsidR="00A14385" w:rsidRPr="000E55C1">
        <w:rPr>
          <w:rFonts w:eastAsia="Corbel" w:cstheme="minorHAnsi"/>
        </w:rPr>
        <w:fldChar w:fldCharType="begin" w:fldLock="1"/>
      </w:r>
      <w:r w:rsidR="004A7666" w:rsidRPr="000E55C1">
        <w:rPr>
          <w:rFonts w:eastAsia="Corbel" w:cstheme="minorHAnsi"/>
        </w:rPr>
        <w:instrText>ADDIN CSL_CITATION {"citationItems":[{"id":"ITEM-1","itemData":{"DOI":"10.1007/s12053-018-9678-9","ISSN":"15706478","abstract":"It is well-known that societal energy consumption and pollutant emissions from transport are influenced not only by technical efficiency, mode choice and the carbon/pollutant content of energy but also by lifestyle choices and socio-cultural factors. However, only a few attempts have been made to integrate all of these insights into systems models of future transport energy demand or even scenario analysis. This paper addresses this gap in research and practice by presenting the development and use of quantitative scenarios using an integrated transport-energy-environment systems model to explore four contrasting futures for Scotland that compare transport-related ‘lifestyle’ changes and socio-cultural factors against a transition pathway focussing on transport electrification and the phasing out of conventionally fuelled vehicles using a socio-technical approach. We found that radical demand and supply strategies can have important synergies and trade-offs between reducing life cycle greenhouse gas and air quality emissions. Lifestyle change alone can have a comparable and earlier effect on transport carbon and air quality emissions than a transition to EVs with no lifestyle change. Yet, the detailed modelling of four contrasting futures suggests that both strategies have limits to meeting legislated carbon budgets, which may only be achieved with a combined strategy of radical change in travel patterns, mode and vehicle choice, vehicle occupancy and on-road driving behaviour with high electrification and phasing out of conventional petrol and diesel road vehicles. The newfound urgency of ‘cleaning up our act’ since the Paris Agreement and Dieselgate scandal suggests that we cannot just wait for the ‘technology fix’.","author":[{"dropping-particle":"","family":"Brand","given":"Christian","non-dropping-particle":"","parse-names":false,"suffix":""},{"dropping-particle":"","family":"Anable","given":"Jillian","non-dropping-particle":"","parse-names":false,"suffix":""},{"dropping-particle":"","family":"Morton","given":"Craig","non-dropping-particle":"","parse-names":false,"suffix":""}],"container-title":"Energy Efficiency","id":"ITEM-1","issue":"1","issued":{"date-parts":[["2019","1","3"]]},"page":"187-207","publisher":"Springer Netherlands","title":"Lifestyle, efficiency and limits: modelling transport energy and emissions using a socio-technical approach","type":"article-journal","volume":"12"},"uris":["http://www.mendeley.com/documents/?uuid=fc5145db-1d47-36bf-825f-a313e9553e2b"]}],"mendeley":{"formattedCitation":"&lt;sup&gt;23&lt;/sup&gt;","plainTextFormattedCitation":"23","previouslyFormattedCitation":"&lt;sup&gt;23&lt;/sup&gt;"},"properties":{"noteIndex":0},"schema":"https://github.com/citation-style-language/schema/raw/master/csl-citation.json"}</w:instrText>
      </w:r>
      <w:r w:rsidR="00A14385" w:rsidRPr="000E55C1">
        <w:rPr>
          <w:rFonts w:eastAsia="Corbel" w:cstheme="minorHAnsi"/>
        </w:rPr>
        <w:fldChar w:fldCharType="separate"/>
      </w:r>
      <w:r w:rsidR="00A14385" w:rsidRPr="000E55C1">
        <w:rPr>
          <w:rFonts w:eastAsia="Corbel" w:cstheme="minorHAnsi"/>
          <w:noProof/>
          <w:vertAlign w:val="superscript"/>
        </w:rPr>
        <w:t>23</w:t>
      </w:r>
      <w:r w:rsidR="00A14385" w:rsidRPr="000E55C1">
        <w:rPr>
          <w:rFonts w:eastAsia="Corbel" w:cstheme="minorHAnsi"/>
        </w:rPr>
        <w:fldChar w:fldCharType="end"/>
      </w:r>
      <w:r w:rsidR="00A14385" w:rsidRPr="000E55C1">
        <w:rPr>
          <w:rFonts w:eastAsia="Corbel" w:cstheme="minorHAnsi"/>
        </w:rPr>
        <w:t xml:space="preserve"> </w:t>
      </w:r>
      <w:r w:rsidRPr="000E55C1">
        <w:rPr>
          <w:rFonts w:eastAsia="Corbel" w:cstheme="minorHAnsi"/>
        </w:rPr>
        <w:t>explore four contrasting futures that compare transport-related ‘lifestyle’ changes and socio-cultural factors against a transition pathway focussing on transport electrification and the phasing out of conventionally fuelled vehicles. They find that lifestyle change alone can have a comparable and earlier effect on transport carbon and air quality emissions than a transition to electric vehicles with no lifestyle change.</w:t>
      </w:r>
    </w:p>
    <w:p w14:paraId="2B461AD4" w14:textId="7495E86A" w:rsidR="009627EA" w:rsidRPr="000E55C1" w:rsidRDefault="004A7666" w:rsidP="009627EA">
      <w:pPr>
        <w:spacing w:line="257" w:lineRule="auto"/>
        <w:rPr>
          <w:rFonts w:eastAsia="Corbel" w:cstheme="minorHAnsi"/>
        </w:rPr>
      </w:pPr>
      <w:proofErr w:type="spellStart"/>
      <w:r w:rsidRPr="000E55C1">
        <w:rPr>
          <w:rFonts w:eastAsia="Corbel" w:cstheme="minorHAnsi"/>
        </w:rPr>
        <w:t>Sharmina</w:t>
      </w:r>
      <w:proofErr w:type="spellEnd"/>
      <w:r w:rsidRPr="000E55C1">
        <w:rPr>
          <w:rFonts w:eastAsia="Corbel" w:cstheme="minorHAnsi"/>
        </w:rPr>
        <w:t xml:space="preserve"> et al.</w:t>
      </w:r>
      <w:r w:rsidRPr="000E55C1">
        <w:rPr>
          <w:rFonts w:eastAsia="Corbel" w:cstheme="minorHAnsi"/>
        </w:rPr>
        <w:fldChar w:fldCharType="begin" w:fldLock="1"/>
      </w:r>
      <w:r w:rsidR="00EB620C" w:rsidRPr="000E55C1">
        <w:rPr>
          <w:rFonts w:eastAsia="Corbel" w:cstheme="minorHAnsi"/>
        </w:rPr>
        <w:instrText>ADDIN CSL_CITATION {"citationItems":[{"id":"ITEM-1","itemData":{"DOI":"10.1080/14693062.2020.1831430","ISSN":"17527457","abstract":"Limiting warming to well below 2°C requires rapid and complete decarbonisation of energy systems. We compare economy-wide modelling of 1.5°C and 2°C scenarios with sector-focused analyses of four critical sectors that are difficult to decarbonise: aviation, shipping, road freight transport, and industry. We develop and apply a novel framework to analyse and track mitigation progress in these sectors. We find that emission reductions in the 1.5°C and 2°C scenarios of the IMAGE model come from deep cuts in CO2 intensities and lower energy intensities, with minimal demand reductions in these sectors’ activity. We identify a range of additional measures and policy levers that are not explicitly captured in modelled scenarios but could contribute significant emission reductions. These are demand reduction options, and include less air travel (aviation), reduced transportation of fossil fuels (shipping), more locally produced goods combined with high load factors (road freight), and a shift to a circular economy (industry). We discuss the challenges of reducing demand both for economy-wide modelling and for policy. Based on our sectoral analysis framework, we suggest modelling improvements and policy recommendations, calling on the relevant UN agencies to start tracking mitigation progress through monitoring key elements of the framework (CO2 intensity, energy efficiency, and demand for sectoral activity, as well as the underlying drivers), as a matter of urgency. Key policy insights Four critical sectors (aviation, shipping, road freight, and industry) cannot cut their CO2 emissions to zero rapidly with technological supply-side options alone. Without large-scale negative emissions, significant demand reductions for those sectors’ activities are needed to meet the 1.5–2°C goal. Policy priorities include affordable alternatives to frequent air travel; smooth connectivity between low-carbon travel modes; speed reductions in shipping and reduced demand for transporting fossil fuels; distributed manufacturing and local storage; and tightening standards for material use and product longevity. The COVID-19 crisis presents a unique opportunity to enact lasting CO2 emissions reductions, through switching from frequent air travel to other transport modes and online interactions. Policies driving significant demand reductions for the critical sectors’ activities would reduce reliance on carbon removal technologies that are unavailable at scale.","author":[{"dropping-particle":"","family":"Sharmina","given":"M","non-dropping-particle":"","parse-names":false,"suffix":""},{"dropping-particle":"","family":"Edelenbosch","given":"O Y","non-dropping-particle":"","parse-names":false,"suffix":""},{"dropping-particle":"","family":"Wilson","given":"C","non-dropping-particle":"","parse-names":false,"suffix":""},{"dropping-particle":"","family":"Freeman","given":"R","non-dropping-particle":"","parse-names":false,"suffix":""},{"dropping-particle":"","family":"Gernaat","given":"D. E.H.J.","non-dropping-particle":"","parse-names":false,"suffix":""},{"dropping-particle":"","family":"Gilbert","given":"P","non-dropping-particle":"","parse-names":false,"suffix":""},{"dropping-particle":"","family":"Larkin","given":"A","non-dropping-particle":"","parse-names":false,"suffix":""},{"dropping-particle":"","family":"Littleton","given":"E W","non-dropping-particle":"","parse-names":false,"suffix":""},{"dropping-particle":"","family":"Traut","given":"M","non-dropping-particle":"","parse-names":false,"suffix":""},{"dropping-particle":"","family":"Vuuren","given":"D. P.","non-dropping-particle":"van","parse-names":false,"suffix":""},{"dropping-particle":"","family":"Vaughan","given":"N E","non-dropping-particle":"","parse-names":false,"suffix":""},{"dropping-particle":"","family":"Wood","given":"F R","non-dropping-particle":"","parse-names":false,"suffix":""},{"dropping-particle":"","family":"Quéré","given":"C","non-dropping-particle":"Le","parse-names":false,"suffix":""}],"container-title":"Climate Policy","id":"ITEM-1","issue":"4","issued":{"date-parts":[["2021"]]},"page":"455-474","title":"Decarbonising the critical sectors of aviation, shipping, road freight and industry to limit warming to 1.5–2°C","type":"article-journal","volume":"21"},"uris":["http://www.mendeley.com/documents/?uuid=7702a92f-0d27-4a47-afbb-4646ba6d7156"]}],"mendeley":{"formattedCitation":"&lt;sup&gt;18&lt;/sup&gt;","plainTextFormattedCitation":"18","previouslyFormattedCitation":"&lt;sup&gt;18&lt;/sup&gt;"},"properties":{"noteIndex":0},"schema":"https://github.com/citation-style-language/schema/raw/master/csl-citation.json"}</w:instrText>
      </w:r>
      <w:r w:rsidRPr="000E55C1">
        <w:rPr>
          <w:rFonts w:eastAsia="Corbel" w:cstheme="minorHAnsi"/>
        </w:rPr>
        <w:fldChar w:fldCharType="separate"/>
      </w:r>
      <w:r w:rsidRPr="000E55C1">
        <w:rPr>
          <w:rFonts w:eastAsia="Corbel" w:cstheme="minorHAnsi"/>
          <w:noProof/>
          <w:vertAlign w:val="superscript"/>
        </w:rPr>
        <w:t>18</w:t>
      </w:r>
      <w:r w:rsidRPr="000E55C1">
        <w:rPr>
          <w:rFonts w:eastAsia="Corbel" w:cstheme="minorHAnsi"/>
        </w:rPr>
        <w:fldChar w:fldCharType="end"/>
      </w:r>
      <w:r w:rsidRPr="000E55C1">
        <w:rPr>
          <w:rFonts w:eastAsia="Corbel" w:cstheme="minorHAnsi"/>
        </w:rPr>
        <w:t xml:space="preserve"> </w:t>
      </w:r>
      <w:r w:rsidR="009627EA" w:rsidRPr="000E55C1">
        <w:rPr>
          <w:rFonts w:eastAsia="Corbel" w:cstheme="minorHAnsi"/>
        </w:rPr>
        <w:t xml:space="preserve">identify key demand reduction options in four critical ‘hard to reach’ sectors: aviation, shipping, road freight and industry. They highlight that currently, integrated assessment models are unable to capture many demand side mitigation opportunities within their price elasticity demand mechanisms, such as modal shift for aviation, slow stemming for shipping, localised production reducing demand for freight transport, and circular economy measures in industry. </w:t>
      </w:r>
      <w:proofErr w:type="spellStart"/>
      <w:r w:rsidR="00EB620C" w:rsidRPr="000E55C1">
        <w:rPr>
          <w:rFonts w:eastAsia="Corbel" w:cstheme="minorHAnsi"/>
        </w:rPr>
        <w:t>Khalili</w:t>
      </w:r>
      <w:proofErr w:type="spellEnd"/>
      <w:r w:rsidR="00EB620C" w:rsidRPr="000E55C1">
        <w:rPr>
          <w:rFonts w:eastAsia="Corbel" w:cstheme="minorHAnsi"/>
        </w:rPr>
        <w:t xml:space="preserve"> et al.</w:t>
      </w:r>
      <w:r w:rsidR="00EB620C" w:rsidRPr="000E55C1">
        <w:rPr>
          <w:rFonts w:eastAsia="Corbel" w:cstheme="minorHAnsi"/>
        </w:rPr>
        <w:fldChar w:fldCharType="begin" w:fldLock="1"/>
      </w:r>
      <w:r w:rsidR="00660864" w:rsidRPr="000E55C1">
        <w:rPr>
          <w:rFonts w:eastAsia="Corbel" w:cstheme="minorHAnsi"/>
        </w:rPr>
        <w:instrText>ADDIN CSL_CITATION {"citationItems":[{"id":"ITEM-1","itemData":{"DOI":"10.3390/en12203870","ISSN":"1996-1073","abstract":"&lt;p&gt;The pivotal target of the Paris Agreement is to keep temperature rise well below 2 °C above the pre-industrial level and pursue efforts to limit temperature rise to 1.5 °C. To meet this target, all energy-consuming sectors, including the transport sector, need to be restructured. The transport sector accounted for 19% of the global final energy demand in 2015, of which the vast majority was supplied by fossil fuels (around 31,080 TWh). Fossil-fuel consumption leads to greenhouse gas emissions, which accounted for about 8260 MtCO2eq from the transport sector in 2015. This paper examines the transportation demand that can be expected and how alternative transportation technologies along with new sustainable energy sources can impact the energy demand and emissions trend in the transport sector until 2050. Battery-electric vehicles and fuel-cell electric vehicles are the two most promising technologies for the future on roads. Electric ships and airplanes for shorter distances and hydrogen-based synthetic fuels for longer distances may appear around 2030 onwards to reduce the emissions from the marine and aviation transport modes. The rail mode will remain the least energy-demanding, compared to other transport modes. An ambitious scenario for achieving zero greenhouse gas emissions by 2050 is applied, also demonstrating the very high relevance of direct and indirect electrification of the transport sector. Fossil-fuel demand can be reduced to zero by 2050; however, the electricity demand is projected to rise from 125 TWhel in 2015 to about 51,610 TWhel in 2050, substantially driven by indirect electricity demand for the production of synthetic fuels. While the transportation demand roughly triples from 2015 to 2050, substantial efficiency gains enable an almost stable final energy demand for the transport sector, as a consequence of broad electrification. The overall well-to-wheel efficiency in the transport sector increases from 26% in 2015 to 39% in 2050, resulting in a respective reduction of overall losses from primary energy to mechanical energy in vehicles. Power-to-fuels needed mainly for marine and aviation transport is not a significant burden for overall transport sector efficiency. The primary energy base of the transport sector switches in the next decades from fossil resources to renewable electricity, driven by higher efficiency and sustainability.&lt;/p&gt;","author":[{"dropping-particle":"","family":"Khalili","given":"Siavash","non-dropping-particle":"","parse-names":false,"suffix":""},{"dropping-particle":"","family":"Rantanen","given":"Eetu","non-dropping-particle":"","parse-names":false,"suffix":""},{"dropping-particle":"","family":"Bogdanov","given":"Dmitrii","non-dropping-particle":"","parse-names":false,"suffix":""},{"dropping-particle":"","family":"Breyer","given":"Christian","non-dropping-particle":"","parse-names":false,"suffix":""}],"container-title":"Energies","id":"ITEM-1","issue":"20","issued":{"date-parts":[["2019","10","12"]]},"page":"3870","publisher":"MDPI AG","title":"Global Transportation Demand Development with Impacts on the Energy Demand and Greenhouse Gas Emissions in a Climate-Constrained World","type":"article-journal","volume":"12"},"uris":["http://www.mendeley.com/documents/?uuid=50cc06e4-117a-47e9-91d4-714bb09f4cf7"]}],"mendeley":{"formattedCitation":"&lt;sup&gt;22&lt;/sup&gt;","plainTextFormattedCitation":"22","previouslyFormattedCitation":"&lt;sup&gt;22&lt;/sup&gt;"},"properties":{"noteIndex":0},"schema":"https://github.com/citation-style-language/schema/raw/master/csl-citation.json"}</w:instrText>
      </w:r>
      <w:r w:rsidR="00EB620C" w:rsidRPr="000E55C1">
        <w:rPr>
          <w:rFonts w:eastAsia="Corbel" w:cstheme="minorHAnsi"/>
        </w:rPr>
        <w:fldChar w:fldCharType="separate"/>
      </w:r>
      <w:r w:rsidR="00EB620C" w:rsidRPr="000E55C1">
        <w:rPr>
          <w:rFonts w:eastAsia="Corbel" w:cstheme="minorHAnsi"/>
          <w:noProof/>
          <w:vertAlign w:val="superscript"/>
        </w:rPr>
        <w:t>22</w:t>
      </w:r>
      <w:r w:rsidR="00EB620C" w:rsidRPr="000E55C1">
        <w:rPr>
          <w:rFonts w:eastAsia="Corbel" w:cstheme="minorHAnsi"/>
        </w:rPr>
        <w:fldChar w:fldCharType="end"/>
      </w:r>
      <w:r w:rsidR="00EB620C" w:rsidRPr="000E55C1">
        <w:rPr>
          <w:rFonts w:eastAsia="Corbel" w:cstheme="minorHAnsi"/>
        </w:rPr>
        <w:t xml:space="preserve"> </w:t>
      </w:r>
      <w:r w:rsidR="009627EA" w:rsidRPr="000E55C1">
        <w:rPr>
          <w:rFonts w:eastAsia="Corbel" w:cstheme="minorHAnsi"/>
        </w:rPr>
        <w:t xml:space="preserve">investigate scenarios of future global transport energy demand, mapping the shift away from fossil fuelled transport. They suggest that the efficiency improvements accompanying low carbon fuel switching and electrification could offset the projected increase in global demand for passenger and freight transport, and this increased demand can be managed by a stable final energy demand in 2050, compared to 2015. </w:t>
      </w:r>
    </w:p>
    <w:p w14:paraId="3B7FEFE3" w14:textId="77777777" w:rsidR="009627EA" w:rsidRPr="000E55C1" w:rsidRDefault="009627EA" w:rsidP="009627EA">
      <w:pPr>
        <w:spacing w:line="257" w:lineRule="auto"/>
        <w:rPr>
          <w:rFonts w:eastAsia="Corbel" w:cstheme="minorHAnsi"/>
        </w:rPr>
      </w:pPr>
      <w:r w:rsidRPr="000E55C1">
        <w:rPr>
          <w:rFonts w:eastAsia="Corbel" w:cstheme="minorHAnsi"/>
        </w:rPr>
        <w:t>The literature that centres reductions in energy demand to support transitions to low-carbon energy supply offer a crucially important alternative to those dominant scenarios relying solely on a supply-side transition and carbon dioxide removal. Given the pace and urgency needed to successfully mitigate the worst impacts of the climate crisis and the uncertain capacity of carbon dioxide removal measures to mop up remaining emissions, reducing final energy demand in countries where it is high is likely to be crucial to achieve the goals of the Paris Agreement.</w:t>
      </w:r>
    </w:p>
    <w:p w14:paraId="3622AC22" w14:textId="24B479FF" w:rsidR="009627EA" w:rsidRPr="000E55C1" w:rsidRDefault="009627EA" w:rsidP="009627EA">
      <w:pPr>
        <w:spacing w:line="257" w:lineRule="auto"/>
        <w:rPr>
          <w:rFonts w:eastAsia="Corbel" w:cstheme="minorHAnsi"/>
        </w:rPr>
      </w:pPr>
      <w:r w:rsidRPr="000E55C1">
        <w:rPr>
          <w:rFonts w:eastAsia="Corbel" w:cstheme="minorHAnsi"/>
        </w:rPr>
        <w:t xml:space="preserve">However, to date, energy demand reduction scenarios have operated at a multi-national or global level, whilst mitigation targets and climate policies are devised at a national level, through NDCs and net-zero commitments. This presents a gap in the energy demand reduction scenario literature that has direct policy relevance. This demand for tailored national-level evidence highlighting the capacity of energy demand reductions as a mitigation solution, is present in the Climate Change Committee’s </w:t>
      </w:r>
      <w:r w:rsidR="00EB620C" w:rsidRPr="000E55C1">
        <w:rPr>
          <w:rFonts w:eastAsia="Corbel" w:cstheme="minorHAnsi"/>
        </w:rPr>
        <w:t xml:space="preserve">(CCC) </w:t>
      </w:r>
      <w:r w:rsidRPr="000E55C1">
        <w:rPr>
          <w:rFonts w:eastAsia="Corbel" w:cstheme="minorHAnsi"/>
        </w:rPr>
        <w:t>Sixth Carbon Budget</w:t>
      </w:r>
      <w:r w:rsidR="00EB620C" w:rsidRPr="000E55C1">
        <w:rPr>
          <w:rFonts w:eastAsia="Corbel" w:cstheme="minorHAnsi"/>
        </w:rPr>
        <w:fldChar w:fldCharType="begin" w:fldLock="1"/>
      </w:r>
      <w:r w:rsidR="00EB620C" w:rsidRPr="000E55C1">
        <w:rPr>
          <w:rFonts w:eastAsia="Corbel" w:cstheme="minorHAnsi"/>
        </w:rPr>
        <w:instrText>ADDIN CSL_CITATION {"citationItems":[{"id":"ITEM-1","itemData":{"author":[{"dropping-particle":"","family":"CCC","given":"","non-dropping-particle":"","parse-names":false,"suffix":""}],"id":"ITEM-1","issued":{"date-parts":[["2020"]]},"number-of-pages":"1-448","title":"Sixth Carbon Budget: The UK's Path to Net Zero","type":"report"},"uris":["http://www.mendeley.com/documents/?uuid=3b5c338f-f3b8-3a29-b9d1-e401c47e5fcf"]}],"mendeley":{"formattedCitation":"&lt;sup&gt;24&lt;/sup&gt;","plainTextFormattedCitation":"24","previouslyFormattedCitation":"&lt;sup&gt;24&lt;/sup&gt;"},"properties":{"noteIndex":0},"schema":"https://github.com/citation-style-language/schema/raw/master/csl-citation.json"}</w:instrText>
      </w:r>
      <w:r w:rsidR="00EB620C" w:rsidRPr="000E55C1">
        <w:rPr>
          <w:rFonts w:eastAsia="Corbel" w:cstheme="minorHAnsi"/>
        </w:rPr>
        <w:fldChar w:fldCharType="separate"/>
      </w:r>
      <w:r w:rsidR="00EB620C" w:rsidRPr="000E55C1">
        <w:rPr>
          <w:rFonts w:eastAsia="Corbel" w:cstheme="minorHAnsi"/>
          <w:noProof/>
          <w:vertAlign w:val="superscript"/>
        </w:rPr>
        <w:t>24</w:t>
      </w:r>
      <w:r w:rsidR="00EB620C" w:rsidRPr="000E55C1">
        <w:rPr>
          <w:rFonts w:eastAsia="Corbel" w:cstheme="minorHAnsi"/>
        </w:rPr>
        <w:fldChar w:fldCharType="end"/>
      </w:r>
      <w:r w:rsidRPr="000E55C1">
        <w:rPr>
          <w:rFonts w:eastAsia="Corbel" w:cstheme="minorHAnsi"/>
        </w:rPr>
        <w:t>, including energy and material efficiency measures, as well as changes to social practices including diet switching and modal shifting in transport. To further support national demand side climate mitigation policy, research is needed to develop cohesive frameworks for nations to operationalise energy demand reduction measures given unique national contexts. This research aims to fill this gap by developing a tailor-made low energy demand scenario for the UK.</w:t>
      </w:r>
    </w:p>
    <w:p w14:paraId="6B3277EE" w14:textId="77777777" w:rsidR="009627EA" w:rsidRPr="000E55C1" w:rsidRDefault="009627EA" w:rsidP="009627EA">
      <w:pPr>
        <w:rPr>
          <w:rFonts w:cstheme="minorHAnsi"/>
        </w:rPr>
      </w:pPr>
    </w:p>
    <w:p w14:paraId="0A2FCEAA" w14:textId="77777777" w:rsidR="009627EA" w:rsidRPr="000E55C1" w:rsidRDefault="009627EA" w:rsidP="009627EA">
      <w:pPr>
        <w:rPr>
          <w:rFonts w:cstheme="minorHAnsi"/>
        </w:rPr>
      </w:pPr>
    </w:p>
    <w:p w14:paraId="67180421" w14:textId="77777777" w:rsidR="009627EA" w:rsidRPr="000E55C1" w:rsidRDefault="009627EA" w:rsidP="009627EA">
      <w:pPr>
        <w:rPr>
          <w:rFonts w:cstheme="minorHAnsi"/>
        </w:rPr>
      </w:pPr>
    </w:p>
    <w:p w14:paraId="1F6364EB" w14:textId="77777777" w:rsidR="009627EA" w:rsidRPr="000E55C1" w:rsidRDefault="009627EA">
      <w:pPr>
        <w:rPr>
          <w:rFonts w:eastAsiaTheme="majorEastAsia" w:cstheme="minorHAnsi"/>
          <w:color w:val="2E74B5" w:themeColor="accent1" w:themeShade="BF"/>
          <w:sz w:val="26"/>
          <w:szCs w:val="26"/>
        </w:rPr>
      </w:pPr>
      <w:r w:rsidRPr="000E55C1">
        <w:rPr>
          <w:rFonts w:cstheme="minorHAnsi"/>
        </w:rPr>
        <w:br w:type="page"/>
      </w:r>
    </w:p>
    <w:p w14:paraId="16ECF1BB" w14:textId="10850F7F" w:rsidR="009627EA" w:rsidRPr="000E55C1" w:rsidRDefault="009627EA" w:rsidP="00925E7B">
      <w:pPr>
        <w:pStyle w:val="Heading2"/>
        <w:rPr>
          <w:rFonts w:asciiTheme="minorHAnsi" w:hAnsiTheme="minorHAnsi" w:cstheme="minorHAnsi"/>
        </w:rPr>
      </w:pPr>
      <w:bookmarkStart w:id="5" w:name="_Toc87453379"/>
      <w:r w:rsidRPr="000E55C1">
        <w:rPr>
          <w:rFonts w:asciiTheme="minorHAnsi" w:hAnsiTheme="minorHAnsi" w:cstheme="minorHAnsi"/>
        </w:rPr>
        <w:lastRenderedPageBreak/>
        <w:t>SI</w:t>
      </w:r>
      <w:r w:rsidR="00615EBB" w:rsidRPr="000E55C1">
        <w:rPr>
          <w:rFonts w:asciiTheme="minorHAnsi" w:hAnsiTheme="minorHAnsi" w:cstheme="minorHAnsi"/>
        </w:rPr>
        <w:t xml:space="preserve"> </w:t>
      </w:r>
      <w:r w:rsidRPr="000E55C1">
        <w:rPr>
          <w:rFonts w:asciiTheme="minorHAnsi" w:hAnsiTheme="minorHAnsi" w:cstheme="minorHAnsi"/>
        </w:rPr>
        <w:t xml:space="preserve">3 – </w:t>
      </w:r>
      <w:r w:rsidR="00955BCE" w:rsidRPr="000E55C1">
        <w:rPr>
          <w:rFonts w:asciiTheme="minorHAnsi" w:hAnsiTheme="minorHAnsi" w:cstheme="minorHAnsi"/>
        </w:rPr>
        <w:t xml:space="preserve">Scenario </w:t>
      </w:r>
      <w:r w:rsidR="63B32DA9" w:rsidRPr="000E55C1">
        <w:rPr>
          <w:rFonts w:asciiTheme="minorHAnsi" w:hAnsiTheme="minorHAnsi" w:cstheme="minorHAnsi"/>
        </w:rPr>
        <w:t>narrative</w:t>
      </w:r>
      <w:bookmarkEnd w:id="5"/>
    </w:p>
    <w:p w14:paraId="6943C3D3" w14:textId="67BC6897" w:rsidR="00BA43CF" w:rsidRPr="000E55C1" w:rsidRDefault="00BA43CF" w:rsidP="00BA43CF">
      <w:pPr>
        <w:rPr>
          <w:rFonts w:cstheme="minorHAnsi"/>
        </w:rPr>
      </w:pPr>
    </w:p>
    <w:p w14:paraId="27CE8877" w14:textId="206BD777" w:rsidR="00BA43CF" w:rsidRPr="000E55C1" w:rsidRDefault="00BA43CF" w:rsidP="00BA43CF">
      <w:pPr>
        <w:rPr>
          <w:rStyle w:val="normaltextrun"/>
          <w:rFonts w:eastAsia="Times New Roman" w:cstheme="minorHAnsi"/>
          <w:lang w:eastAsia="en-GB"/>
        </w:rPr>
      </w:pPr>
      <w:r w:rsidRPr="000E55C1">
        <w:rPr>
          <w:rStyle w:val="normaltextrun"/>
          <w:rFonts w:eastAsia="Times New Roman" w:cstheme="minorHAnsi"/>
          <w:lang w:eastAsia="en-GB"/>
        </w:rPr>
        <w:t xml:space="preserve">Historically, strategies to reduce energy demand have focused largely on improving energy efficiency over options to reduce demand for energy services or to change the way that services are delivered. This unnecessarily limits options whilst also failing to consider the underlying drivers of energy demand and the connection between energy efficiency and the economy. Rebound effects created by energy efficiency improvements have been shown to occur a) directly, with lower prices allowing for increased energy consumption, b) indirectly, with increased consumption of other energy services, and c) on an economy-wide scale, by stimulating economic growth </w:t>
      </w:r>
      <w:r w:rsidRPr="000E55C1">
        <w:rPr>
          <w:rStyle w:val="normaltextrun"/>
          <w:rFonts w:eastAsia="Times New Roman" w:cstheme="minorHAnsi"/>
          <w:lang w:eastAsia="en-GB"/>
        </w:rPr>
        <w:fldChar w:fldCharType="begin" w:fldLock="1"/>
      </w:r>
      <w:r w:rsidR="00A14385" w:rsidRPr="000E55C1">
        <w:rPr>
          <w:rStyle w:val="normaltextrun"/>
          <w:rFonts w:eastAsia="Times New Roman" w:cstheme="minorHAnsi"/>
          <w:lang w:eastAsia="en-GB"/>
        </w:rPr>
        <w:instrText>ADDIN CSL_CITATION {"citationItems":[{"id":"ITEM-1","itemData":{"DOI":"10.3390/en12010110","author":[{"dropping-particle":"","family":"Sakai","given":"Marco","non-dropping-particle":"","parse-names":false,"suffix":""},{"dropping-particle":"","family":"Brockway","given":"Paul E.","non-dropping-particle":"","parse-names":false,"suffix":""},{"dropping-particle":"","family":"Barrett","given":"John R.","non-dropping-particle":"","parse-names":false,"suffix":""},{"dropping-particle":"","family":"Taylor","given":"Peter G.","non-dropping-particle":"","parse-names":false,"suffix":""}],"container-title":"Energies","id":"ITEM-1","issue":"110","issued":{"date-parts":[["2019"]]},"title":"Thermodynamic Efficiency Gains and their Role as a Key ‘Engine of Economic Growth’. Supplementary Materials: The UK MAcroeconometric Resource COnsumption Model (MARCO-UK)","type":"article-journal","volume":"12"},"uris":["http://www.mendeley.com/documents/?uuid=6a548a47-7807-49f7-aff0-f1e328834ff1"]}],"mendeley":{"formattedCitation":"&lt;sup&gt;25&lt;/sup&gt;","plainTextFormattedCitation":"25","previouslyFormattedCitation":"&lt;sup&gt;25&lt;/sup&gt;"},"properties":{"noteIndex":0},"schema":"https://github.com/citation-style-language/schema/raw/master/csl-citation.json"}</w:instrText>
      </w:r>
      <w:r w:rsidRPr="000E55C1">
        <w:rPr>
          <w:rStyle w:val="normaltextrun"/>
          <w:rFonts w:eastAsia="Times New Roman" w:cstheme="minorHAnsi"/>
          <w:vertAlign w:val="superscript"/>
          <w:lang w:eastAsia="en-GB"/>
        </w:rPr>
        <w:fldChar w:fldCharType="separate"/>
      </w:r>
      <w:r w:rsidR="00A14385" w:rsidRPr="000E55C1">
        <w:rPr>
          <w:rStyle w:val="normaltextrun"/>
          <w:rFonts w:eastAsia="Times New Roman" w:cstheme="minorHAnsi"/>
          <w:noProof/>
          <w:vertAlign w:val="superscript"/>
          <w:lang w:eastAsia="en-GB"/>
        </w:rPr>
        <w:t>25</w:t>
      </w:r>
      <w:r w:rsidRPr="000E55C1">
        <w:rPr>
          <w:rStyle w:val="normaltextrun"/>
          <w:rFonts w:eastAsia="Times New Roman" w:cstheme="minorHAnsi"/>
          <w:lang w:eastAsia="en-GB"/>
        </w:rPr>
        <w:fldChar w:fldCharType="end"/>
      </w:r>
      <w:r w:rsidRPr="000E55C1">
        <w:rPr>
          <w:rStyle w:val="normaltextrun"/>
          <w:rFonts w:eastAsia="Times New Roman" w:cstheme="minorHAnsi"/>
          <w:lang w:eastAsia="en-GB"/>
        </w:rPr>
        <w:t xml:space="preserve">. As there are also limits to the technical potential of efficiency improvements, particularly in energy intensive industrial processes </w:t>
      </w:r>
      <w:r w:rsidRPr="000E55C1">
        <w:rPr>
          <w:rStyle w:val="normaltextrun"/>
          <w:rFonts w:eastAsia="Times New Roman" w:cstheme="minorHAnsi"/>
          <w:lang w:eastAsia="en-GB"/>
        </w:rPr>
        <w:fldChar w:fldCharType="begin" w:fldLock="1"/>
      </w:r>
      <w:r w:rsidR="00A14385" w:rsidRPr="000E55C1">
        <w:rPr>
          <w:rStyle w:val="normaltextrun"/>
          <w:rFonts w:eastAsia="Times New Roman" w:cstheme="minorHAnsi"/>
          <w:lang w:eastAsia="en-GB"/>
        </w:rPr>
        <w:instrText>ADDIN CSL_CITATION {"citationItems":[{"id":"ITEM-1","itemData":{"DOI":"10.1016/j.jclepro.2017.06.169","ISSN":"09596526","abstract":"This study analyses the effect on energy use of applying a wide range of circular economy approaches. By collating evidence on specific quantifiable approaches and then calculating and analyzing their combined full supply chain impacts through input-output analysis, it provides a more complete assessment of the overall potential scope for energy savings that these approaches might deliver than provided elsewhere. Assessment is conducted globally, across the EU-27 and in the UK. Overall, the identified opportunities have the potential to save 6%–11% of the energy used to support economic activity, worldwide and in the EU, and 5%–8% in the UK. Their potential is equivalent to the total scope for other industrial energy efficiency savings. The potential savings are further divided into those due to sets of approaches relating to food waste, steel production, other materials production, product refurbishment, vehicle provision, construction and other equipment manufacture. Each of these sets of approaches can make a key contribution to the total savings that are possible. Complementary use of energy and exergy metrics illustrates the way in which energy use might change and for the first time provides indication that in most cases other energy efficiency measures are unlikely to be adversely affected by the circular economy approaches. Potential for savings in the energy embodied in each key product input to each major sector is assessed, enabling prioritization of the areas in which the circular economy approaches have the greatest scope for impact and identification of supply chains for which they are underrepresented.","author":[{"dropping-particle":"","family":"Cooper","given":"Samuel J.G.","non-dropping-particle":"","parse-names":false,"suffix":""},{"dropping-particle":"","family":"Giesekam","given":"Jannik","non-dropping-particle":"","parse-names":false,"suffix":""},{"dropping-particle":"","family":"Hammond","given":"Geoffrey P.","non-dropping-particle":"","parse-names":false,"suffix":""},{"dropping-particle":"","family":"Norman","given":"Jonathan B.","non-dropping-particle":"","parse-names":false,"suffix":""},{"dropping-particle":"","family":"Owen","given":"Anne","non-dropping-particle":"","parse-names":false,"suffix":""},{"dropping-particle":"","family":"Rogers","given":"John G.","non-dropping-particle":"","parse-names":false,"suffix":""},{"dropping-particle":"","family":"Scott","given":"Kate","non-dropping-particle":"","parse-names":false,"suffix":""}],"container-title":"Journal of Cleaner Production","id":"ITEM-1","issued":{"date-parts":[["2017","9","20"]]},"page":"1356-1367","publisher":"Elsevier Ltd","title":"Thermodynamic insights and assessment of the ‘circular economy'","type":"article-journal","volume":"162"},"uris":["http://www.mendeley.com/documents/?uuid=321a07df-f86f-3278-baf7-6bd56df304e6"]}],"mendeley":{"formattedCitation":"&lt;sup&gt;26&lt;/sup&gt;","plainTextFormattedCitation":"26","previouslyFormattedCitation":"&lt;sup&gt;26&lt;/sup&gt;"},"properties":{"noteIndex":0},"schema":"https://github.com/citation-style-language/schema/raw/master/csl-citation.json"}</w:instrText>
      </w:r>
      <w:r w:rsidRPr="000E55C1">
        <w:rPr>
          <w:rStyle w:val="normaltextrun"/>
          <w:rFonts w:eastAsia="Times New Roman" w:cstheme="minorHAnsi"/>
          <w:lang w:eastAsia="en-GB"/>
        </w:rPr>
        <w:fldChar w:fldCharType="separate"/>
      </w:r>
      <w:r w:rsidR="00A14385" w:rsidRPr="000E55C1">
        <w:rPr>
          <w:rStyle w:val="normaltextrun"/>
          <w:rFonts w:eastAsia="Times New Roman" w:cstheme="minorHAnsi"/>
          <w:noProof/>
          <w:vertAlign w:val="superscript"/>
          <w:lang w:eastAsia="en-GB"/>
        </w:rPr>
        <w:t>26</w:t>
      </w:r>
      <w:r w:rsidRPr="000E55C1">
        <w:rPr>
          <w:rStyle w:val="normaltextrun"/>
          <w:rFonts w:eastAsia="Times New Roman" w:cstheme="minorHAnsi"/>
          <w:lang w:eastAsia="en-GB"/>
        </w:rPr>
        <w:fldChar w:fldCharType="end"/>
      </w:r>
      <w:r w:rsidRPr="000E55C1">
        <w:rPr>
          <w:rStyle w:val="normaltextrun"/>
          <w:rFonts w:eastAsia="Times New Roman" w:cstheme="minorHAnsi"/>
          <w:lang w:eastAsia="en-GB"/>
        </w:rPr>
        <w:t xml:space="preserve">, it is important to consider other demand side strategies alongside energy efficiency. </w:t>
      </w:r>
    </w:p>
    <w:p w14:paraId="3955F893" w14:textId="7E4FAEF4" w:rsidR="00BA43CF" w:rsidRPr="000E55C1" w:rsidRDefault="00BA43CF" w:rsidP="00BA43CF">
      <w:pPr>
        <w:rPr>
          <w:rStyle w:val="normaltextrun"/>
          <w:rFonts w:eastAsia="Times New Roman" w:cstheme="minorHAnsi"/>
          <w:lang w:eastAsia="en-GB"/>
        </w:rPr>
      </w:pPr>
      <w:r w:rsidRPr="000E55C1">
        <w:rPr>
          <w:rStyle w:val="normaltextrun"/>
          <w:rFonts w:eastAsia="Times New Roman" w:cstheme="minorHAnsi"/>
          <w:lang w:eastAsia="en-GB"/>
        </w:rPr>
        <w:t>Creutzig et al.'s "Demand-side assessment framework"</w:t>
      </w:r>
      <w:r w:rsidRPr="000E55C1">
        <w:rPr>
          <w:rStyle w:val="normaltextrun"/>
          <w:rFonts w:eastAsia="Times New Roman" w:cstheme="minorHAnsi"/>
          <w:lang w:eastAsia="en-GB"/>
        </w:rPr>
        <w:fldChar w:fldCharType="begin" w:fldLock="1"/>
      </w:r>
      <w:r w:rsidR="00A14385" w:rsidRPr="000E55C1">
        <w:rPr>
          <w:rStyle w:val="normaltextrun"/>
          <w:rFonts w:eastAsia="Times New Roman" w:cstheme="minorHAnsi"/>
          <w:lang w:eastAsia="en-GB"/>
        </w:rPr>
        <w:instrText>ADDIN CSL_CITATION {"citationItems":[{"id":"ITEM-1","itemData":{"DOI":"10.1038/s41558-018-0121-1","ISSN":"17586798","abstract":"Research on climate change mitigation tends to focus on supply-side technology solutions. A better understanding of demand-side solutions is missing. We propose a transdisciplinary approach to identify demand-side climate solutions, investigate their mitigation potential, detail policy measures and assess their implications for well-being.","author":[{"dropping-particle":"","family":"Creutzig","given":"Felix","non-dropping-particle":"","parse-names":false,"suffix":""},{"dropping-particle":"","family":"Roy","given":"Joyashree","non-dropping-particle":"","parse-names":false,"suffix":""},{"dropping-particle":"","family":"Lamb","given":"William F.","non-dropping-particle":"","parse-names":false,"suffix":""},{"dropping-particle":"","family":"Azevedo","given":"Inês M.L.","non-dropping-particle":"","parse-names":false,"suffix":""},{"dropping-particle":"","family":"Bruine De Bruin","given":"Wändi","non-dropping-particle":"","parse-names":false,"suffix":""},{"dropping-particle":"","family":"Dalkmann","given":"Holger","non-dropping-particle":"","parse-names":false,"suffix":""},{"dropping-particle":"","family":"Edelenbosch","given":"Oreane Y.","non-dropping-particle":"","parse-names":false,"suffix":""},{"dropping-particle":"","family":"Geels","given":"Frank W.","non-dropping-particle":"","parse-names":false,"suffix":""},{"dropping-particle":"","family":"Grubler","given":"Arnulf","non-dropping-particle":"","parse-names":false,"suffix":""},{"dropping-particle":"","family":"Hepburn","given":"Cameron","non-dropping-particle":"","parse-names":false,"suffix":""},{"dropping-particle":"","family":"Hertwich","given":"Edgar G.","non-dropping-particle":"","parse-names":false,"suffix":""},{"dropping-particle":"","family":"Khosla","given":"Radhika","non-dropping-particle":"","parse-names":false,"suffix":""},{"dropping-particle":"","family":"Mattauch","given":"Linus","non-dropping-particle":"","parse-names":false,"suffix":""},{"dropping-particle":"","family":"Minx","given":"Jan C.","non-dropping-particle":"","parse-names":false,"suffix":""},{"dropping-particle":"","family":"Ramakrishnan","given":"Anjali","non-dropping-particle":"","parse-names":false,"suffix":""},{"dropping-particle":"","family":"Rao","given":"Narasimha D.","non-dropping-particle":"","parse-names":false,"suffix":""},{"dropping-particle":"","family":"Steinberger","given":"Julia K.","non-dropping-particle":"","parse-names":false,"suffix":""},{"dropping-particle":"","family":"Tavoni","given":"Massimo","non-dropping-particle":"","parse-names":false,"suffix":""},{"dropping-particle":"","family":"Ürge-Vorsatz","given":"Diana","non-dropping-particle":"","parse-names":false,"suffix":""},{"dropping-particle":"","family":"Weber","given":"Elke U.","non-dropping-particle":"","parse-names":false,"suffix":""}],"container-title":"Nature Climate Change","id":"ITEM-1","issue":"4","issued":{"date-parts":[["2018","4","1"]]},"page":"268-271","publisher":"Nature Publishing Group","title":"Towards demand-side solutions for mitigating climate change","type":"article","volume":"8"},"uris":["http://www.mendeley.com/documents/?uuid=bf5266e9-1e1d-3d2c-8a61-fa480528554b"]}],"mendeley":{"formattedCitation":"&lt;sup&gt;27&lt;/sup&gt;","plainTextFormattedCitation":"27","previouslyFormattedCitation":"&lt;sup&gt;27&lt;/sup&gt;"},"properties":{"noteIndex":0},"schema":"https://github.com/citation-style-language/schema/raw/master/csl-citation.json"}</w:instrText>
      </w:r>
      <w:r w:rsidRPr="000E55C1">
        <w:rPr>
          <w:rStyle w:val="normaltextrun"/>
          <w:rFonts w:eastAsia="Times New Roman" w:cstheme="minorHAnsi"/>
          <w:vertAlign w:val="superscript"/>
          <w:lang w:eastAsia="en-GB"/>
        </w:rPr>
        <w:fldChar w:fldCharType="separate"/>
      </w:r>
      <w:r w:rsidR="00A14385" w:rsidRPr="000E55C1">
        <w:rPr>
          <w:rStyle w:val="normaltextrun"/>
          <w:rFonts w:eastAsia="Times New Roman" w:cstheme="minorHAnsi"/>
          <w:noProof/>
          <w:vertAlign w:val="superscript"/>
          <w:lang w:eastAsia="en-GB"/>
        </w:rPr>
        <w:t>27</w:t>
      </w:r>
      <w:r w:rsidRPr="000E55C1">
        <w:rPr>
          <w:rStyle w:val="normaltextrun"/>
          <w:rFonts w:eastAsia="Times New Roman" w:cstheme="minorHAnsi"/>
          <w:lang w:eastAsia="en-GB"/>
        </w:rPr>
        <w:fldChar w:fldCharType="end"/>
      </w:r>
      <w:r w:rsidRPr="000E55C1">
        <w:rPr>
          <w:rStyle w:val="normaltextrun"/>
          <w:rFonts w:eastAsia="Times New Roman" w:cstheme="minorHAnsi"/>
          <w:lang w:eastAsia="en-GB"/>
        </w:rPr>
        <w:t>, adopted by the IPCC, can be used to identify a broader range of strategies to reduce energy demand. Through this framework, we can avoid unnecessary energy services (e.g. reducing the need to travel), shift to the lowest intensity mode to deliver a service (e.g. modal shift from car to public or active transport), and improve energy efficiency. Each of these strategies can be applied to a range of energy services.</w:t>
      </w:r>
    </w:p>
    <w:p w14:paraId="48D2AE37" w14:textId="4D67C84C" w:rsidR="009627EA" w:rsidRPr="000E55C1" w:rsidRDefault="00BA43CF">
      <w:pPr>
        <w:rPr>
          <w:rFonts w:cstheme="minorHAnsi"/>
        </w:rPr>
      </w:pPr>
      <w:r w:rsidRPr="000E55C1">
        <w:rPr>
          <w:rStyle w:val="normaltextrun"/>
          <w:rFonts w:eastAsia="Times New Roman" w:cstheme="minorHAnsi"/>
          <w:lang w:eastAsia="en-GB"/>
        </w:rPr>
        <w:t>Before quantifying the energy demand for the individual sectors, we developed a scenario narrative to ensure consistency across our two LED scenarios, similar to the approach adopted in</w:t>
      </w:r>
      <w:r w:rsidR="00660864" w:rsidRPr="000E55C1">
        <w:rPr>
          <w:rStyle w:val="normaltextrun"/>
          <w:rFonts w:eastAsia="Times New Roman" w:cstheme="minorHAnsi"/>
          <w:lang w:eastAsia="en-GB"/>
        </w:rPr>
        <w:t xml:space="preserve"> Grubler et al.</w:t>
      </w:r>
      <w:r w:rsidR="00660864" w:rsidRPr="000E55C1">
        <w:rPr>
          <w:rStyle w:val="normaltextrun"/>
          <w:rFonts w:eastAsia="Times New Roman" w:cstheme="minorHAnsi"/>
          <w:lang w:eastAsia="en-GB"/>
        </w:rPr>
        <w:fldChar w:fldCharType="begin" w:fldLock="1"/>
      </w:r>
      <w:r w:rsidR="00660864" w:rsidRPr="000E55C1">
        <w:rPr>
          <w:rStyle w:val="normaltextrun"/>
          <w:rFonts w:eastAsia="Times New Roman" w:cstheme="minorHAnsi"/>
          <w:lang w:eastAsia="en-GB"/>
        </w:rPr>
        <w:instrText>ADDIN CSL_CITATION {"citationItems":[{"id":"ITEM-1","itemData":{"DOI":"10.1038/s41560-018-0172-6","ISSN":"20587546","abstract":"Scenarios that limit global warming to 1.5 °C describe major transformations in energy supply and ever-rising energy demand. Here, we provide a contrasting perspective by developing a narrative of future change based on observable trends that results in low energy demand. We describe and quantify changes in activity levels and energy intensity in the global North and global South for all major energy services. We project that global final energy demand by 2050 reduces to 245 EJ, around 40% lower than today, despite rises in population, income and activity. Using an integrated assessment modelling framework, we show how changes in the quantity and type of energy services drive structural change in intermediate and upstream supply sectors (energy and land use). Down-sizing the global energy system dramatically improves the feasibility of a low-carbon supply-side transformation. Our scenario meets the 1.5 °C climate target as well as many sustainable development goals, without relying on negative emission technologies.","author":[{"dropping-particle":"","family":"Grubler","given":"Arnulf","non-dropping-particle":"","parse-names":false,"suffix":""},{"dropping-particle":"","family":"Wilson","given":"Charlie","non-dropping-particle":"","parse-names":false,"suffix":""},{"dropping-particle":"","family":"Bento","given":"Nuno","non-dropping-particle":"","parse-names":false,"suffix":""},{"dropping-particle":"","family":"Boza-Kiss","given":"Benigna","non-dropping-particle":"","parse-names":false,"suffix":""},{"dropping-particle":"","family":"Krey","given":"Volker","non-dropping-particle":"","parse-names":false,"suffix":""},{"dropping-particle":"","family":"McCollum","given":"David L.","non-dropping-particle":"","parse-names":false,"suffix":""},{"dropping-particle":"","family":"Rao","given":"Narasimha D","non-dropping-particle":"","parse-names":false,"suffix":""},{"dropping-particle":"","family":"Riahi","given":"Keywan","non-dropping-particle":"","parse-names":false,"suffix":""},{"dropping-particle":"","family":"Rogelj","given":"Joeri","non-dropping-particle":"","parse-names":false,"suffix":""},{"dropping-particle":"","family":"Stercke","given":"Simon","non-dropping-particle":"De","parse-names":false,"suffix":""},{"dropping-particle":"","family":"Cullen","given":"Jonathan","non-dropping-particle":"","parse-names":false,"suffix":""},{"dropping-particle":"","family":"Frank","given":"Stefan","non-dropping-particle":"","parse-names":false,"suffix":""},{"dropping-particle":"","family":"Fricko","given":"Oliver","non-dropping-particle":"","parse-names":false,"suffix":""},{"dropping-particle":"","family":"Guo","given":"Fei","non-dropping-particle":"","parse-names":false,"suffix":""},{"dropping-particle":"","family":"Gidden","given":"Matt","non-dropping-particle":"","parse-names":false,"suffix":""},{"dropping-particle":"","family":"Havlík","given":"Petr","non-dropping-particle":"","parse-names":false,"suffix":""},{"dropping-particle":"","family":"Huppmann","given":"Daniel","non-dropping-particle":"","parse-names":false,"suffix":""},{"dropping-particle":"","family":"Kiesewetter","given":"Gregor","non-dropping-particle":"","parse-names":false,"suffix":""},{"dropping-particle":"","family":"Rafaj","given":"Peter","non-dropping-particle":"","parse-names":false,"suffix":""},{"dropping-particle":"","family":"Schoepp","given":"Wolfgang","non-dropping-particle":"","parse-names":false,"suffix":""},{"dropping-particle":"","family":"Valin","given":"Hugo","non-dropping-particle":"","parse-names":false,"suffix":""}],"container-title":"Nature Energy","id":"ITEM-1","issue":"6","issued":{"date-parts":[["2018"]]},"page":"515-527","title":"A low energy demand scenario for meeting the 1.5 °c target and sustainable development goals without negative emission technologies","type":"article-journal","volume":"3"},"uris":["http://www.mendeley.com/documents/?uuid=ba8beba8-5f39-4fe8-acdc-ab9ba5b51fbf"]}],"mendeley":{"formattedCitation":"&lt;sup&gt;5&lt;/sup&gt;","plainTextFormattedCitation":"5","previouslyFormattedCitation":"&lt;sup&gt;5&lt;/sup&gt;"},"properties":{"noteIndex":0},"schema":"https://github.com/citation-style-language/schema/raw/master/csl-citation.json"}</w:instrText>
      </w:r>
      <w:r w:rsidR="00660864" w:rsidRPr="000E55C1">
        <w:rPr>
          <w:rStyle w:val="normaltextrun"/>
          <w:rFonts w:eastAsia="Times New Roman" w:cstheme="minorHAnsi"/>
          <w:lang w:eastAsia="en-GB"/>
        </w:rPr>
        <w:fldChar w:fldCharType="separate"/>
      </w:r>
      <w:r w:rsidR="00660864" w:rsidRPr="000E55C1">
        <w:rPr>
          <w:rStyle w:val="normaltextrun"/>
          <w:rFonts w:eastAsia="Times New Roman" w:cstheme="minorHAnsi"/>
          <w:noProof/>
          <w:vertAlign w:val="superscript"/>
          <w:lang w:eastAsia="en-GB"/>
        </w:rPr>
        <w:t>5</w:t>
      </w:r>
      <w:r w:rsidR="00660864" w:rsidRPr="000E55C1">
        <w:rPr>
          <w:rStyle w:val="normaltextrun"/>
          <w:rFonts w:eastAsia="Times New Roman" w:cstheme="minorHAnsi"/>
          <w:lang w:eastAsia="en-GB"/>
        </w:rPr>
        <w:fldChar w:fldCharType="end"/>
      </w:r>
      <w:r w:rsidR="00090364" w:rsidRPr="000E55C1">
        <w:rPr>
          <w:rStyle w:val="normaltextrun"/>
          <w:rFonts w:eastAsia="Times New Roman" w:cstheme="minorHAnsi"/>
          <w:lang w:eastAsia="en-GB"/>
        </w:rPr>
        <w:t xml:space="preserve">. </w:t>
      </w:r>
      <w:r w:rsidRPr="000E55C1">
        <w:rPr>
          <w:rStyle w:val="normaltextrun"/>
          <w:rFonts w:eastAsia="Times New Roman" w:cstheme="minorHAnsi"/>
          <w:lang w:eastAsia="en-GB"/>
        </w:rPr>
        <w:t xml:space="preserve">This shared vision is applied across all of the different energy using sectors. They include a number of principles that ensure that our scenario is both transformative but also within the realms of possibility. What is “possible” is, of course, very difficult if not impossible to define. Therefore, the set of principles are broad enough to take into account that predicting technologies, social practices and behaviours in 2050 is highly problematic. It is important to remember that we are creating possible futures in the form of scenarios and not a prediction of the future.  </w:t>
      </w:r>
    </w:p>
    <w:p w14:paraId="55723EC2" w14:textId="45D6EEA1" w:rsidR="009627EA" w:rsidRPr="000E55C1" w:rsidRDefault="009627EA" w:rsidP="009627EA">
      <w:pPr>
        <w:rPr>
          <w:rStyle w:val="normaltextrun"/>
          <w:rFonts w:eastAsia="Times New Roman" w:cstheme="minorHAnsi"/>
          <w:lang w:eastAsia="en-GB"/>
        </w:rPr>
      </w:pPr>
      <w:r w:rsidRPr="000E55C1">
        <w:rPr>
          <w:rStyle w:val="normaltextrun"/>
          <w:rFonts w:eastAsia="Times New Roman" w:cstheme="minorHAnsi"/>
          <w:lang w:eastAsia="en-GB"/>
        </w:rPr>
        <w:t xml:space="preserve">Whilst there are many observable societal, political, economic, scientific or philosophical trends that may impact transitions to low carbon societies, this section identifies seven observable underlying trends that have impacted upon energy demand, and/or are likely to continue to do so throughout the scenario timescale. This list is not exhaustive, as various other trends may impact on energy demand, such as demographic changes. These seven trends are captured in figure </w:t>
      </w:r>
      <w:r w:rsidR="493DEAF7" w:rsidRPr="000E55C1">
        <w:rPr>
          <w:rStyle w:val="normaltextrun"/>
          <w:rFonts w:eastAsia="Times New Roman" w:cstheme="minorHAnsi"/>
          <w:lang w:eastAsia="en-GB"/>
        </w:rPr>
        <w:t>2</w:t>
      </w:r>
      <w:r w:rsidRPr="000E55C1">
        <w:rPr>
          <w:rStyle w:val="normaltextrun"/>
          <w:rFonts w:eastAsia="Times New Roman" w:cstheme="minorHAnsi"/>
          <w:lang w:eastAsia="en-GB"/>
        </w:rPr>
        <w:t xml:space="preserve">. We recognise that there is considerable crossover between the various trends. We also recognise that some of these trends have the potential to both increase and reduce further energy demand </w:t>
      </w:r>
      <w:r w:rsidRPr="000E55C1">
        <w:rPr>
          <w:rStyle w:val="normaltextrun"/>
          <w:rFonts w:eastAsia="Times New Roman" w:cstheme="minorHAnsi"/>
          <w:lang w:eastAsia="en-GB"/>
        </w:rPr>
        <w:fldChar w:fldCharType="begin" w:fldLock="1"/>
      </w:r>
      <w:r w:rsidR="00090364" w:rsidRPr="000E55C1">
        <w:rPr>
          <w:rStyle w:val="normaltextrun"/>
          <w:rFonts w:eastAsia="Times New Roman" w:cstheme="minorHAnsi"/>
          <w:lang w:eastAsia="en-GB"/>
        </w:rPr>
        <w:instrText>ADDIN CSL_CITATION {"citationItems":[{"id":"ITEM-1","itemData":{"DOI":"10.1016/j.enpol.2021.112216","ISSN":"03014215","abstract":"New societal trends are unfolding, such as digitalization, sharing economy and consumer awareness. They will highly influence future energy demand and, depending on their realization, enhance or counteract projected energy efficiency gains. Therefore, these trends have to be accompanied by policies with a strong focus on reducing energy demand (including Energy Efficiency First). This work analyzes quantitatively for all sectors how New Societal Trends interact with energy efficiency (policies). An extensive consultation with European experts identified 12 new societal trends that are likely to shape future energy demand. Based on these, four energy demand scenarios were developed for 2050. Using literature review and expert consultations, the impacts on all sectors were evaluated taking these trends explicitly into account. The results show that New Societal Trends can have a crucial impact on future energy demand beyond mere techno-economic potentials. In the best case scenario, “New Trends Efficient”, they can reduce final energy demand by 67% compared to the EU “Baseline” scenario in 2050. While in the “Worst Case” scenario, they could increase final energy demand by 40%. This paper opens up the discussion on how New Societal Trends will shape future energy demand and emphasizes the crucial role of policy-making therein.","author":[{"dropping-particle":"","family":"Brugger","given":"Heike","non-dropping-particle":"","parse-names":false,"suffix":""},{"dropping-particle":"","family":"Eichhammer","given":"Wolfgang","non-dropping-particle":"","parse-names":false,"suffix":""},{"dropping-particle":"","family":"Mikova","given":"Nadezhda","non-dropping-particle":"","parse-names":false,"suffix":""},{"dropping-particle":"","family":"Dönitz","given":"Ewa","non-dropping-particle":"","parse-names":false,"suffix":""}],"container-title":"Energy Policy","id":"ITEM-1","issued":{"date-parts":[["2021"]]},"title":"Energy Efficiency Vision 2050: How will new societal trends influence future energy demand in the European countries?","type":"article-journal","volume":"152"},"uris":["http://www.mendeley.com/documents/?uuid=1b0ab0e7-bbdd-49fc-86f4-012bb6121524"]}],"mendeley":{"formattedCitation":"&lt;sup&gt;9&lt;/sup&gt;","plainTextFormattedCitation":"9","previouslyFormattedCitation":"&lt;sup&gt;9&lt;/sup&gt;"},"properties":{"noteIndex":0},"schema":"https://github.com/citation-style-language/schema/raw/master/csl-citation.json"}</w:instrText>
      </w:r>
      <w:r w:rsidRPr="000E55C1">
        <w:rPr>
          <w:rStyle w:val="normaltextrun"/>
          <w:rFonts w:eastAsia="Times New Roman" w:cstheme="minorHAnsi"/>
          <w:vertAlign w:val="superscript"/>
          <w:lang w:eastAsia="en-GB"/>
        </w:rPr>
        <w:fldChar w:fldCharType="separate"/>
      </w:r>
      <w:r w:rsidR="00090364" w:rsidRPr="000E55C1">
        <w:rPr>
          <w:rStyle w:val="normaltextrun"/>
          <w:rFonts w:eastAsia="Times New Roman" w:cstheme="minorHAnsi"/>
          <w:noProof/>
          <w:vertAlign w:val="superscript"/>
          <w:lang w:eastAsia="en-GB"/>
        </w:rPr>
        <w:t>9</w:t>
      </w:r>
      <w:r w:rsidRPr="000E55C1">
        <w:rPr>
          <w:rStyle w:val="normaltextrun"/>
          <w:rFonts w:eastAsia="Times New Roman" w:cstheme="minorHAnsi"/>
          <w:lang w:eastAsia="en-GB"/>
        </w:rPr>
        <w:fldChar w:fldCharType="end"/>
      </w:r>
      <w:r w:rsidRPr="000E55C1">
        <w:rPr>
          <w:rStyle w:val="normaltextrun"/>
          <w:rFonts w:eastAsia="Times New Roman" w:cstheme="minorHAnsi"/>
          <w:lang w:eastAsia="en-GB"/>
        </w:rPr>
        <w:t xml:space="preserve">. </w:t>
      </w:r>
    </w:p>
    <w:p w14:paraId="1ADE7CF5" w14:textId="31E45C02" w:rsidR="009627EA" w:rsidRPr="000E55C1" w:rsidRDefault="007E0E5D" w:rsidP="009627EA">
      <w:pPr>
        <w:rPr>
          <w:rFonts w:cstheme="minorHAnsi"/>
          <w:noProof/>
          <w:lang w:eastAsia="en-GB"/>
        </w:rPr>
      </w:pPr>
      <w:r w:rsidRPr="000E55C1">
        <w:rPr>
          <w:rFonts w:cstheme="minorHAnsi"/>
          <w:noProof/>
          <w:lang w:eastAsia="en-GB"/>
        </w:rPr>
        <w:lastRenderedPageBreak/>
        <w:drawing>
          <wp:anchor distT="0" distB="0" distL="114300" distR="114300" simplePos="0" relativeHeight="251658240" behindDoc="0" locked="0" layoutInCell="1" allowOverlap="1" wp14:anchorId="6E299972" wp14:editId="5469CDEF">
            <wp:simplePos x="0" y="0"/>
            <wp:positionH relativeFrom="column">
              <wp:posOffset>87630</wp:posOffset>
            </wp:positionH>
            <wp:positionV relativeFrom="paragraph">
              <wp:posOffset>47625</wp:posOffset>
            </wp:positionV>
            <wp:extent cx="1457242" cy="352806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57242" cy="3528060"/>
                    </a:xfrm>
                    <a:prstGeom prst="rect">
                      <a:avLst/>
                    </a:prstGeom>
                    <a:noFill/>
                    <a:ln>
                      <a:noFill/>
                    </a:ln>
                  </pic:spPr>
                </pic:pic>
              </a:graphicData>
            </a:graphic>
          </wp:anchor>
        </w:drawing>
      </w:r>
    </w:p>
    <w:p w14:paraId="646C8CBB" w14:textId="27029570" w:rsidR="009627EA" w:rsidRPr="000E55C1" w:rsidRDefault="42D75493" w:rsidP="009627EA">
      <w:pPr>
        <w:rPr>
          <w:rStyle w:val="normaltextrun"/>
          <w:rFonts w:cstheme="minorHAnsi"/>
          <w:color w:val="000000" w:themeColor="text1"/>
          <w:lang w:eastAsia="en-GB"/>
        </w:rPr>
      </w:pPr>
      <w:r w:rsidRPr="000E55C1">
        <w:rPr>
          <w:rFonts w:cstheme="minorHAnsi"/>
        </w:rPr>
        <w:t xml:space="preserve">Supplementary </w:t>
      </w:r>
      <w:r w:rsidR="009627EA" w:rsidRPr="000E55C1">
        <w:rPr>
          <w:rFonts w:cstheme="minorHAnsi"/>
        </w:rPr>
        <w:t xml:space="preserve">Figure </w:t>
      </w:r>
      <w:r w:rsidR="69BCEA90" w:rsidRPr="000E55C1">
        <w:rPr>
          <w:rFonts w:cstheme="minorHAnsi"/>
        </w:rPr>
        <w:t>2</w:t>
      </w:r>
      <w:r w:rsidR="009627EA" w:rsidRPr="000E55C1">
        <w:rPr>
          <w:rFonts w:cstheme="minorHAnsi"/>
        </w:rPr>
        <w:t>. Seven underlying trends impacting on energy demand</w:t>
      </w:r>
    </w:p>
    <w:p w14:paraId="335FD7F2" w14:textId="77777777" w:rsidR="009627EA" w:rsidRPr="000E55C1" w:rsidRDefault="009627EA" w:rsidP="009627EA">
      <w:pPr>
        <w:pStyle w:val="Heading3"/>
        <w:rPr>
          <w:rStyle w:val="normaltextrun"/>
          <w:rFonts w:asciiTheme="minorHAnsi" w:eastAsia="Times New Roman" w:hAnsiTheme="minorHAnsi" w:cstheme="minorHAnsi"/>
          <w:sz w:val="22"/>
          <w:szCs w:val="22"/>
          <w:lang w:eastAsia="en-GB"/>
        </w:rPr>
      </w:pPr>
    </w:p>
    <w:p w14:paraId="7EEC3BF9" w14:textId="77777777" w:rsidR="009627EA" w:rsidRPr="000E55C1" w:rsidRDefault="009627EA" w:rsidP="009627EA">
      <w:pPr>
        <w:spacing w:after="0" w:line="240" w:lineRule="auto"/>
        <w:rPr>
          <w:rStyle w:val="normaltextrun"/>
          <w:rFonts w:eastAsia="Times New Roman" w:cstheme="minorHAnsi"/>
          <w:b/>
          <w:bCs/>
          <w:color w:val="C00000"/>
          <w:lang w:eastAsia="en-GB"/>
        </w:rPr>
      </w:pPr>
      <w:r w:rsidRPr="000E55C1">
        <w:rPr>
          <w:rStyle w:val="normaltextrun"/>
          <w:rFonts w:eastAsia="Times New Roman" w:cstheme="minorHAnsi"/>
          <w:lang w:eastAsia="en-GB"/>
        </w:rPr>
        <w:br w:type="page"/>
      </w:r>
    </w:p>
    <w:p w14:paraId="47C5B039" w14:textId="351A40EA" w:rsidR="009627EA" w:rsidRPr="000E55C1" w:rsidRDefault="00660864" w:rsidP="009627EA">
      <w:pPr>
        <w:pStyle w:val="Heading3"/>
        <w:rPr>
          <w:rStyle w:val="normaltextrun"/>
          <w:rFonts w:asciiTheme="minorHAnsi" w:eastAsia="Times New Roman" w:hAnsiTheme="minorHAnsi" w:cstheme="minorHAnsi"/>
          <w:sz w:val="22"/>
          <w:szCs w:val="22"/>
          <w:lang w:eastAsia="en-GB"/>
        </w:rPr>
      </w:pPr>
      <w:bookmarkStart w:id="6" w:name="_Toc77587871"/>
      <w:r w:rsidRPr="000E55C1">
        <w:rPr>
          <w:rStyle w:val="normaltextrun"/>
          <w:rFonts w:asciiTheme="minorHAnsi" w:eastAsia="Times New Roman" w:hAnsiTheme="minorHAnsi" w:cstheme="minorHAnsi"/>
          <w:sz w:val="22"/>
          <w:szCs w:val="22"/>
          <w:lang w:eastAsia="en-GB"/>
        </w:rPr>
        <w:lastRenderedPageBreak/>
        <w:t>3</w:t>
      </w:r>
      <w:r w:rsidR="00955BCE" w:rsidRPr="000E55C1">
        <w:rPr>
          <w:rStyle w:val="normaltextrun"/>
          <w:rFonts w:asciiTheme="minorHAnsi" w:eastAsia="Times New Roman" w:hAnsiTheme="minorHAnsi" w:cstheme="minorHAnsi"/>
          <w:sz w:val="22"/>
          <w:szCs w:val="22"/>
          <w:lang w:eastAsia="en-GB"/>
        </w:rPr>
        <w:t>.1</w:t>
      </w:r>
      <w:r w:rsidR="009627EA" w:rsidRPr="000E55C1">
        <w:rPr>
          <w:rStyle w:val="normaltextrun"/>
          <w:rFonts w:asciiTheme="minorHAnsi" w:eastAsia="Times New Roman" w:hAnsiTheme="minorHAnsi" w:cstheme="minorHAnsi"/>
          <w:sz w:val="22"/>
          <w:szCs w:val="22"/>
          <w:lang w:eastAsia="en-GB"/>
        </w:rPr>
        <w:t xml:space="preserve"> Digitalisation</w:t>
      </w:r>
      <w:bookmarkEnd w:id="6"/>
    </w:p>
    <w:p w14:paraId="060662C9" w14:textId="66C979FF" w:rsidR="009627EA" w:rsidRPr="000E55C1" w:rsidRDefault="009627EA" w:rsidP="009627EA">
      <w:pPr>
        <w:rPr>
          <w:rStyle w:val="normaltextrun"/>
          <w:rFonts w:eastAsia="Times New Roman" w:cstheme="minorHAnsi"/>
          <w:lang w:eastAsia="en-GB"/>
        </w:rPr>
      </w:pPr>
      <w:r w:rsidRPr="000E55C1">
        <w:rPr>
          <w:rStyle w:val="normaltextrun"/>
          <w:rFonts w:eastAsia="Times New Roman" w:cstheme="minorHAnsi"/>
          <w:lang w:eastAsia="en-GB"/>
        </w:rPr>
        <w:t xml:space="preserve">In the context of our scenario, digitalisation is the integration of digital systems and ICT into the energy system. It is already driving significant changes in the energy sector and is likely to accelerate change in the future by promoting new energy business models through to changing how consumers interact with energy services </w:t>
      </w:r>
      <w:r w:rsidRPr="000E55C1">
        <w:rPr>
          <w:rStyle w:val="normaltextrun"/>
          <w:rFonts w:eastAsia="Times New Roman" w:cstheme="minorHAnsi"/>
          <w:lang w:eastAsia="en-GB"/>
        </w:rPr>
        <w:fldChar w:fldCharType="begin" w:fldLock="1"/>
      </w:r>
      <w:r w:rsidR="00A14385" w:rsidRPr="000E55C1">
        <w:rPr>
          <w:rStyle w:val="normaltextrun"/>
          <w:rFonts w:eastAsia="Times New Roman" w:cstheme="minorHAnsi"/>
          <w:lang w:eastAsia="en-GB"/>
        </w:rPr>
        <w:instrText>ADDIN CSL_CITATION {"citationItems":[{"id":"ITEM-1","itemData":{"abstract":"Energy Futures Lab Energy Futures Lab is an institute of Imperial College London founded in 2005 to develop multidisciplinary, cross-faculty collaborations to tackle the broad range of energy challenges that the world faces. The institute's activities are supported by a small team of dedicated professionals that assists in building connections, coordinating projects and highlighting successes at the College. The Energy Futures Lab Briefing Papers are periodic reports aimed at all stakeholders in the energy sector. They bring together expertise from across Imperial College London to provide clarity on a wide range of energy topics. For more information visit:","author":[{"dropping-particle":"","family":"Rhodes","given":"Aidan","non-dropping-particle":"","parse-names":false,"suffix":""}],"container-title":"Imperial College London","id":"ITEM-1","issue":"May","issued":{"date-parts":[["2020"]]},"title":"Digitalisation of Energy: An Energy Futures Lab Briefling Paper","type":"article-journal"},"uris":["http://www.mendeley.com/documents/?uuid=bf750850-21c1-319c-80eb-ef82366218b1"]}],"mendeley":{"formattedCitation":"&lt;sup&gt;28&lt;/sup&gt;","plainTextFormattedCitation":"28","previouslyFormattedCitation":"&lt;sup&gt;28&lt;/sup&gt;"},"properties":{"noteIndex":0},"schema":"https://github.com/citation-style-language/schema/raw/master/csl-citation.json"}</w:instrText>
      </w:r>
      <w:r w:rsidRPr="000E55C1">
        <w:rPr>
          <w:rStyle w:val="normaltextrun"/>
          <w:rFonts w:eastAsia="Times New Roman" w:cstheme="minorHAnsi"/>
          <w:vertAlign w:val="superscript"/>
          <w:lang w:eastAsia="en-GB"/>
        </w:rPr>
        <w:fldChar w:fldCharType="separate"/>
      </w:r>
      <w:r w:rsidR="00A14385" w:rsidRPr="000E55C1">
        <w:rPr>
          <w:rStyle w:val="normaltextrun"/>
          <w:rFonts w:eastAsia="Times New Roman" w:cstheme="minorHAnsi"/>
          <w:noProof/>
          <w:vertAlign w:val="superscript"/>
          <w:lang w:eastAsia="en-GB"/>
        </w:rPr>
        <w:t>28</w:t>
      </w:r>
      <w:r w:rsidRPr="000E55C1">
        <w:rPr>
          <w:rStyle w:val="normaltextrun"/>
          <w:rFonts w:eastAsia="Times New Roman" w:cstheme="minorHAnsi"/>
          <w:lang w:eastAsia="en-GB"/>
        </w:rPr>
        <w:fldChar w:fldCharType="end"/>
      </w:r>
      <w:r w:rsidRPr="000E55C1">
        <w:rPr>
          <w:rStyle w:val="normaltextrun"/>
          <w:rFonts w:eastAsia="Times New Roman" w:cstheme="minorHAnsi"/>
          <w:lang w:eastAsia="en-GB"/>
        </w:rPr>
        <w:t xml:space="preserve">. Integrating ICT into the household and workplace energy systems and supply infrastructures will improve the capturing and use of energy system data. This will enable energy service providers to better understand consumption patterns, and more efficiently meet user’s needs </w:t>
      </w:r>
      <w:r w:rsidRPr="000E55C1">
        <w:rPr>
          <w:rStyle w:val="normaltextrun"/>
          <w:rFonts w:eastAsia="Times New Roman" w:cstheme="minorHAnsi"/>
          <w:lang w:eastAsia="en-GB"/>
        </w:rPr>
        <w:fldChar w:fldCharType="begin" w:fldLock="1"/>
      </w:r>
      <w:r w:rsidR="00090364" w:rsidRPr="000E55C1">
        <w:rPr>
          <w:rStyle w:val="normaltextrun"/>
          <w:rFonts w:eastAsia="Times New Roman" w:cstheme="minorHAnsi"/>
          <w:lang w:eastAsia="en-GB"/>
        </w:rPr>
        <w:instrText>ADDIN CSL_CITATION {"citationItems":[{"id":"ITEM-1","itemData":{"DOI":"10.1038/s41560-018-0172-6","ISSN":"20587546","abstract":"Scenarios that limit global warming to 1.5 °C describe major transformations in energy supply and ever-rising energy demand. Here, we provide a contrasting perspective by developing a narrative of future change based on observable trends that results in low energy demand. We describe and quantify changes in activity levels and energy intensity in the global North and global South for all major energy services. We project that global final energy demand by 2050 reduces to 245 EJ, around 40% lower than today, despite rises in population, income and activity. Using an integrated assessment modelling framework, we show how changes in the quantity and type of energy services drive structural change in intermediate and upstream supply sectors (energy and land use). Down-sizing the global energy system dramatically improves the feasibility of a low-carbon supply-side transformation. Our scenario meets the 1.5 °C climate target as well as many sustainable development goals, without relying on negative emission technologies.","author":[{"dropping-particle":"","family":"Grubler","given":"Arnulf","non-dropping-particle":"","parse-names":false,"suffix":""},{"dropping-particle":"","family":"Wilson","given":"Charlie","non-dropping-particle":"","parse-names":false,"suffix":""},{"dropping-particle":"","family":"Bento","given":"Nuno","non-dropping-particle":"","parse-names":false,"suffix":""},{"dropping-particle":"","family":"Boza-Kiss","given":"Benigna","non-dropping-particle":"","parse-names":false,"suffix":""},{"dropping-particle":"","family":"Krey","given":"Volker","non-dropping-particle":"","parse-names":false,"suffix":""},{"dropping-particle":"","family":"McCollum","given":"David L.","non-dropping-particle":"","parse-names":false,"suffix":""},{"dropping-particle":"","family":"Rao","given":"Narasimha D","non-dropping-particle":"","parse-names":false,"suffix":""},{"dropping-particle":"","family":"Riahi","given":"Keywan","non-dropping-particle":"","parse-names":false,"suffix":""},{"dropping-particle":"","family":"Rogelj","given":"Joeri","non-dropping-particle":"","parse-names":false,"suffix":""},{"dropping-particle":"","family":"Stercke","given":"Simon","non-dropping-particle":"De","parse-names":false,"suffix":""},{"dropping-particle":"","family":"Cullen","given":"Jonathan","non-dropping-particle":"","parse-names":false,"suffix":""},{"dropping-particle":"","family":"Frank","given":"Stefan","non-dropping-particle":"","parse-names":false,"suffix":""},{"dropping-particle":"","family":"Fricko","given":"Oliver","non-dropping-particle":"","parse-names":false,"suffix":""},{"dropping-particle":"","family":"Guo","given":"Fei","non-dropping-particle":"","parse-names":false,"suffix":""},{"dropping-particle":"","family":"Gidden","given":"Matt","non-dropping-particle":"","parse-names":false,"suffix":""},{"dropping-particle":"","family":"Havlík","given":"Petr","non-dropping-particle":"","parse-names":false,"suffix":""},{"dropping-particle":"","family":"Huppmann","given":"Daniel","non-dropping-particle":"","parse-names":false,"suffix":""},{"dropping-particle":"","family":"Kiesewetter","given":"Gregor","non-dropping-particle":"","parse-names":false,"suffix":""},{"dropping-particle":"","family":"Rafaj","given":"Peter","non-dropping-particle":"","parse-names":false,"suffix":""},{"dropping-particle":"","family":"Schoepp","given":"Wolfgang","non-dropping-particle":"","parse-names":false,"suffix":""},{"dropping-particle":"","family":"Valin","given":"Hugo","non-dropping-particle":"","parse-names":false,"suffix":""}],"container-title":"Nature Energy","id":"ITEM-1","issue":"6","issued":{"date-parts":[["2018"]]},"page":"515-527","title":"A low energy demand scenario for meeting the 1.5 °c target and sustainable development goals without negative emission technologies","type":"article-journal","volume":"3"},"uris":["http://www.mendeley.com/documents/?uuid=3175598c-37b8-3ff0-99e4-a25681133568"]}],"mendeley":{"formattedCitation":"&lt;sup&gt;5&lt;/sup&gt;","plainTextFormattedCitation":"5","previouslyFormattedCitation":"&lt;sup&gt;5&lt;/sup&gt;"},"properties":{"noteIndex":0},"schema":"https://github.com/citation-style-language/schema/raw/master/csl-citation.json"}</w:instrText>
      </w:r>
      <w:r w:rsidRPr="000E55C1">
        <w:rPr>
          <w:rStyle w:val="normaltextrun"/>
          <w:rFonts w:eastAsia="Times New Roman" w:cstheme="minorHAnsi"/>
          <w:lang w:eastAsia="en-GB"/>
        </w:rPr>
        <w:fldChar w:fldCharType="separate"/>
      </w:r>
      <w:r w:rsidR="00090364" w:rsidRPr="000E55C1">
        <w:rPr>
          <w:rStyle w:val="normaltextrun"/>
          <w:rFonts w:eastAsia="Times New Roman" w:cstheme="minorHAnsi"/>
          <w:noProof/>
          <w:vertAlign w:val="superscript"/>
          <w:lang w:eastAsia="en-GB"/>
        </w:rPr>
        <w:t>5</w:t>
      </w:r>
      <w:r w:rsidRPr="000E55C1">
        <w:rPr>
          <w:rStyle w:val="normaltextrun"/>
          <w:rFonts w:eastAsia="Times New Roman" w:cstheme="minorHAnsi"/>
          <w:lang w:eastAsia="en-GB"/>
        </w:rPr>
        <w:fldChar w:fldCharType="end"/>
      </w:r>
      <w:r w:rsidRPr="000E55C1">
        <w:rPr>
          <w:rStyle w:val="normaltextrun"/>
          <w:rFonts w:eastAsia="Times New Roman" w:cstheme="minorHAnsi"/>
          <w:lang w:eastAsia="en-GB"/>
        </w:rPr>
        <w:t xml:space="preserve">. The benefits of digitalisation also extend to consumers. Increased use of smartphones in managing energy services extend control and interactivity to the consumer, opening the potential for increased efficiency of consumption of energy in the household. Further, digitalisation has the potential to substitute material goods with digital equivalents, such as books or music </w:t>
      </w:r>
      <w:r w:rsidRPr="000E55C1">
        <w:rPr>
          <w:rStyle w:val="normaltextrun"/>
          <w:rFonts w:eastAsia="Times New Roman" w:cstheme="minorHAnsi"/>
          <w:lang w:eastAsia="en-GB"/>
        </w:rPr>
        <w:fldChar w:fldCharType="begin" w:fldLock="1"/>
      </w:r>
      <w:r w:rsidR="00A14385" w:rsidRPr="000E55C1">
        <w:rPr>
          <w:rStyle w:val="normaltextrun"/>
          <w:rFonts w:eastAsia="Times New Roman" w:cstheme="minorHAnsi"/>
          <w:lang w:eastAsia="en-GB"/>
        </w:rPr>
        <w:instrText>ADDIN CSL_CITATION {"citationItems":[{"id":"ITEM-1","itemData":{"DOI":"10.1088/1748-9326/ab6788","ISSN":"17489326","abstract":"Background. The contribution of information and communication technologies (ICTs) to a low carbon economy is unclear. Previous reviews emphasise the need to assess the specific factors that determine the environmental impacts of ICTs, but none of them link those factors to the magnitude of the impacts on energy consumption and carbon emissions. Our study aims to fill this evidence gap. Methods/Design. We restrict our analysis to a single application domain, namely e-materialisation, defined as the partial or complete substitution of material products with electronic equivalents. We conduct the first systematic literature review of the direct and higher order impacts of the digitalisation of goods on energy consumption. Results/Synthesis. We identify 31 relevant studies that we sort into five categories, namely: 'e-publications' (e-books, e-magazines and e-journals); 'e-news'; 'e-business'; 'e-music'; and 'e-videos and games'. All but one of the 31 studies use life-cycle analysis and employ a range of product-system configurations, functional units, system boundaries and allocation rules. Confining attention to direct and substitution effects, the studies suggest potential energy savings from e-publications, e-news and e-music, and less potential from e-business and e-videos/games. However, different assumptions for key variables (such as the lifetime and energy efficiency of user devices, the extent to which personal transport is displaced and the number of users of material and digital products) lead to very different estimates - including many where lifecycle energy consumption increases. Most of the studies assume that digital goods substitute for material goods and all of them neglect rebound effects - which suggests that they overestimate energy savings. Discussion. Given the diversity and context-specificity of the available evidence, the optimistic assumptions that are frequently used (e.g. perfect substitution) and the neglect of rebound effects, we cannot conclude that e-materialisation has delivered significant energy savings to date or is likely to do so in the future.","author":[{"dropping-particle":"","family":"Court","given":"Victor","non-dropping-particle":"","parse-names":false,"suffix":""},{"dropping-particle":"","family":"Sorrell","given":"Steven","non-dropping-particle":"","parse-names":false,"suffix":""}],"container-title":"Environmental Research Letters","id":"ITEM-1","issue":"4","issued":{"date-parts":[["2020","4","1"]]},"page":"043001","publisher":"Institute of Physics Publishing","title":"Digitalisation of goods: A systematic review of the determinants and magnitude of the impacts on energy consumption","type":"article-journal","volume":"15"},"uris":["http://www.mendeley.com/documents/?uuid=62671084-147e-39d5-9d9b-af80b425b25e"]}],"mendeley":{"formattedCitation":"&lt;sup&gt;29&lt;/sup&gt;","plainTextFormattedCitation":"29","previouslyFormattedCitation":"&lt;sup&gt;29&lt;/sup&gt;"},"properties":{"noteIndex":0},"schema":"https://github.com/citation-style-language/schema/raw/master/csl-citation.json"}</w:instrText>
      </w:r>
      <w:r w:rsidRPr="000E55C1">
        <w:rPr>
          <w:rStyle w:val="normaltextrun"/>
          <w:rFonts w:eastAsia="Times New Roman" w:cstheme="minorHAnsi"/>
          <w:lang w:eastAsia="en-GB"/>
        </w:rPr>
        <w:fldChar w:fldCharType="separate"/>
      </w:r>
      <w:r w:rsidR="00A14385" w:rsidRPr="000E55C1">
        <w:rPr>
          <w:rStyle w:val="normaltextrun"/>
          <w:rFonts w:eastAsia="Times New Roman" w:cstheme="minorHAnsi"/>
          <w:noProof/>
          <w:vertAlign w:val="superscript"/>
          <w:lang w:eastAsia="en-GB"/>
        </w:rPr>
        <w:t>29</w:t>
      </w:r>
      <w:r w:rsidRPr="000E55C1">
        <w:rPr>
          <w:rStyle w:val="normaltextrun"/>
          <w:rFonts w:eastAsia="Times New Roman" w:cstheme="minorHAnsi"/>
          <w:lang w:eastAsia="en-GB"/>
        </w:rPr>
        <w:fldChar w:fldCharType="end"/>
      </w:r>
      <w:r w:rsidRPr="000E55C1">
        <w:rPr>
          <w:rStyle w:val="normaltextrun"/>
          <w:rFonts w:eastAsia="Times New Roman" w:cstheme="minorHAnsi"/>
          <w:lang w:eastAsia="en-GB"/>
        </w:rPr>
        <w:t xml:space="preserve">. </w:t>
      </w:r>
    </w:p>
    <w:p w14:paraId="3E0877F6" w14:textId="030F431A" w:rsidR="009627EA" w:rsidRPr="000E55C1" w:rsidRDefault="009627EA" w:rsidP="009627EA">
      <w:pPr>
        <w:rPr>
          <w:rStyle w:val="normaltextrun"/>
          <w:rFonts w:eastAsia="Times New Roman" w:cstheme="minorHAnsi"/>
          <w:lang w:eastAsia="en-GB"/>
        </w:rPr>
      </w:pPr>
      <w:r w:rsidRPr="000E55C1">
        <w:rPr>
          <w:rStyle w:val="normaltextrun"/>
          <w:rFonts w:eastAsia="Times New Roman" w:cstheme="minorHAnsi"/>
          <w:lang w:eastAsia="en-GB"/>
        </w:rPr>
        <w:t>However, it is worth noting that increased digitalisation will not necessarily bring about a reduction in energy demand. Lange et al.</w:t>
      </w:r>
      <w:r w:rsidR="00660864" w:rsidRPr="000E55C1">
        <w:rPr>
          <w:rStyle w:val="normaltextrun"/>
          <w:rFonts w:eastAsia="Times New Roman" w:cstheme="minorHAnsi"/>
          <w:lang w:eastAsia="en-GB"/>
        </w:rPr>
        <w:fldChar w:fldCharType="begin" w:fldLock="1"/>
      </w:r>
      <w:r w:rsidR="00660864" w:rsidRPr="000E55C1">
        <w:rPr>
          <w:rStyle w:val="normaltextrun"/>
          <w:rFonts w:eastAsia="Times New Roman" w:cstheme="minorHAnsi"/>
          <w:lang w:eastAsia="en-GB"/>
        </w:rPr>
        <w:instrText>ADDIN CSL_CITATION {"citationItems":[{"id":"ITEM-1","itemData":{"DOI":"10.1016/j.ecolecon.2020.106760","ISSN":"09218009","abstract":"This article investigates the effect of digitalization on energy consumption. Using an analytical model, we investigate four effects: (1) direct effects from the production, usage and disposal of information and communication technologies (ICT), (2) energy efficiency increases from digitalization, (3) economic growth from increases in labor and energy productivities and (4) sectoral change/tertiarization from the rise of ICT services. The analysis combines empirical and theoretical findings from debates on decoupling energy consumption from economic growth and from debates on green IT and ICT for sustainability. Our main results: Effects 1 and 3 tend to increase energy consumption. Effects 2 and 4 tend to decrease it. Furthermore, our analysis suggests that the two increasing effects prevail so that, overall, digitalization increases energy consumption. These results can be explained by four insights from ecological economics: (a) physical capital and energy are complements in the ICT sector, (b) increases in energy efficiency lead to rebound effects, (c) ICT cannot solve the difficulty of decoupling economic growth from exergy, (d) ICT services are relatively energy intensive and come on top of former production. In future, digitalization can only boost sustainability when it fosters effects 2 and 4 without promoting effects 1 and 3.","author":[{"dropping-particle":"","family":"Lange","given":"Steffen","non-dropping-particle":"","parse-names":false,"suffix":""},{"dropping-particle":"","family":"Pohl","given":"Johanna","non-dropping-particle":"","parse-names":false,"suffix":""},{"dropping-particle":"","family":"Santarius","given":"Tilman","non-dropping-particle":"","parse-names":false,"suffix":""}],"container-title":"Ecological Economics","id":"ITEM-1","issued":{"date-parts":[["2020","10","1"]]},"page":"106760","publisher":"Elsevier B.V.","title":"Digitalization and energy consumption. Does ICT reduce energy demand?","type":"article-journal","volume":"176"},"uris":["http://www.mendeley.com/documents/?uuid=7b3d9a10-dc9a-42ea-8959-51231d4a91fd"]}],"mendeley":{"formattedCitation":"&lt;sup&gt;30&lt;/sup&gt;","plainTextFormattedCitation":"30","previouslyFormattedCitation":"&lt;sup&gt;30&lt;/sup&gt;"},"properties":{"noteIndex":0},"schema":"https://github.com/citation-style-language/schema/raw/master/csl-citation.json"}</w:instrText>
      </w:r>
      <w:r w:rsidR="00660864" w:rsidRPr="000E55C1">
        <w:rPr>
          <w:rStyle w:val="normaltextrun"/>
          <w:rFonts w:eastAsia="Times New Roman" w:cstheme="minorHAnsi"/>
          <w:lang w:eastAsia="en-GB"/>
        </w:rPr>
        <w:fldChar w:fldCharType="separate"/>
      </w:r>
      <w:r w:rsidR="00660864" w:rsidRPr="000E55C1">
        <w:rPr>
          <w:rStyle w:val="normaltextrun"/>
          <w:rFonts w:eastAsia="Times New Roman" w:cstheme="minorHAnsi"/>
          <w:noProof/>
          <w:vertAlign w:val="superscript"/>
          <w:lang w:eastAsia="en-GB"/>
        </w:rPr>
        <w:t>30</w:t>
      </w:r>
      <w:r w:rsidR="00660864" w:rsidRPr="000E55C1">
        <w:rPr>
          <w:rStyle w:val="normaltextrun"/>
          <w:rFonts w:eastAsia="Times New Roman" w:cstheme="minorHAnsi"/>
          <w:lang w:eastAsia="en-GB"/>
        </w:rPr>
        <w:fldChar w:fldCharType="end"/>
      </w:r>
      <w:r w:rsidRPr="000E55C1">
        <w:rPr>
          <w:rStyle w:val="normaltextrun"/>
          <w:rFonts w:eastAsia="Times New Roman" w:cstheme="minorHAnsi"/>
          <w:lang w:eastAsia="en-GB"/>
        </w:rPr>
        <w:t xml:space="preserve"> identify four impacts of digitalisation on energy demand. Whilst digitalisation was found to facilitate efficiency increases with the potential to reduce energy demand, they highlight the potential for rebound effects. These include the potential to foster economic growth and the embodied energy within the production of ICT, that may both bring about increases in demand </w:t>
      </w:r>
      <w:r w:rsidRPr="000E55C1">
        <w:rPr>
          <w:rStyle w:val="normaltextrun"/>
          <w:rFonts w:eastAsia="Times New Roman" w:cstheme="minorHAnsi"/>
          <w:lang w:eastAsia="en-GB"/>
        </w:rPr>
        <w:fldChar w:fldCharType="begin" w:fldLock="1"/>
      </w:r>
      <w:r w:rsidR="00A14385" w:rsidRPr="000E55C1">
        <w:rPr>
          <w:rStyle w:val="normaltextrun"/>
          <w:rFonts w:eastAsia="Times New Roman" w:cstheme="minorHAnsi"/>
          <w:lang w:eastAsia="en-GB"/>
        </w:rPr>
        <w:instrText>ADDIN CSL_CITATION {"citationItems":[{"id":"ITEM-1","itemData":{"DOI":"10.1016/j.ecolecon.2020.106760","ISSN":"09218009","abstract":"This article investigates the effect of digitalization on energy consumption. Using an analytical model, we investigate four effects: (1) direct effects from the production, usage and disposal of information and communication technologies (ICT), (2) energy efficiency increases from digitalization, (3) economic growth from increases in labor and energy productivities and (4) sectoral change/tertiarization from the rise of ICT services. The analysis combines empirical and theoretical findings from debates on decoupling energy consumption from economic growth and from debates on green IT and ICT for sustainability. Our main results: Effects 1 and 3 tend to increase energy consumption. Effects 2 and 4 tend to decrease it. Furthermore, our analysis suggests that the two increasing effects prevail so that, overall, digitalization increases energy consumption. These results can be explained by four insights from ecological economics: (a) physical capital and energy are complements in the ICT sector, (b) increases in energy efficiency lead to rebound effects, (c) ICT cannot solve the difficulty of decoupling economic growth from exergy, (d) ICT services are relatively energy intensive and come on top of former production. In future, digitalization can only boost sustainability when it fosters effects 2 and 4 without promoting effects 1 and 3.","author":[{"dropping-particle":"","family":"Lange","given":"Steffen","non-dropping-particle":"","parse-names":false,"suffix":""},{"dropping-particle":"","family":"Pohl","given":"Johanna","non-dropping-particle":"","parse-names":false,"suffix":""},{"dropping-particle":"","family":"Santarius","given":"Tilman","non-dropping-particle":"","parse-names":false,"suffix":""}],"container-title":"Ecological Economics","id":"ITEM-1","issued":{"date-parts":[["2020","10","1"]]},"page":"106760","publisher":"Elsevier B.V.","title":"Digitalization and energy consumption. Does ICT reduce energy demand?","type":"article-journal","volume":"176"},"uris":["http://www.mendeley.com/documents/?uuid=2cc4bd91-d45c-327e-8d4c-7d48d3e3c167"]}],"mendeley":{"formattedCitation":"&lt;sup&gt;30&lt;/sup&gt;","plainTextFormattedCitation":"30","previouslyFormattedCitation":"&lt;sup&gt;30&lt;/sup&gt;"},"properties":{"noteIndex":0},"schema":"https://github.com/citation-style-language/schema/raw/master/csl-citation.json"}</w:instrText>
      </w:r>
      <w:r w:rsidRPr="000E55C1">
        <w:rPr>
          <w:rStyle w:val="normaltextrun"/>
          <w:rFonts w:eastAsia="Times New Roman" w:cstheme="minorHAnsi"/>
          <w:vertAlign w:val="superscript"/>
          <w:lang w:eastAsia="en-GB"/>
        </w:rPr>
        <w:fldChar w:fldCharType="separate"/>
      </w:r>
      <w:r w:rsidR="00A14385" w:rsidRPr="000E55C1">
        <w:rPr>
          <w:rStyle w:val="normaltextrun"/>
          <w:rFonts w:eastAsia="Times New Roman" w:cstheme="minorHAnsi"/>
          <w:noProof/>
          <w:vertAlign w:val="superscript"/>
          <w:lang w:eastAsia="en-GB"/>
        </w:rPr>
        <w:t>30</w:t>
      </w:r>
      <w:r w:rsidRPr="000E55C1">
        <w:rPr>
          <w:rStyle w:val="normaltextrun"/>
          <w:rFonts w:eastAsia="Times New Roman" w:cstheme="minorHAnsi"/>
          <w:lang w:eastAsia="en-GB"/>
        </w:rPr>
        <w:fldChar w:fldCharType="end"/>
      </w:r>
      <w:r w:rsidRPr="000E55C1">
        <w:rPr>
          <w:rStyle w:val="normaltextrun"/>
          <w:rFonts w:eastAsia="Times New Roman" w:cstheme="minorHAnsi"/>
          <w:lang w:eastAsia="en-GB"/>
        </w:rPr>
        <w:t xml:space="preserve">. This potential rebound effect is reiterated by others in the literature </w:t>
      </w:r>
      <w:r w:rsidRPr="000E55C1">
        <w:rPr>
          <w:rStyle w:val="normaltextrun"/>
          <w:rFonts w:eastAsia="Times New Roman" w:cstheme="minorHAnsi"/>
          <w:lang w:eastAsia="en-GB"/>
        </w:rPr>
        <w:fldChar w:fldCharType="begin" w:fldLock="1"/>
      </w:r>
      <w:r w:rsidR="00A14385" w:rsidRPr="000E55C1">
        <w:rPr>
          <w:rStyle w:val="normaltextrun"/>
          <w:rFonts w:eastAsia="Times New Roman" w:cstheme="minorHAnsi"/>
          <w:lang w:eastAsia="en-GB"/>
        </w:rPr>
        <w:instrText>ADDIN CSL_CITATION {"citationItems":[{"id":"ITEM-1","itemData":{"DOI":"10.1016/j.jclepro.2020.120926","ISSN":"09596526","abstract":"Digital technologies have the potential to make the transport system more connected, intelligent, efficient, reliable and sustainable. That is, digital technologies could fundamentally transform how people and goods are moved, with significant impacts on transport demand and on the related energy consumption and environmental impacts. This article proposes a scenario analysis for the future of European passenger transport, by evaluating the potential effects of digitalization on mobility demand, energy consumption and CO2 emissions under different assumptions. The analysis illustrates that the penetration of digital technologies can lead to opposite effects with regard to both energy consumption and emissions. Two opposite scenarios are compared, to evaluate the effects of a “responsible” digitalization, in the direction of a sustainable mobility, against a “selfish” digitalization, where the final users maximize their utility. The likelihood of these two possible pathways is related to multiple drivers, including users’ behavior, economic conditions and transport and environmental policies. Results show the variability range of the potential effects on energy consumption and CO2 emissions in Europe by 2030 and 2050, by considering digitalization trends including Mobility as a Service, Shared Mobility and Autonomous Vehicles. The variability of key parameters is evaluated in a dedicated sensitivity analysis, where the effects of electric vehicles, electricity generation mixes and vehicles’ efficiency improvements are assessed. The article concludes that in order to fully exploit the advantages of digitalization, proper policies are needed to support an efficient and effective deployment of available technologies through an optimized and shared use of alternative transport options.","author":[{"dropping-particle":"","family":"Noussan","given":"Michel","non-dropping-particle":"","parse-names":false,"suffix":""},{"dropping-particle":"","family":"Tagliapietra","given":"Simone","non-dropping-particle":"","parse-names":false,"suffix":""}],"container-title":"Journal of Cleaner Production","id":"ITEM-1","issued":{"date-parts":[["2020","6","10"]]},"page":"120926","publisher":"Elsevier Ltd","title":"The effect of digitalization in the energy consumption of passenger transport: An analysis of future scenarios for Europe","type":"article-journal","volume":"258"},"uris":["http://www.mendeley.com/documents/?uuid=fe3b84c5-905d-35d2-93a8-adc4e68135b2"]},{"id":"ITEM-2","itemData":{"DOI":"10.1088/1748-9326/ab6788","ISSN":"17489326","abstract":"Background. The contribution of information and communication technologies (ICTs) to a low carbon economy is unclear. Previous reviews emphasise the need to assess the specific factors that determine the environmental impacts of ICTs, but none of them link those factors to the magnitude of the impacts on energy consumption and carbon emissions. Our study aims to fill this evidence gap. Methods/Design. We restrict our analysis to a single application domain, namely e-materialisation, defined as the partial or complete substitution of material products with electronic equivalents. We conduct the first systematic literature review of the direct and higher order impacts of the digitalisation of goods on energy consumption. Results/Synthesis. We identify 31 relevant studies that we sort into five categories, namely: 'e-publications' (e-books, e-magazines and e-journals); 'e-news'; 'e-business'; 'e-music'; and 'e-videos and games'. All but one of the 31 studies use life-cycle analysis and employ a range of product-system configurations, functional units, system boundaries and allocation rules. Confining attention to direct and substitution effects, the studies suggest potential energy savings from e-publications, e-news and e-music, and less potential from e-business and e-videos/games. However, different assumptions for key variables (such as the lifetime and energy efficiency of user devices, the extent to which personal transport is displaced and the number of users of material and digital products) lead to very different estimates - including many where lifecycle energy consumption increases. Most of the studies assume that digital goods substitute for material goods and all of them neglect rebound effects - which suggests that they overestimate energy savings. Discussion. Given the diversity and context-specificity of the available evidence, the optimistic assumptions that are frequently used (e.g. perfect substitution) and the neglect of rebound effects, we cannot conclude that e-materialisation has delivered significant energy savings to date or is likely to do so in the future.","author":[{"dropping-particle":"","family":"Court","given":"Victor","non-dropping-particle":"","parse-names":false,"suffix":""},{"dropping-particle":"","family":"Sorrell","given":"Steven","non-dropping-particle":"","parse-names":false,"suffix":""}],"container-title":"Environmental Research Letters","id":"ITEM-2","issue":"4","issued":{"date-parts":[["2020","4","1"]]},"page":"043001","publisher":"Institute of Physics Publishing","title":"Digitalisation of goods: A systematic review of the determinants and magnitude of the impacts on energy consumption","type":"article-journal","volume":"15"},"uris":["http://www.mendeley.com/documents/?uuid=62671084-147e-39d5-9d9b-af80b425b25e"]}],"mendeley":{"formattedCitation":"&lt;sup&gt;29,31&lt;/sup&gt;","plainTextFormattedCitation":"29,31","previouslyFormattedCitation":"&lt;sup&gt;29,31&lt;/sup&gt;"},"properties":{"noteIndex":0},"schema":"https://github.com/citation-style-language/schema/raw/master/csl-citation.json"}</w:instrText>
      </w:r>
      <w:r w:rsidRPr="000E55C1">
        <w:rPr>
          <w:rStyle w:val="normaltextrun"/>
          <w:rFonts w:eastAsia="Times New Roman" w:cstheme="minorHAnsi"/>
          <w:lang w:eastAsia="en-GB"/>
        </w:rPr>
        <w:fldChar w:fldCharType="separate"/>
      </w:r>
      <w:r w:rsidR="00A14385" w:rsidRPr="000E55C1">
        <w:rPr>
          <w:rStyle w:val="normaltextrun"/>
          <w:rFonts w:eastAsia="Times New Roman" w:cstheme="minorHAnsi"/>
          <w:noProof/>
          <w:vertAlign w:val="superscript"/>
          <w:lang w:eastAsia="en-GB"/>
        </w:rPr>
        <w:t>29,31</w:t>
      </w:r>
      <w:r w:rsidRPr="000E55C1">
        <w:rPr>
          <w:rStyle w:val="normaltextrun"/>
          <w:rFonts w:eastAsia="Times New Roman" w:cstheme="minorHAnsi"/>
          <w:lang w:eastAsia="en-GB"/>
        </w:rPr>
        <w:fldChar w:fldCharType="end"/>
      </w:r>
      <w:r w:rsidRPr="000E55C1">
        <w:rPr>
          <w:rStyle w:val="normaltextrun"/>
          <w:rFonts w:eastAsia="Times New Roman" w:cstheme="minorHAnsi"/>
          <w:lang w:eastAsia="en-GB"/>
        </w:rPr>
        <w:t xml:space="preserve">. In the mobility services context, </w:t>
      </w:r>
      <w:proofErr w:type="spellStart"/>
      <w:r w:rsidRPr="000E55C1">
        <w:rPr>
          <w:rStyle w:val="normaltextrun"/>
          <w:rFonts w:eastAsia="Times New Roman" w:cstheme="minorHAnsi"/>
          <w:lang w:eastAsia="en-GB"/>
        </w:rPr>
        <w:t>Noussan</w:t>
      </w:r>
      <w:proofErr w:type="spellEnd"/>
      <w:r w:rsidRPr="000E55C1">
        <w:rPr>
          <w:rStyle w:val="normaltextrun"/>
          <w:rFonts w:eastAsia="Times New Roman" w:cstheme="minorHAnsi"/>
          <w:lang w:eastAsia="en-GB"/>
        </w:rPr>
        <w:t xml:space="preserve"> &amp; </w:t>
      </w:r>
      <w:proofErr w:type="spellStart"/>
      <w:r w:rsidRPr="000E55C1">
        <w:rPr>
          <w:rStyle w:val="normaltextrun"/>
          <w:rFonts w:eastAsia="Times New Roman" w:cstheme="minorHAnsi"/>
          <w:lang w:eastAsia="en-GB"/>
        </w:rPr>
        <w:t>Tagliapietra</w:t>
      </w:r>
      <w:proofErr w:type="spellEnd"/>
      <w:r w:rsidR="00660864" w:rsidRPr="000E55C1">
        <w:rPr>
          <w:rStyle w:val="normaltextrun"/>
          <w:rFonts w:eastAsia="Times New Roman" w:cstheme="minorHAnsi"/>
          <w:lang w:eastAsia="en-GB"/>
        </w:rPr>
        <w:t xml:space="preserve"> </w:t>
      </w:r>
      <w:r w:rsidR="00660864" w:rsidRPr="000E55C1">
        <w:rPr>
          <w:rStyle w:val="normaltextrun"/>
          <w:rFonts w:eastAsia="Times New Roman" w:cstheme="minorHAnsi"/>
          <w:lang w:eastAsia="en-GB"/>
        </w:rPr>
        <w:fldChar w:fldCharType="begin" w:fldLock="1"/>
      </w:r>
      <w:r w:rsidR="00660864" w:rsidRPr="000E55C1">
        <w:rPr>
          <w:rStyle w:val="normaltextrun"/>
          <w:rFonts w:eastAsia="Times New Roman" w:cstheme="minorHAnsi"/>
          <w:lang w:eastAsia="en-GB"/>
        </w:rPr>
        <w:instrText>ADDIN CSL_CITATION {"citationItems":[{"id":"ITEM-1","itemData":{"DOI":"10.1016/j.jclepro.2020.120926","ISSN":"09596526","abstract":"Digital technologies have the potential to make the transport system more connected, intelligent, efficient, reliable and sustainable. That is, digital technologies could fundamentally transform how people and goods are moved, with significant impacts on transport demand and on the related energy consumption and environmental impacts. This article proposes a scenario analysis for the future of European passenger transport, by evaluating the potential effects of digitalization on mobility demand, energy consumption and CO2 emissions under different assumptions. The analysis illustrates that the penetration of digital technologies can lead to opposite effects with regard to both energy consumption and emissions. Two opposite scenarios are compared, to evaluate the effects of a “responsible” digitalization, in the direction of a sustainable mobility, against a “selfish” digitalization, where the final users maximize their utility. The likelihood of these two possible pathways is related to multiple drivers, including users’ behavior, economic conditions and transport and environmental policies. Results show the variability range of the potential effects on energy consumption and CO2 emissions in Europe by 2030 and 2050, by considering digitalization trends including Mobility as a Service, Shared Mobility and Autonomous Vehicles. The variability of key parameters is evaluated in a dedicated sensitivity analysis, where the effects of electric vehicles, electricity generation mixes and vehicles’ efficiency improvements are assessed. The article concludes that in order to fully exploit the advantages of digitalization, proper policies are needed to support an efficient and effective deployment of available technologies through an optimized and shared use of alternative transport options.","author":[{"dropping-particle":"","family":"Noussan","given":"Michel","non-dropping-particle":"","parse-names":false,"suffix":""},{"dropping-particle":"","family":"Tagliapietra","given":"Simone","non-dropping-particle":"","parse-names":false,"suffix":""}],"container-title":"Journal of Cleaner Production","id":"ITEM-1","issued":{"date-parts":[["2020","6","10"]]},"page":"120926","publisher":"Elsevier Ltd","title":"The effect of digitalization in the energy consumption of passenger transport: An analysis of future scenarios for Europe","type":"article-journal","volume":"258"},"uris":["http://www.mendeley.com/documents/?uuid=61b46ad8-29ba-4e67-9439-ac7351797b49"]}],"mendeley":{"formattedCitation":"&lt;sup&gt;31&lt;/sup&gt;","plainTextFormattedCitation":"31","previouslyFormattedCitation":"&lt;sup&gt;31&lt;/sup&gt;"},"properties":{"noteIndex":0},"schema":"https://github.com/citation-style-language/schema/raw/master/csl-citation.json"}</w:instrText>
      </w:r>
      <w:r w:rsidR="00660864" w:rsidRPr="000E55C1">
        <w:rPr>
          <w:rStyle w:val="normaltextrun"/>
          <w:rFonts w:eastAsia="Times New Roman" w:cstheme="minorHAnsi"/>
          <w:lang w:eastAsia="en-GB"/>
        </w:rPr>
        <w:fldChar w:fldCharType="separate"/>
      </w:r>
      <w:r w:rsidR="00660864" w:rsidRPr="000E55C1">
        <w:rPr>
          <w:rStyle w:val="normaltextrun"/>
          <w:rFonts w:eastAsia="Times New Roman" w:cstheme="minorHAnsi"/>
          <w:noProof/>
          <w:vertAlign w:val="superscript"/>
          <w:lang w:eastAsia="en-GB"/>
        </w:rPr>
        <w:t>31</w:t>
      </w:r>
      <w:r w:rsidR="00660864" w:rsidRPr="000E55C1">
        <w:rPr>
          <w:rStyle w:val="normaltextrun"/>
          <w:rFonts w:eastAsia="Times New Roman" w:cstheme="minorHAnsi"/>
          <w:lang w:eastAsia="en-GB"/>
        </w:rPr>
        <w:fldChar w:fldCharType="end"/>
      </w:r>
      <w:r w:rsidRPr="000E55C1">
        <w:rPr>
          <w:rStyle w:val="normaltextrun"/>
          <w:rFonts w:eastAsia="Times New Roman" w:cstheme="minorHAnsi"/>
          <w:lang w:eastAsia="en-GB"/>
        </w:rPr>
        <w:t xml:space="preserve"> suggest that avoiding increased energy demand due to rebound effects requires policies that ensure optimized and shared use of energy services and technologies. Thus, whilst digitalisation has the potential to improve user information and control, find efficiency savings in the supply and use of energy, support sustainable sharing business models, and improve quality of life, active policy is likely needed to ensure these amount to a reduction in energy demand. </w:t>
      </w:r>
    </w:p>
    <w:p w14:paraId="65EEE205" w14:textId="77777777" w:rsidR="009627EA" w:rsidRPr="000E55C1" w:rsidRDefault="009627EA" w:rsidP="009627EA">
      <w:pPr>
        <w:rPr>
          <w:rStyle w:val="normaltextrun"/>
          <w:rFonts w:eastAsia="Times New Roman" w:cstheme="minorHAnsi"/>
          <w:lang w:eastAsia="en-GB"/>
        </w:rPr>
      </w:pPr>
      <w:r w:rsidRPr="000E55C1">
        <w:rPr>
          <w:rStyle w:val="normaltextrun"/>
          <w:rFonts w:eastAsia="Times New Roman" w:cstheme="minorHAnsi"/>
          <w:lang w:eastAsia="en-GB"/>
        </w:rPr>
        <w:t xml:space="preserve">In the LED scenarios developed in this study, digitalisation is applied to a range of energy services to reduce demand, such as energy management systems to extend control and avoid unnecessary consumption and mobility services to promote shared travel and reduce private consumption. </w:t>
      </w:r>
    </w:p>
    <w:p w14:paraId="1861C8DD" w14:textId="49838567" w:rsidR="009627EA" w:rsidRPr="000E55C1" w:rsidRDefault="00660864" w:rsidP="009627EA">
      <w:pPr>
        <w:pStyle w:val="Heading3"/>
        <w:rPr>
          <w:rStyle w:val="normaltextrun"/>
          <w:rFonts w:asciiTheme="minorHAnsi" w:eastAsia="Times New Roman" w:hAnsiTheme="minorHAnsi" w:cstheme="minorHAnsi"/>
          <w:sz w:val="22"/>
          <w:szCs w:val="22"/>
          <w:lang w:eastAsia="en-GB"/>
        </w:rPr>
      </w:pPr>
      <w:bookmarkStart w:id="7" w:name="_Toc77587872"/>
      <w:r w:rsidRPr="000E55C1">
        <w:rPr>
          <w:rStyle w:val="normaltextrun"/>
          <w:rFonts w:asciiTheme="minorHAnsi" w:eastAsia="Times New Roman" w:hAnsiTheme="minorHAnsi" w:cstheme="minorHAnsi"/>
          <w:sz w:val="22"/>
          <w:szCs w:val="22"/>
          <w:lang w:eastAsia="en-GB"/>
        </w:rPr>
        <w:t>3</w:t>
      </w:r>
      <w:r w:rsidR="009627EA" w:rsidRPr="000E55C1">
        <w:rPr>
          <w:rStyle w:val="normaltextrun"/>
          <w:rFonts w:asciiTheme="minorHAnsi" w:eastAsia="Times New Roman" w:hAnsiTheme="minorHAnsi" w:cstheme="minorHAnsi"/>
          <w:sz w:val="22"/>
          <w:szCs w:val="22"/>
          <w:lang w:eastAsia="en-GB"/>
        </w:rPr>
        <w:t>.2 Sharing and circular economy</w:t>
      </w:r>
      <w:bookmarkEnd w:id="7"/>
    </w:p>
    <w:p w14:paraId="7A63811A" w14:textId="44CD1F2D" w:rsidR="009627EA" w:rsidRPr="000E55C1" w:rsidRDefault="009627EA" w:rsidP="009627EA">
      <w:pPr>
        <w:rPr>
          <w:rStyle w:val="normaltextrun"/>
          <w:rFonts w:eastAsia="Times New Roman" w:cstheme="minorHAnsi"/>
          <w:lang w:eastAsia="en-GB"/>
        </w:rPr>
      </w:pPr>
      <w:r w:rsidRPr="000E55C1">
        <w:rPr>
          <w:rStyle w:val="normaltextrun"/>
          <w:rFonts w:eastAsia="Times New Roman" w:cstheme="minorHAnsi"/>
          <w:lang w:eastAsia="en-GB"/>
        </w:rPr>
        <w:t xml:space="preserve">The ‘sharing economy’ is an approach that aims to decrease the number of under-utilised ‘owned’ assets in an economy, by creating new business models that offer a service in its place </w:t>
      </w:r>
      <w:r w:rsidRPr="000E55C1">
        <w:rPr>
          <w:rStyle w:val="normaltextrun"/>
          <w:rFonts w:eastAsia="Times New Roman" w:cstheme="minorHAnsi"/>
          <w:lang w:eastAsia="en-GB"/>
        </w:rPr>
        <w:fldChar w:fldCharType="begin" w:fldLock="1"/>
      </w:r>
      <w:r w:rsidR="00090364" w:rsidRPr="000E55C1">
        <w:rPr>
          <w:rStyle w:val="normaltextrun"/>
          <w:rFonts w:eastAsia="Times New Roman" w:cstheme="minorHAnsi"/>
          <w:lang w:eastAsia="en-GB"/>
        </w:rPr>
        <w:instrText>ADDIN CSL_CITATION {"citationItems":[{"id":"ITEM-1","itemData":{"DOI":"10.1038/s41560-018-0172-6","ISSN":"20587546","abstract":"Scenarios that limit global warming to 1.5 °C describe major transformations in energy supply and ever-rising energy demand. Here, we provide a contrasting perspective by developing a narrative of future change based on observable trends that results in low energy demand. We describe and quantify changes in activity levels and energy intensity in the global North and global South for all major energy services. We project that global final energy demand by 2050 reduces to 245 EJ, around 40% lower than today, despite rises in population, income and activity. Using an integrated assessment modelling framework, we show how changes in the quantity and type of energy services drive structural change in intermediate and upstream supply sectors (energy and land use). Down-sizing the global energy system dramatically improves the feasibility of a low-carbon supply-side transformation. Our scenario meets the 1.5 °C climate target as well as many sustainable development goals, without relying on negative emission technologies.","author":[{"dropping-particle":"","family":"Grubler","given":"Arnulf","non-dropping-particle":"","parse-names":false,"suffix":""},{"dropping-particle":"","family":"Wilson","given":"Charlie","non-dropping-particle":"","parse-names":false,"suffix":""},{"dropping-particle":"","family":"Bento","given":"Nuno","non-dropping-particle":"","parse-names":false,"suffix":""},{"dropping-particle":"","family":"Boza-Kiss","given":"Benigna","non-dropping-particle":"","parse-names":false,"suffix":""},{"dropping-particle":"","family":"Krey","given":"Volker","non-dropping-particle":"","parse-names":false,"suffix":""},{"dropping-particle":"","family":"McCollum","given":"David L.","non-dropping-particle":"","parse-names":false,"suffix":""},{"dropping-particle":"","family":"Rao","given":"Narasimha D","non-dropping-particle":"","parse-names":false,"suffix":""},{"dropping-particle":"","family":"Riahi","given":"Keywan","non-dropping-particle":"","parse-names":false,"suffix":""},{"dropping-particle":"","family":"Rogelj","given":"Joeri","non-dropping-particle":"","parse-names":false,"suffix":""},{"dropping-particle":"","family":"Stercke","given":"Simon","non-dropping-particle":"De","parse-names":false,"suffix":""},{"dropping-particle":"","family":"Cullen","given":"Jonathan","non-dropping-particle":"","parse-names":false,"suffix":""},{"dropping-particle":"","family":"Frank","given":"Stefan","non-dropping-particle":"","parse-names":false,"suffix":""},{"dropping-particle":"","family":"Fricko","given":"Oliver","non-dropping-particle":"","parse-names":false,"suffix":""},{"dropping-particle":"","family":"Guo","given":"Fei","non-dropping-particle":"","parse-names":false,"suffix":""},{"dropping-particle":"","family":"Gidden","given":"Matt","non-dropping-particle":"","parse-names":false,"suffix":""},{"dropping-particle":"","family":"Havlík","given":"Petr","non-dropping-particle":"","parse-names":false,"suffix":""},{"dropping-particle":"","family":"Huppmann","given":"Daniel","non-dropping-particle":"","parse-names":false,"suffix":""},{"dropping-particle":"","family":"Kiesewetter","given":"Gregor","non-dropping-particle":"","parse-names":false,"suffix":""},{"dropping-particle":"","family":"Rafaj","given":"Peter","non-dropping-particle":"","parse-names":false,"suffix":""},{"dropping-particle":"","family":"Schoepp","given":"Wolfgang","non-dropping-particle":"","parse-names":false,"suffix":""},{"dropping-particle":"","family":"Valin","given":"Hugo","non-dropping-particle":"","parse-names":false,"suffix":""}],"container-title":"Nature Energy","id":"ITEM-1","issue":"6","issued":{"date-parts":[["2018"]]},"page":"515-527","title":"A low energy demand scenario for meeting the 1.5 °c target and sustainable development goals without negative emission technologies","type":"article-journal","volume":"3"},"uris":["http://www.mendeley.com/documents/?uuid=ba8beba8-5f39-4fe8-acdc-ab9ba5b51fbf"]}],"mendeley":{"formattedCitation":"&lt;sup&gt;5&lt;/sup&gt;","plainTextFormattedCitation":"5","previouslyFormattedCitation":"&lt;sup&gt;5&lt;/sup&gt;"},"properties":{"noteIndex":0},"schema":"https://github.com/citation-style-language/schema/raw/master/csl-citation.json"}</w:instrText>
      </w:r>
      <w:r w:rsidRPr="000E55C1">
        <w:rPr>
          <w:rStyle w:val="normaltextrun"/>
          <w:rFonts w:eastAsia="Times New Roman" w:cstheme="minorHAnsi"/>
          <w:vertAlign w:val="superscript"/>
          <w:lang w:eastAsia="en-GB"/>
        </w:rPr>
        <w:fldChar w:fldCharType="separate"/>
      </w:r>
      <w:r w:rsidR="00090364" w:rsidRPr="000E55C1">
        <w:rPr>
          <w:rStyle w:val="normaltextrun"/>
          <w:rFonts w:eastAsia="Times New Roman" w:cstheme="minorHAnsi"/>
          <w:noProof/>
          <w:vertAlign w:val="superscript"/>
          <w:lang w:eastAsia="en-GB"/>
        </w:rPr>
        <w:t>5</w:t>
      </w:r>
      <w:r w:rsidRPr="000E55C1">
        <w:rPr>
          <w:rStyle w:val="normaltextrun"/>
          <w:rFonts w:eastAsia="Times New Roman" w:cstheme="minorHAnsi"/>
          <w:lang w:eastAsia="en-GB"/>
        </w:rPr>
        <w:fldChar w:fldCharType="end"/>
      </w:r>
      <w:r w:rsidRPr="000E55C1">
        <w:rPr>
          <w:rStyle w:val="normaltextrun"/>
          <w:rFonts w:eastAsia="Times New Roman" w:cstheme="minorHAnsi"/>
          <w:lang w:eastAsia="en-GB"/>
        </w:rPr>
        <w:t xml:space="preserve">. Decreasing the overall demand for under-utilised products reduces the energy demanded for their production. A prominent example of the potential of the shared economy is in mobility. Shared vehicles such as car clubs or cycle hire offer the ability to rent vehicles as and when they are needed, replacing private ownership </w:t>
      </w:r>
      <w:r w:rsidRPr="000E55C1">
        <w:rPr>
          <w:rStyle w:val="normaltextrun"/>
          <w:rFonts w:eastAsia="Times New Roman" w:cstheme="minorHAnsi"/>
          <w:lang w:eastAsia="en-GB"/>
        </w:rPr>
        <w:fldChar w:fldCharType="begin" w:fldLock="1"/>
      </w:r>
      <w:r w:rsidR="00A14385" w:rsidRPr="000E55C1">
        <w:rPr>
          <w:rStyle w:val="normaltextrun"/>
          <w:rFonts w:eastAsia="Times New Roman" w:cstheme="minorHAnsi"/>
          <w:lang w:eastAsia="en-GB"/>
        </w:rPr>
        <w:instrText>ADDIN CSL_CITATION {"citationItems":[{"id":"ITEM-1","itemData":{"ISBN":"978-1-913299-01-9","abstract":"The Commission on Travel Demand is an expert group established as part of our work to explore how to reduce the energy and carbon emissions associated with transport. The Commission's first report reviewed declining trends in per capita travel across the UK and the reasons for this. The future work programme will focus on other areas of policy which are critical to rapid decarbonisation. This inquiry focuses on shared mobility and the potential to increase the occupancy of vehicles in-use, reduce individual ownership of assets and enhance multi-modal travel. We are using the term 'shared mobility' to mean: • Shared ownership: where the use of the vehicle asset is shared across individuals incorporating various models of commercially or peer-to-peer operated 'car club's'/ car sharing schemes, fractional car ownership, bike sharing schemes. • Shared at the point of use: Car/ride sharing (or trip sharing)-rides that are actually shared between different individuals or different parties, sometimes paid separately. In the future, this may include 'robot taxis' as shared mobility where the vehicle is shared across individuals. Reference This report should be referenced as: Marsden, G., Anable, J., Bray, J., Seagriff, E. and Spurling, N. 2019. Shared mobility: where now? where next? The second report of the Commission on Travel Demand. Centre for Reseach into Energy Demand Solutions. Oxford.","author":[{"dropping-particle":"","family":"Marsden","given":"Greg","non-dropping-particle":"","parse-names":false,"suffix":""},{"dropping-particle":"","family":"Anable","given":"Jillian","non-dropping-particle":"","parse-names":false,"suffix":""},{"dropping-particle":"","family":"Bray","given":"Jonathan","non-dropping-particle":"","parse-names":false,"suffix":""},{"dropping-particle":"","family":"Seagriff","given":"Elaine","non-dropping-particle":"","parse-names":false,"suffix":""},{"dropping-particle":"","family":"Spurling","given":"Nicola","non-dropping-particle":"","parse-names":false,"suffix":""}],"id":"ITEM-1","issued":{"date-parts":[["2019"]]},"number-of-pages":"1-40","publisher-place":"Leeds","title":"Shared mobility-where now, where next? Second report of the Commission on Travel Demand About the Commission on Travel Demand Shared Mobility Inquiry","type":"report"},"uris":["http://www.mendeley.com/documents/?uuid=22f5c70d-b7f4-4535-8bf3-d0bcc5187f87"]}],"mendeley":{"formattedCitation":"&lt;sup&gt;32&lt;/sup&gt;","plainTextFormattedCitation":"32","previouslyFormattedCitation":"&lt;sup&gt;32&lt;/sup&gt;"},"properties":{"noteIndex":0},"schema":"https://github.com/citation-style-language/schema/raw/master/csl-citation.json"}</w:instrText>
      </w:r>
      <w:r w:rsidRPr="000E55C1">
        <w:rPr>
          <w:rStyle w:val="normaltextrun"/>
          <w:rFonts w:eastAsia="Times New Roman" w:cstheme="minorHAnsi"/>
          <w:lang w:eastAsia="en-GB"/>
        </w:rPr>
        <w:fldChar w:fldCharType="separate"/>
      </w:r>
      <w:r w:rsidR="00A14385" w:rsidRPr="000E55C1">
        <w:rPr>
          <w:rStyle w:val="normaltextrun"/>
          <w:rFonts w:eastAsia="Times New Roman" w:cstheme="minorHAnsi"/>
          <w:noProof/>
          <w:vertAlign w:val="superscript"/>
          <w:lang w:eastAsia="en-GB"/>
        </w:rPr>
        <w:t>32</w:t>
      </w:r>
      <w:r w:rsidRPr="000E55C1">
        <w:rPr>
          <w:rStyle w:val="normaltextrun"/>
          <w:rFonts w:eastAsia="Times New Roman" w:cstheme="minorHAnsi"/>
          <w:lang w:eastAsia="en-GB"/>
        </w:rPr>
        <w:fldChar w:fldCharType="end"/>
      </w:r>
      <w:r w:rsidRPr="000E55C1">
        <w:rPr>
          <w:rStyle w:val="normaltextrun"/>
          <w:rFonts w:eastAsia="Times New Roman" w:cstheme="minorHAnsi"/>
          <w:lang w:eastAsia="en-GB"/>
        </w:rPr>
        <w:t xml:space="preserve">. For example, car clubs have been found to reduce the private ownership of vehicles by 10.5 cars for every car club car in use </w:t>
      </w:r>
      <w:r w:rsidRPr="000E55C1">
        <w:rPr>
          <w:rStyle w:val="normaltextrun"/>
          <w:rFonts w:eastAsia="Times New Roman" w:cstheme="minorHAnsi"/>
          <w:lang w:eastAsia="en-GB"/>
        </w:rPr>
        <w:fldChar w:fldCharType="begin" w:fldLock="1"/>
      </w:r>
      <w:r w:rsidR="00A14385" w:rsidRPr="000E55C1">
        <w:rPr>
          <w:rStyle w:val="normaltextrun"/>
          <w:rFonts w:eastAsia="Times New Roman" w:cstheme="minorHAnsi"/>
          <w:lang w:eastAsia="en-GB"/>
        </w:rPr>
        <w:instrText>ADDIN CSL_CITATION {"citationItems":[{"id":"ITEM-1","itemData":{"author":[{"dropping-particle":"","family":"Carplus","given":"","non-dropping-particle":"","parse-names":false,"suffix":""}],"id":"ITEM-1","issued":{"date-parts":[["2016"]]},"number-of-pages":"1-105","publisher-place":"Leeds","title":"Carplus Annual Survey of Car Clubs 2016/17","type":"report"},"uris":["http://www.mendeley.com/documents/?uuid=8e9da9f1-0bf8-40cc-8f7a-092e135ae362"]}],"mendeley":{"formattedCitation":"&lt;sup&gt;33&lt;/sup&gt;","plainTextFormattedCitation":"33","previouslyFormattedCitation":"&lt;sup&gt;33&lt;/sup&gt;"},"properties":{"noteIndex":0},"schema":"https://github.com/citation-style-language/schema/raw/master/csl-citation.json"}</w:instrText>
      </w:r>
      <w:r w:rsidRPr="000E55C1">
        <w:rPr>
          <w:rStyle w:val="normaltextrun"/>
          <w:rFonts w:eastAsia="Times New Roman" w:cstheme="minorHAnsi"/>
          <w:lang w:eastAsia="en-GB"/>
        </w:rPr>
        <w:fldChar w:fldCharType="separate"/>
      </w:r>
      <w:r w:rsidR="00A14385" w:rsidRPr="000E55C1">
        <w:rPr>
          <w:rStyle w:val="normaltextrun"/>
          <w:rFonts w:eastAsia="Times New Roman" w:cstheme="minorHAnsi"/>
          <w:noProof/>
          <w:vertAlign w:val="superscript"/>
          <w:lang w:eastAsia="en-GB"/>
        </w:rPr>
        <w:t>33</w:t>
      </w:r>
      <w:r w:rsidRPr="000E55C1">
        <w:rPr>
          <w:rStyle w:val="normaltextrun"/>
          <w:rFonts w:eastAsia="Times New Roman" w:cstheme="minorHAnsi"/>
          <w:lang w:eastAsia="en-GB"/>
        </w:rPr>
        <w:fldChar w:fldCharType="end"/>
      </w:r>
      <w:r w:rsidRPr="000E55C1">
        <w:rPr>
          <w:rStyle w:val="normaltextrun"/>
          <w:rFonts w:eastAsia="Times New Roman" w:cstheme="minorHAnsi"/>
          <w:lang w:eastAsia="en-GB"/>
        </w:rPr>
        <w:t xml:space="preserve">. A second strategy, shared trips, increases utilisation by filling empty seats with passengers who would otherwise have travelled alone (such as those facilitated by ride sharing websites such as </w:t>
      </w:r>
      <w:proofErr w:type="spellStart"/>
      <w:r w:rsidRPr="000E55C1">
        <w:rPr>
          <w:rStyle w:val="normaltextrun"/>
          <w:rFonts w:eastAsia="Times New Roman" w:cstheme="minorHAnsi"/>
          <w:lang w:eastAsia="en-GB"/>
        </w:rPr>
        <w:t>Liftshare</w:t>
      </w:r>
      <w:proofErr w:type="spellEnd"/>
      <w:r w:rsidRPr="000E55C1">
        <w:rPr>
          <w:rStyle w:val="normaltextrun"/>
          <w:rFonts w:eastAsia="Times New Roman" w:cstheme="minorHAnsi"/>
          <w:lang w:eastAsia="en-GB"/>
        </w:rPr>
        <w:t xml:space="preserve"> or </w:t>
      </w:r>
      <w:proofErr w:type="spellStart"/>
      <w:r w:rsidRPr="000E55C1">
        <w:rPr>
          <w:rStyle w:val="normaltextrun"/>
          <w:rFonts w:eastAsia="Times New Roman" w:cstheme="minorHAnsi"/>
          <w:lang w:eastAsia="en-GB"/>
        </w:rPr>
        <w:t>BlaBlaCar</w:t>
      </w:r>
      <w:proofErr w:type="spellEnd"/>
      <w:r w:rsidRPr="000E55C1">
        <w:rPr>
          <w:rStyle w:val="normaltextrun"/>
          <w:rFonts w:eastAsia="Times New Roman" w:cstheme="minorHAnsi"/>
          <w:lang w:eastAsia="en-GB"/>
        </w:rPr>
        <w:t xml:space="preserve">) </w:t>
      </w:r>
      <w:r w:rsidRPr="000E55C1">
        <w:rPr>
          <w:rStyle w:val="normaltextrun"/>
          <w:rFonts w:eastAsia="Times New Roman" w:cstheme="minorHAnsi"/>
          <w:lang w:eastAsia="en-GB"/>
        </w:rPr>
        <w:fldChar w:fldCharType="begin" w:fldLock="1"/>
      </w:r>
      <w:r w:rsidR="00A14385" w:rsidRPr="000E55C1">
        <w:rPr>
          <w:rStyle w:val="normaltextrun"/>
          <w:rFonts w:eastAsia="Times New Roman" w:cstheme="minorHAnsi"/>
          <w:lang w:eastAsia="en-GB"/>
        </w:rPr>
        <w:instrText>ADDIN CSL_CITATION {"citationItems":[{"id":"ITEM-1","itemData":{"ISBN":"978-1-913299-01-9","abstract":"The Commission on Travel Demand is an expert group established as part of our work to explore how to reduce the energy and carbon emissions associated with transport. The Commission's first report reviewed declining trends in per capita travel across the UK and the reasons for this. The future work programme will focus on other areas of policy which are critical to rapid decarbonisation. This inquiry focuses on shared mobility and the potential to increase the occupancy of vehicles in-use, reduce individual ownership of assets and enhance multi-modal travel. We are using the term 'shared mobility' to mean: • Shared ownership: where the use of the vehicle asset is shared across individuals incorporating various models of commercially or peer-to-peer operated 'car club's'/ car sharing schemes, fractional car ownership, bike sharing schemes. • Shared at the point of use: Car/ride sharing (or trip sharing)-rides that are actually shared between different individuals or different parties, sometimes paid separately. In the future, this may include 'robot taxis' as shared mobility where the vehicle is shared across individuals. Reference This report should be referenced as: Marsden, G., Anable, J., Bray, J., Seagriff, E. and Spurling, N. 2019. Shared mobility: where now? where next? The second report of the Commission on Travel Demand. Centre for Reseach into Energy Demand Solutions. Oxford.","author":[{"dropping-particle":"","family":"Marsden","given":"Greg","non-dropping-particle":"","parse-names":false,"suffix":""},{"dropping-particle":"","family":"Anable","given":"Jillian","non-dropping-particle":"","parse-names":false,"suffix":""},{"dropping-particle":"","family":"Bray","given":"Jonathan","non-dropping-particle":"","parse-names":false,"suffix":""},{"dropping-particle":"","family":"Seagriff","given":"Elaine","non-dropping-particle":"","parse-names":false,"suffix":""},{"dropping-particle":"","family":"Spurling","given":"Nicola","non-dropping-particle":"","parse-names":false,"suffix":""}],"id":"ITEM-1","issued":{"date-parts":[["2019"]]},"number-of-pages":"1-40","publisher-place":"Leeds","title":"Shared mobility-where now, where next? Second report of the Commission on Travel Demand About the Commission on Travel Demand Shared Mobility Inquiry","type":"report"},"uris":["http://www.mendeley.com/documents/?uuid=22f5c70d-b7f4-4535-8bf3-d0bcc5187f87"]}],"mendeley":{"formattedCitation":"&lt;sup&gt;32&lt;/sup&gt;","plainTextFormattedCitation":"32","previouslyFormattedCitation":"&lt;sup&gt;32&lt;/sup&gt;"},"properties":{"noteIndex":0},"schema":"https://github.com/citation-style-language/schema/raw/master/csl-citation.json"}</w:instrText>
      </w:r>
      <w:r w:rsidRPr="000E55C1">
        <w:rPr>
          <w:rStyle w:val="normaltextrun"/>
          <w:rFonts w:eastAsia="Times New Roman" w:cstheme="minorHAnsi"/>
          <w:lang w:eastAsia="en-GB"/>
        </w:rPr>
        <w:fldChar w:fldCharType="separate"/>
      </w:r>
      <w:r w:rsidR="00A14385" w:rsidRPr="000E55C1">
        <w:rPr>
          <w:rStyle w:val="normaltextrun"/>
          <w:rFonts w:eastAsia="Times New Roman" w:cstheme="minorHAnsi"/>
          <w:noProof/>
          <w:vertAlign w:val="superscript"/>
          <w:lang w:eastAsia="en-GB"/>
        </w:rPr>
        <w:t>32</w:t>
      </w:r>
      <w:r w:rsidRPr="000E55C1">
        <w:rPr>
          <w:rStyle w:val="normaltextrun"/>
          <w:rFonts w:eastAsia="Times New Roman" w:cstheme="minorHAnsi"/>
          <w:lang w:eastAsia="en-GB"/>
        </w:rPr>
        <w:fldChar w:fldCharType="end"/>
      </w:r>
      <w:r w:rsidRPr="000E55C1">
        <w:rPr>
          <w:rStyle w:val="normaltextrun"/>
          <w:rFonts w:eastAsia="Times New Roman" w:cstheme="minorHAnsi"/>
          <w:lang w:eastAsia="en-GB"/>
        </w:rPr>
        <w:t xml:space="preserve">. Sharing or use-based strategies that increase utilisation can be applied to other areas such as use of office buildings or shared use of consumer goods </w:t>
      </w:r>
      <w:r w:rsidRPr="000E55C1">
        <w:rPr>
          <w:rStyle w:val="normaltextrun"/>
          <w:rFonts w:eastAsia="Times New Roman" w:cstheme="minorHAnsi"/>
          <w:lang w:eastAsia="en-GB"/>
        </w:rPr>
        <w:fldChar w:fldCharType="begin" w:fldLock="1"/>
      </w:r>
      <w:r w:rsidR="00090364" w:rsidRPr="000E55C1">
        <w:rPr>
          <w:rStyle w:val="normaltextrun"/>
          <w:rFonts w:eastAsia="Times New Roman" w:cstheme="minorHAnsi"/>
          <w:lang w:eastAsia="en-GB"/>
        </w:rPr>
        <w:instrText>ADDIN CSL_CITATION {"citationItems":[{"id":"ITEM-1","itemData":{"DOI":"10.1038/s41560-018-0172-6","ISSN":"20587546","abstract":"Scenarios that limit global warming to 1.5 °C describe major transformations in energy supply and ever-rising energy demand. Here, we provide a contrasting perspective by developing a narrative of future change based on observable trends that results in low energy demand. We describe and quantify changes in activity levels and energy intensity in the global North and global South for all major energy services. We project that global final energy demand by 2050 reduces to 245 EJ, around 40% lower than today, despite rises in population, income and activity. Using an integrated assessment modelling framework, we show how changes in the quantity and type of energy services drive structural change in intermediate and upstream supply sectors (energy and land use). Down-sizing the global energy system dramatically improves the feasibility of a low-carbon supply-side transformation. Our scenario meets the 1.5 °C climate target as well as many sustainable development goals, without relying on negative emission technologies.","author":[{"dropping-particle":"","family":"Grubler","given":"Arnulf","non-dropping-particle":"","parse-names":false,"suffix":""},{"dropping-particle":"","family":"Wilson","given":"Charlie","non-dropping-particle":"","parse-names":false,"suffix":""},{"dropping-particle":"","family":"Bento","given":"Nuno","non-dropping-particle":"","parse-names":false,"suffix":""},{"dropping-particle":"","family":"Boza-Kiss","given":"Benigna","non-dropping-particle":"","parse-names":false,"suffix":""},{"dropping-particle":"","family":"Krey","given":"Volker","non-dropping-particle":"","parse-names":false,"suffix":""},{"dropping-particle":"","family":"McCollum","given":"David L.","non-dropping-particle":"","parse-names":false,"suffix":""},{"dropping-particle":"","family":"Rao","given":"Narasimha D","non-dropping-particle":"","parse-names":false,"suffix":""},{"dropping-particle":"","family":"Riahi","given":"Keywan","non-dropping-particle":"","parse-names":false,"suffix":""},{"dropping-particle":"","family":"Rogelj","given":"Joeri","non-dropping-particle":"","parse-names":false,"suffix":""},{"dropping-particle":"","family":"Stercke","given":"Simon","non-dropping-particle":"De","parse-names":false,"suffix":""},{"dropping-particle":"","family":"Cullen","given":"Jonathan","non-dropping-particle":"","parse-names":false,"suffix":""},{"dropping-particle":"","family":"Frank","given":"Stefan","non-dropping-particle":"","parse-names":false,"suffix":""},{"dropping-particle":"","family":"Fricko","given":"Oliver","non-dropping-particle":"","parse-names":false,"suffix":""},{"dropping-particle":"","family":"Guo","given":"Fei","non-dropping-particle":"","parse-names":false,"suffix":""},{"dropping-particle":"","family":"Gidden","given":"Matt","non-dropping-particle":"","parse-names":false,"suffix":""},{"dropping-particle":"","family":"Havlík","given":"Petr","non-dropping-particle":"","parse-names":false,"suffix":""},{"dropping-particle":"","family":"Huppmann","given":"Daniel","non-dropping-particle":"","parse-names":false,"suffix":""},{"dropping-particle":"","family":"Kiesewetter","given":"Gregor","non-dropping-particle":"","parse-names":false,"suffix":""},{"dropping-particle":"","family":"Rafaj","given":"Peter","non-dropping-particle":"","parse-names":false,"suffix":""},{"dropping-particle":"","family":"Schoepp","given":"Wolfgang","non-dropping-particle":"","parse-names":false,"suffix":""},{"dropping-particle":"","family":"Valin","given":"Hugo","non-dropping-particle":"","parse-names":false,"suffix":""}],"container-title":"Nature Energy","id":"ITEM-1","issue":"6","issued":{"date-parts":[["2018"]]},"page":"515-527","title":"A low energy demand scenario for meeting the 1.5 °c target and sustainable development goals without negative emission technologies","type":"article-journal","volume":"3"},"uris":["http://www.mendeley.com/documents/?uuid=ba8beba8-5f39-4fe8-acdc-ab9ba5b51fbf"]}],"mendeley":{"formattedCitation":"&lt;sup&gt;5&lt;/sup&gt;","plainTextFormattedCitation":"5","previouslyFormattedCitation":"&lt;sup&gt;5&lt;/sup&gt;"},"properties":{"noteIndex":0},"schema":"https://github.com/citation-style-language/schema/raw/master/csl-citation.json"}</w:instrText>
      </w:r>
      <w:r w:rsidRPr="000E55C1">
        <w:rPr>
          <w:rStyle w:val="normaltextrun"/>
          <w:rFonts w:eastAsia="Times New Roman" w:cstheme="minorHAnsi"/>
          <w:lang w:eastAsia="en-GB"/>
        </w:rPr>
        <w:fldChar w:fldCharType="separate"/>
      </w:r>
      <w:r w:rsidR="00090364" w:rsidRPr="000E55C1">
        <w:rPr>
          <w:rStyle w:val="normaltextrun"/>
          <w:rFonts w:eastAsia="Times New Roman" w:cstheme="minorHAnsi"/>
          <w:noProof/>
          <w:vertAlign w:val="superscript"/>
          <w:lang w:eastAsia="en-GB"/>
        </w:rPr>
        <w:t>5</w:t>
      </w:r>
      <w:r w:rsidRPr="000E55C1">
        <w:rPr>
          <w:rStyle w:val="normaltextrun"/>
          <w:rFonts w:eastAsia="Times New Roman" w:cstheme="minorHAnsi"/>
          <w:lang w:eastAsia="en-GB"/>
        </w:rPr>
        <w:fldChar w:fldCharType="end"/>
      </w:r>
      <w:r w:rsidRPr="000E55C1">
        <w:rPr>
          <w:rStyle w:val="normaltextrun"/>
          <w:rFonts w:eastAsia="Times New Roman" w:cstheme="minorHAnsi"/>
          <w:lang w:eastAsia="en-GB"/>
        </w:rPr>
        <w:t xml:space="preserve">. Mobility sharing platforms, office sharing &amp; hot-desking and shared consumer electronics and appliances are all areas where shared economy approaches are applied in the LED scenarios developed in this study. It is worth nothing that in some sectors, there are trends towards less sharing, for example increased life expectancy and divorce rates have resulted in lower building occupancy, increasing heating and appliance use per person. </w:t>
      </w:r>
    </w:p>
    <w:p w14:paraId="565CB2D6" w14:textId="6DFFD6E3" w:rsidR="009627EA" w:rsidRPr="000E55C1" w:rsidRDefault="009627EA" w:rsidP="009627EA">
      <w:pPr>
        <w:rPr>
          <w:rStyle w:val="normaltextrun"/>
          <w:rFonts w:eastAsia="Times New Roman" w:cstheme="minorHAnsi"/>
          <w:noProof/>
          <w:lang w:eastAsia="en-GB"/>
        </w:rPr>
      </w:pPr>
      <w:r w:rsidRPr="000E55C1">
        <w:rPr>
          <w:rStyle w:val="normaltextrun"/>
          <w:rFonts w:eastAsia="Times New Roman" w:cstheme="minorHAnsi"/>
          <w:lang w:eastAsia="en-GB"/>
        </w:rPr>
        <w:t xml:space="preserve">The sharing economy is closely linked to the concept of “circular economy”. Circular economy is a concept that explores resource efficiency strategies to extend the time that resources are retained in the economy, to reduce material throughput and environmental impacts </w:t>
      </w:r>
      <w:r w:rsidRPr="000E55C1">
        <w:rPr>
          <w:rStyle w:val="normaltextrun"/>
          <w:rFonts w:eastAsia="Times New Roman" w:cstheme="minorHAnsi"/>
          <w:lang w:eastAsia="en-GB"/>
        </w:rPr>
        <w:fldChar w:fldCharType="begin" w:fldLock="1"/>
      </w:r>
      <w:r w:rsidR="00A14385" w:rsidRPr="000E55C1">
        <w:rPr>
          <w:rStyle w:val="normaltextrun"/>
          <w:rFonts w:eastAsia="Times New Roman" w:cstheme="minorHAnsi"/>
          <w:lang w:eastAsia="en-GB"/>
        </w:rPr>
        <w:instrText>ADDIN CSL_CITATION {"citationItems":[{"id":"ITEM-1","itemData":{"DOI":"10.1016/j.jclepro.2017.06.169","ISSN":"09596526","abstract":"This study analyses the effect on energy use of applying a wide range of circular economy approaches. By collating evidence on specific quantifiable approaches and then calculating and analyzing their combined full supply chain impacts through input-output analysis, it provides a more complete assessment of the overall potential scope for energy savings that these approaches might deliver than provided elsewhere. Assessment is conducted globally, across the EU-27 and in the UK. Overall, the identified opportunities have the potential to save 6%–11% of the energy used to support economic activity, worldwide and in the EU, and 5%–8% in the UK. Their potential is equivalent to the total scope for other industrial energy efficiency savings. The potential savings are further divided into those due to sets of approaches relating to food waste, steel production, other materials production, product refurbishment, vehicle provision, construction and other equipment manufacture. Each of these sets of approaches can make a key contribution to the total savings that are possible. Complementary use of energy and exergy metrics illustrates the way in which energy use might change and for the first time provides indication that in most cases other energy efficiency measures are unlikely to be adversely affected by the circular economy approaches. Potential for savings in the energy embodied in each key product input to each major sector is assessed, enabling prioritization of the areas in which the circular economy approaches have the greatest scope for impact and identification of supply chains for which they are underrepresented.","author":[{"dropping-particle":"","family":"Cooper","given":"Samuel J.G.","non-dropping-particle":"","parse-names":false,"suffix":""},{"dropping-particle":"","family":"Giesekam","given":"Jannik","non-dropping-particle":"","parse-names":false,"suffix":""},{"dropping-particle":"","family":"Hammond","given":"Geoffrey P.","non-dropping-particle":"","parse-names":false,"suffix":""},{"dropping-particle":"","family":"Norman","given":"Jonathan B.","non-dropping-particle":"","parse-names":false,"suffix":""},{"dropping-particle":"","family":"Owen","given":"Anne","non-dropping-particle":"","parse-names":false,"suffix":""},{"dropping-particle":"","family":"Rogers","given":"John G.","non-dropping-particle":"","parse-names":false,"suffix":""},{"dropping-particle":"","family":"Scott","given":"Kate","non-dropping-particle":"","parse-names":false,"suffix":""}],"container-title":"Journal of Cleaner Production","id":"ITEM-1","issued":{"date-parts":[["2017","9","20"]]},"page":"1356-1367","publisher":"Elsevier Ltd","title":"Thermodynamic insights and assessment of the ‘circular economy'","type":"article-journal","volume":"162"},"uris":["http://www.mendeley.com/documents/?uuid=321a07df-f86f-3278-baf7-6bd56df304e6"]},{"id":"ITEM-2","itemData":{"DOI":"10.1016/b978-0-12-817880-5.00019-0","abstract":"Plastic is a commodity that supports our modern lifestyles. Its remarkable range of properties (e.g., durability, lightweight, good barrier properties) combined with the ease of processing make plastic a sustainable alternative over other materials (e.g., glass, metals, and paper), of which production, use, and management can be more resource intensive. Owing to these attributes, plastics are considered to have an important role to play in promoting sustainability as part of a circular economy (CE). CE is a concept that seeks to promote a sustainable way of living, where resources are used more efficiently and are retained in the economy for as long as possible. The latter can be achieved by creating loops that feed resources back into the system for use in same or new components and products with the same or lower functionality. Paradoxically, plastics present also one of the biggest challenges to achieving a CE. This is because, in spite of their great potential to promote resource efficiency upstream, i.e., at the production stage, a vast amount of the plastic that becomes waste escapes into the environment and/or is largely mismanaged at the consumption and management stage. This highlights the urgent need for scrutiny in the way plastics are designed, produced, used, and managed, to better understand how to improve their ability to circulate back into the system, recovering maximum value from them. In this chapter, we present a framework for plastic waste management placing emphasis on their circularity potential via existing processes. Given the rapid emergence of bioplastics in the plastic industry, it would be an omission not to discuss their opportunities and implications in promoting circularity. Consideration of all aspects in the plastic and plastic waste system and of the processes that go beyond end-of-pipe solutions highlights that sustainable management necessitates a combination of an integrated solid waste management strategy with a renewed focus on designing out plastic waste.","author":[{"dropping-particle":"","family":"Hahladakis","given":"John N.","non-dropping-particle":"","parse-names":false,"suffix":""},{"dropping-particle":"","family":"Iacovidou","given":"Eleni","non-dropping-particle":"","parse-names":false,"suffix":""},{"dropping-particle":"","family":"Gerassimidou","given":"Spyridoula","non-dropping-particle":"","parse-names":false,"suffix":""}],"container-title":"Plastic Waste and Recycling","id":"ITEM-2","issued":{"date-parts":[["2020","1","1"]]},"page":"481-512","publisher":"Elsevier","title":"Plastic waste in a circular economy","type":"chapter"},"uris":["http://www.mendeley.com/documents/?uuid=eb59aba4-0e4c-3b6d-9f02-5e9c160ee50f"]},{"id":"ITEM-3","itemData":{"DOI":"10.1111/jiec.12831","ISSN":"15309290","abstract":"Projections of UK greenhouse gas emissions estimate a shortfall in existing and planned climate policies meeting UK climate targets: the UK's mitigation gap. Material and product demand is driving industrial greenhouse gas emissions at a rate greater than carbon intensity improvements in the economy. Evidence shows that products can be produced with fewer carbon intensive inputs and demand for new products can be reduced. The economy-wide contribution of material productivity and lifestyle changes to bridging the UK's mitigation gap is understudied. We integrate an input-output framework with econometric analysis and case study evidence to analyse the potential of material productivity to help the UK bridge its anticipated emissions deficits, and the additional effort required to achieve transformative change aligned with 2 and 1.5°C temperature targets. We estimate that the emissions savings from material productivity measures are comparable to those from the Government's planned climate policy package. These additional measures could reduce the UK's anticipated emissions deficit up to 73%. The results demonstrate that material productivity deserves greater consideration in climate policy.","author":[{"dropping-particle":"","family":"Scott","given":"Kate","non-dropping-particle":"","parse-names":false,"suffix":""},{"dropping-particle":"","family":"Giesekam","given":"Jannik","non-dropping-particle":"","parse-names":false,"suffix":""},{"dropping-particle":"","family":"Barrett","given":"John","non-dropping-particle":"","parse-names":false,"suffix":""},{"dropping-particle":"","family":"Owen","given":"Anne","non-dropping-particle":"","parse-names":false,"suffix":""}],"container-title":"Journal of Industrial Ecology","id":"ITEM-3","issue":"4","issued":{"date-parts":[["2019","8","5"]]},"page":"918-931","publisher":"Blackwell Publishing","title":"Bridging the climate mitigation gap with economy-wide material productivity","type":"article-journal","volume":"23"},"uris":["http://www.mendeley.com/documents/?uuid=cfb06ad3-2422-3c5d-bdf5-4410920399d7"]}],"mendeley":{"formattedCitation":"&lt;sup&gt;26,34,35&lt;/sup&gt;","plainTextFormattedCitation":"26,34,35","previouslyFormattedCitation":"&lt;sup&gt;26,34,35&lt;/sup&gt;"},"properties":{"noteIndex":0},"schema":"https://github.com/citation-style-language/schema/raw/master/csl-citation.json"}</w:instrText>
      </w:r>
      <w:r w:rsidRPr="000E55C1">
        <w:rPr>
          <w:rStyle w:val="normaltextrun"/>
          <w:rFonts w:eastAsia="Times New Roman" w:cstheme="minorHAnsi"/>
          <w:vertAlign w:val="superscript"/>
          <w:lang w:eastAsia="en-GB"/>
        </w:rPr>
        <w:fldChar w:fldCharType="separate"/>
      </w:r>
      <w:r w:rsidR="00A14385" w:rsidRPr="000E55C1">
        <w:rPr>
          <w:rStyle w:val="normaltextrun"/>
          <w:rFonts w:eastAsia="Times New Roman" w:cstheme="minorHAnsi"/>
          <w:noProof/>
          <w:vertAlign w:val="superscript"/>
          <w:lang w:eastAsia="en-GB"/>
        </w:rPr>
        <w:t>26,34,35</w:t>
      </w:r>
      <w:r w:rsidRPr="000E55C1">
        <w:rPr>
          <w:rStyle w:val="normaltextrun"/>
          <w:rFonts w:eastAsia="Times New Roman" w:cstheme="minorHAnsi"/>
          <w:lang w:eastAsia="en-GB"/>
        </w:rPr>
        <w:fldChar w:fldCharType="end"/>
      </w:r>
      <w:r w:rsidRPr="000E55C1">
        <w:rPr>
          <w:rStyle w:val="normaltextrun"/>
          <w:rFonts w:eastAsia="Times New Roman" w:cstheme="minorHAnsi"/>
          <w:lang w:eastAsia="en-GB"/>
        </w:rPr>
        <w:t xml:space="preserve">. The term has become popular in policy discourses, with the European Commission and UK Government exploring legislation that promote circular economy strategies </w:t>
      </w:r>
      <w:r w:rsidRPr="000E55C1">
        <w:rPr>
          <w:rStyle w:val="normaltextrun"/>
          <w:rFonts w:eastAsia="Times New Roman" w:cstheme="minorHAnsi"/>
          <w:lang w:eastAsia="en-GB"/>
        </w:rPr>
        <w:fldChar w:fldCharType="begin" w:fldLock="1"/>
      </w:r>
      <w:r w:rsidR="00A14385" w:rsidRPr="000E55C1">
        <w:rPr>
          <w:rStyle w:val="normaltextrun"/>
          <w:rFonts w:eastAsia="Times New Roman" w:cstheme="minorHAnsi"/>
          <w:lang w:eastAsia="en-GB"/>
        </w:rPr>
        <w:instrText>ADDIN CSL_CITATION {"citationItems":[{"id":"ITEM-1","itemData":{"author":[{"dropping-particle":"","family":"DEFRA","given":"","non-dropping-particle":"","parse-names":false,"suffix":""}],"id":"ITEM-1","issued":{"date-parts":[["2013"]]},"publisher-place":"London","title":"Prevention is better than cure The role of waste prevention in moving to a more resource efficient economy","type":"report"},"uris":["http://www.mendeley.com/documents/?uuid=6b6ed795-625d-4ba7-a58c-6dd8fd6a90b1"]},{"id":"ITEM-2","itemData":{"author":[{"dropping-particle":"","family":"European Commission","given":"","non-dropping-particle":"","parse-names":false,"suffix":""}],"container-title":"Communication to the European Parliament","id":"ITEM-2","issued":{"date-parts":[["2015"]]},"publisher-place":"Brussels, Belgium","title":"Closing the Loop - an EU action plan for the circular economy","type":"article"},"uris":["http://www.mendeley.com/documents/?uuid=bba48d81-b68a-4bdd-9049-48750596b6be"]}],"mendeley":{"formattedCitation":"&lt;sup&gt;36,37&lt;/sup&gt;","plainTextFormattedCitation":"36,37","previouslyFormattedCitation":"&lt;sup&gt;36,37&lt;/sup&gt;"},"properties":{"noteIndex":0},"schema":"https://github.com/citation-style-language/schema/raw/master/csl-citation.json"}</w:instrText>
      </w:r>
      <w:r w:rsidRPr="000E55C1">
        <w:rPr>
          <w:rStyle w:val="normaltextrun"/>
          <w:rFonts w:eastAsia="Times New Roman" w:cstheme="minorHAnsi"/>
          <w:lang w:eastAsia="en-GB"/>
        </w:rPr>
        <w:fldChar w:fldCharType="separate"/>
      </w:r>
      <w:r w:rsidR="00A14385" w:rsidRPr="000E55C1">
        <w:rPr>
          <w:rStyle w:val="normaltextrun"/>
          <w:rFonts w:eastAsia="Times New Roman" w:cstheme="minorHAnsi"/>
          <w:noProof/>
          <w:vertAlign w:val="superscript"/>
          <w:lang w:eastAsia="en-GB"/>
        </w:rPr>
        <w:t>36,37</w:t>
      </w:r>
      <w:r w:rsidRPr="000E55C1">
        <w:rPr>
          <w:rStyle w:val="normaltextrun"/>
          <w:rFonts w:eastAsia="Times New Roman" w:cstheme="minorHAnsi"/>
          <w:lang w:eastAsia="en-GB"/>
        </w:rPr>
        <w:fldChar w:fldCharType="end"/>
      </w:r>
      <w:r w:rsidRPr="000E55C1">
        <w:rPr>
          <w:rStyle w:val="normaltextrun"/>
          <w:rFonts w:eastAsia="Times New Roman" w:cstheme="minorHAnsi"/>
          <w:lang w:eastAsia="en-GB"/>
        </w:rPr>
        <w:t xml:space="preserve">. Circular economy approaches aim to reduce the flows of </w:t>
      </w:r>
      <w:r w:rsidRPr="000E55C1">
        <w:rPr>
          <w:rStyle w:val="normaltextrun"/>
          <w:rFonts w:eastAsia="Times New Roman" w:cstheme="minorHAnsi"/>
          <w:lang w:eastAsia="en-GB"/>
        </w:rPr>
        <w:lastRenderedPageBreak/>
        <w:t>virgin material entering the system. These include a broad scope of strategies including: eco-design and production (ensuring waste materials can be recovered throughout the lifecycle), circular consumption (repairing and reuse aimed at increasing the use life of products), and developing new business models that increase the utilisation of products</w:t>
      </w:r>
      <w:r w:rsidR="00660864" w:rsidRPr="000E55C1">
        <w:rPr>
          <w:rStyle w:val="normaltextrun"/>
          <w:rFonts w:eastAsia="Times New Roman" w:cstheme="minorHAnsi"/>
          <w:lang w:eastAsia="en-GB"/>
        </w:rPr>
        <w:fldChar w:fldCharType="begin" w:fldLock="1"/>
      </w:r>
      <w:r w:rsidR="00660864" w:rsidRPr="000E55C1">
        <w:rPr>
          <w:rStyle w:val="normaltextrun"/>
          <w:rFonts w:eastAsia="Times New Roman" w:cstheme="minorHAnsi"/>
          <w:lang w:eastAsia="en-GB"/>
        </w:rPr>
        <w:instrText>ADDIN CSL_CITATION {"citationItems":[{"id":"ITEM-1","itemData":{"DOI":"10.1016/J.JCLEPRO.2017.06.169","ISSN":"0959-6526","abstract":"This study analyses the effect on energy use of applying a wide range of circular economy approaches. By collating evidence on specific quantifiable approaches and then calculating and analyzing their combined full supply chain impacts through input-output analysis, it provides a more complete assessment of the overall potential scope for energy savings that these approaches might deliver than provided elsewhere. Assessment is conducted globally, across the EU-27 and in the UK. Overall, the identified opportunities have the potential to save 6%–11% of the energy used to support economic activity, worldwide and in the EU, and 5%–8% in the UK. Their potential is equivalent to the total scope for other industrial energy efficiency savings. The potential savings are further divided into those due to sets of approaches relating to food waste, steel production, other materials production, product refurbishment, vehicle provision, construction and other equipment manufacture. Each of these sets of approaches can make a key contribution to the total savings that are possible. Complementary use of energy and exergy metrics illustrates the way in which energy use might change and for the first time provides indication that in most cases other energy efficiency measures are unlikely to be adversely affected by the circular economy approaches. Potential for savings in the energy embodied in each key product input to each major sector is assessed, enabling prioritization of the areas in which the circular economy approaches have the greatest scope for impact and identification of supply chains for which they are underrepresented.","author":[{"dropping-particle":"","family":"Cooper","given":"Samuel J.G.","non-dropping-particle":"","parse-names":false,"suffix":""},{"dropping-particle":"","family":"Giesekam","given":"Jannik","non-dropping-particle":"","parse-names":false,"suffix":""},{"dropping-particle":"","family":"Hammond","given":"Geoffrey P.","non-dropping-particle":"","parse-names":false,"suffix":""},{"dropping-particle":"","family":"Norman","given":"Jonathan B.","non-dropping-particle":"","parse-names":false,"suffix":""},{"dropping-particle":"","family":"Owen","given":"Anne","non-dropping-particle":"","parse-names":false,"suffix":""},{"dropping-particle":"","family":"Rogers","given":"John G.","non-dropping-particle":"","parse-names":false,"suffix":""},{"dropping-particle":"","family":"Scott","given":"Kate","non-dropping-particle":"","parse-names":false,"suffix":""}],"container-title":"Journal of Cleaner Production","id":"ITEM-1","issued":{"date-parts":[["2017","9","20"]]},"page":"1356-1367","publisher":"Elsevier","title":"Thermodynamic insights and assessment of the ‘circular economy’","type":"article-journal","volume":"162"},"uris":["http://www.mendeley.com/documents/?uuid=883db87b-b3a0-363b-a62d-2d41c41e7a2c"]},{"id":"ITEM-2","itemData":{"DOI":"10.1038/s41560-018-0172-6","ISSN":"20587546","abstract":"Scenarios that limit global warming to 1.5 °C describe major transformations in energy supply and ever-rising energy demand. Here, we provide a contrasting perspective by developing a narrative of future change based on observable trends that results in low energy demand. We describe and quantify changes in activity levels and energy intensity in the global North and global South for all major energy services. We project that global final energy demand by 2050 reduces to 245 EJ, around 40% lower than today, despite rises in population, income and activity. Using an integrated assessment modelling framework, we show how changes in the quantity and type of energy services drive structural change in intermediate and upstream supply sectors (energy and land use). Down-sizing the global energy system dramatically improves the feasibility of a low-carbon supply-side transformation. Our scenario meets the 1.5 °C climate target as well as many sustainable development goals, without relying on negative emission technologies.","author":[{"dropping-particle":"","family":"Grubler","given":"Arnulf","non-dropping-particle":"","parse-names":false,"suffix":""},{"dropping-particle":"","family":"Wilson","given":"Charlie","non-dropping-particle":"","parse-names":false,"suffix":""},{"dropping-particle":"","family":"Bento","given":"Nuno","non-dropping-particle":"","parse-names":false,"suffix":""},{"dropping-particle":"","family":"Boza-Kiss","given":"Benigna","non-dropping-particle":"","parse-names":false,"suffix":""},{"dropping-particle":"","family":"Krey","given":"Volker","non-dropping-particle":"","parse-names":false,"suffix":""},{"dropping-particle":"","family":"McCollum","given":"David L.","non-dropping-particle":"","parse-names":false,"suffix":""},{"dropping-particle":"","family":"Rao","given":"Narasimha D","non-dropping-particle":"","parse-names":false,"suffix":""},{"dropping-particle":"","family":"Riahi","given":"Keywan","non-dropping-particle":"","parse-names":false,"suffix":""},{"dropping-particle":"","family":"Rogelj","given":"Joeri","non-dropping-particle":"","parse-names":false,"suffix":""},{"dropping-particle":"","family":"Stercke","given":"Simon","non-dropping-particle":"De","parse-names":false,"suffix":""},{"dropping-particle":"","family":"Cullen","given":"Jonathan","non-dropping-particle":"","parse-names":false,"suffix":""},{"dropping-particle":"","family":"Frank","given":"Stefan","non-dropping-particle":"","parse-names":false,"suffix":""},{"dropping-particle":"","family":"Fricko","given":"Oliver","non-dropping-particle":"","parse-names":false,"suffix":""},{"dropping-particle":"","family":"Guo","given":"Fei","non-dropping-particle":"","parse-names":false,"suffix":""},{"dropping-particle":"","family":"Gidden","given":"Matt","non-dropping-particle":"","parse-names":false,"suffix":""},{"dropping-particle":"","family":"Havlík","given":"Petr","non-dropping-particle":"","parse-names":false,"suffix":""},{"dropping-particle":"","family":"Huppmann","given":"Daniel","non-dropping-particle":"","parse-names":false,"suffix":""},{"dropping-particle":"","family":"Kiesewetter","given":"Gregor","non-dropping-particle":"","parse-names":false,"suffix":""},{"dropping-particle":"","family":"Rafaj","given":"Peter","non-dropping-particle":"","parse-names":false,"suffix":""},{"dropping-particle":"","family":"Schoepp","given":"Wolfgang","non-dropping-particle":"","parse-names":false,"suffix":""},{"dropping-particle":"","family":"Valin","given":"Hugo","non-dropping-particle":"","parse-names":false,"suffix":""}],"container-title":"Nature Energy","id":"ITEM-2","issue":"6","issued":{"date-parts":[["2018"]]},"page":"515-527","title":"A low energy demand scenario for meeting the 1.5 °c target and sustainable development goals without negative emission technologies","type":"article-journal","volume":"3"},"uris":["http://www.mendeley.com/documents/?uuid=ba8beba8-5f39-4fe8-acdc-ab9ba5b51fbf"]}],"mendeley":{"formattedCitation":"&lt;sup&gt;5,38&lt;/sup&gt;","plainTextFormattedCitation":"5,38","previouslyFormattedCitation":"&lt;sup&gt;5,38&lt;/sup&gt;"},"properties":{"noteIndex":0},"schema":"https://github.com/citation-style-language/schema/raw/master/csl-citation.json"}</w:instrText>
      </w:r>
      <w:r w:rsidR="00660864" w:rsidRPr="000E55C1">
        <w:rPr>
          <w:rStyle w:val="normaltextrun"/>
          <w:rFonts w:eastAsia="Times New Roman" w:cstheme="minorHAnsi"/>
          <w:lang w:eastAsia="en-GB"/>
        </w:rPr>
        <w:fldChar w:fldCharType="separate"/>
      </w:r>
      <w:r w:rsidR="00660864" w:rsidRPr="000E55C1">
        <w:rPr>
          <w:rStyle w:val="normaltextrun"/>
          <w:rFonts w:eastAsia="Times New Roman" w:cstheme="minorHAnsi"/>
          <w:noProof/>
          <w:vertAlign w:val="superscript"/>
          <w:lang w:eastAsia="en-GB"/>
        </w:rPr>
        <w:t>5,38</w:t>
      </w:r>
      <w:r w:rsidR="00660864" w:rsidRPr="000E55C1">
        <w:rPr>
          <w:rStyle w:val="normaltextrun"/>
          <w:rFonts w:eastAsia="Times New Roman" w:cstheme="minorHAnsi"/>
          <w:lang w:eastAsia="en-GB"/>
        </w:rPr>
        <w:fldChar w:fldCharType="end"/>
      </w:r>
      <w:r w:rsidRPr="000E55C1">
        <w:rPr>
          <w:rStyle w:val="normaltextrun"/>
          <w:rFonts w:eastAsia="Times New Roman" w:cstheme="minorHAnsi"/>
          <w:lang w:eastAsia="en-GB"/>
        </w:rPr>
        <w:t>. These circular economy approaches have the potential to reduce the energy demanded to extract and produce virgin material, and lower the demand for new products through increased use-life.</w:t>
      </w:r>
    </w:p>
    <w:p w14:paraId="3D45A744" w14:textId="2BF8019C" w:rsidR="009627EA" w:rsidRPr="000E55C1" w:rsidRDefault="00660864" w:rsidP="009627EA">
      <w:pPr>
        <w:pStyle w:val="Heading3"/>
        <w:rPr>
          <w:rFonts w:asciiTheme="minorHAnsi" w:eastAsia="Times New Roman" w:hAnsiTheme="minorHAnsi" w:cstheme="minorHAnsi"/>
          <w:sz w:val="22"/>
          <w:szCs w:val="22"/>
          <w:lang w:eastAsia="en-GB"/>
        </w:rPr>
      </w:pPr>
      <w:bookmarkStart w:id="8" w:name="_Toc77587873"/>
      <w:r w:rsidRPr="000E55C1">
        <w:rPr>
          <w:rStyle w:val="normaltextrun"/>
          <w:rFonts w:asciiTheme="minorHAnsi" w:eastAsia="Times New Roman" w:hAnsiTheme="minorHAnsi" w:cstheme="minorHAnsi"/>
          <w:sz w:val="22"/>
          <w:szCs w:val="22"/>
          <w:lang w:eastAsia="en-GB"/>
        </w:rPr>
        <w:t>3</w:t>
      </w:r>
      <w:r w:rsidR="009627EA" w:rsidRPr="000E55C1">
        <w:rPr>
          <w:rStyle w:val="normaltextrun"/>
          <w:rFonts w:asciiTheme="minorHAnsi" w:eastAsia="Times New Roman" w:hAnsiTheme="minorHAnsi" w:cstheme="minorHAnsi"/>
          <w:sz w:val="22"/>
          <w:szCs w:val="22"/>
          <w:lang w:eastAsia="en-GB"/>
        </w:rPr>
        <w:t>.3 Energy efficiency</w:t>
      </w:r>
      <w:bookmarkEnd w:id="8"/>
    </w:p>
    <w:p w14:paraId="342EA848" w14:textId="584F6D56" w:rsidR="009627EA" w:rsidRPr="000E55C1" w:rsidRDefault="009627EA" w:rsidP="009627EA">
      <w:pPr>
        <w:rPr>
          <w:rFonts w:eastAsia="Corbel" w:cstheme="minorHAnsi"/>
        </w:rPr>
      </w:pPr>
      <w:r w:rsidRPr="000E55C1">
        <w:rPr>
          <w:rFonts w:eastAsia="Corbel" w:cstheme="minorHAnsi"/>
        </w:rPr>
        <w:t xml:space="preserve">Despite an improvement of 1% annually in energy efficiency over the last 30 years </w:t>
      </w:r>
      <w:r w:rsidRPr="000E55C1">
        <w:rPr>
          <w:rFonts w:eastAsia="Corbel" w:cstheme="minorHAnsi"/>
        </w:rPr>
        <w:fldChar w:fldCharType="begin" w:fldLock="1"/>
      </w:r>
      <w:r w:rsidR="00090364" w:rsidRPr="000E55C1">
        <w:rPr>
          <w:rFonts w:eastAsia="Corbel" w:cstheme="minorHAnsi"/>
        </w:rPr>
        <w:instrText>ADDIN CSL_CITATION {"citationItems":[{"id":"ITEM-1","itemData":{"DOI":"10.1007/s12053-021-09951-2","ISSN":"15706478","abstract":"In April 1989, the UK Prime Minister, Margaret Thatcher, convened a full cabinet meeting on climate change addressed by leading scientists. The presentation on mitigation of carbon dioxide emissions was made by the Head of the Energy Technology Support Unit (ETSU), Ken Currie, and identified the key potential options for mitigation by 2020. In this paper, we compare the mitigation potential identified for each proposed option with the 2019 outturn. The largest mitigation options identified were improved end use energy efficiency across the economy and the generation and use of low carbon electricity. Our analysis finds that these have been the key options adopted. Reductions in primary energy use, resulting from improvements in energy efficiency were concentrated in the period 2005–2012 which in 1989 were widely considered to be ambitious. Decarbonisation of electricity has been achieved by the displacement of coal, initially by gas and more recently by renewable electricity. Renewable electricity has exceeded 1989 expectations in the last 5 years and is now the biggest source of CO2 reductions from electricity generation. The contribution envisaged by nuclear electricity has not occurred, largely due its failure to compete in liberalised generation markets. In all cases, the policy environment has been important. We draw lessons for mitigation options to achieve the goal of net zero emissions in the next 30 years. The contribution of demand side and other modular options will remain crucial, as mass-produced technologies tend to improve more quickly than those requiring large construction projects. Environmental, social and political factors will be important, so analysis should not be a purely techno-economic assessment.","author":[{"dropping-particle":"","family":"Lees","given":"Eoin","non-dropping-particle":"","parse-names":false,"suffix":""},{"dropping-particle":"","family":"Eyre","given":"Nick","non-dropping-particle":"","parse-names":false,"suffix":""}],"container-title":"Energy Efficiency","id":"ITEM-1","issue":"4","issued":{"date-parts":[["2021","4","1"]]},"publisher":"Springer Science and Business Media B.V.","title":"Thirty years of climate mitigation: lessons from the 1989 options appraisal for the UK","type":"article-journal","volume":"14"},"uris":["http://www.mendeley.com/documents/?uuid=6a682585-8a14-367a-91ba-1cd579aaddf9"]}],"mendeley":{"formattedCitation":"&lt;sup&gt;2&lt;/sup&gt;","plainTextFormattedCitation":"2","previouslyFormattedCitation":"&lt;sup&gt;2&lt;/sup&gt;"},"properties":{"noteIndex":0},"schema":"https://github.com/citation-style-language/schema/raw/master/csl-citation.json"}</w:instrText>
      </w:r>
      <w:r w:rsidRPr="000E55C1">
        <w:rPr>
          <w:rFonts w:eastAsia="Corbel" w:cstheme="minorHAnsi"/>
          <w:vertAlign w:val="superscript"/>
        </w:rPr>
        <w:fldChar w:fldCharType="separate"/>
      </w:r>
      <w:r w:rsidR="00090364" w:rsidRPr="000E55C1">
        <w:rPr>
          <w:rFonts w:eastAsia="Corbel" w:cstheme="minorHAnsi"/>
          <w:noProof/>
          <w:vertAlign w:val="superscript"/>
        </w:rPr>
        <w:t>2</w:t>
      </w:r>
      <w:r w:rsidRPr="000E55C1">
        <w:rPr>
          <w:rFonts w:eastAsia="Corbel" w:cstheme="minorHAnsi"/>
        </w:rPr>
        <w:fldChar w:fldCharType="end"/>
      </w:r>
      <w:r w:rsidRPr="000E55C1">
        <w:rPr>
          <w:rFonts w:eastAsia="Corbel" w:cstheme="minorHAnsi"/>
        </w:rPr>
        <w:t xml:space="preserve">, there is no indication that the potential for energy efficiency is anywhere near saturated. Globally, the overall conversion efficiency of primary energy into useful services is estimated to be approximately 15% </w:t>
      </w:r>
      <w:r w:rsidRPr="000E55C1">
        <w:rPr>
          <w:rFonts w:eastAsia="Corbel" w:cstheme="minorHAnsi"/>
        </w:rPr>
        <w:fldChar w:fldCharType="begin" w:fldLock="1"/>
      </w:r>
      <w:r w:rsidR="00660864" w:rsidRPr="000E55C1">
        <w:rPr>
          <w:rFonts w:eastAsia="Corbel" w:cstheme="minorHAnsi"/>
        </w:rPr>
        <w:instrText>ADDIN CSL_CITATION {"citationItems":[{"id":"ITEM-1","itemData":{"DOI":"10.1021/ES102641N","abstract":"Concern over the global energy system, whether driven by climate change, national security, or fears of shortage, is being discussed widely and in every arena but with a bias toward energy supply options. While demand reduction is often mentioned in passing, it is rarely a priority for implementation, whether through policy or through the search for innovation. This paper aims to draw attention to the opportunity for major reduction in energy demand, by presenting an analysis of how much of current global energy demand could be avoided. Previous work led to a \"map\" of global energy use that traces the flow of energy from primary sources (fuels or renewable sources), through fuel refinery, electricity generation, and end-use conversion devices, to passive systems and the delivery of final energy services (transport, illumination, and sustenance). The key passive systems are presented here and analyzed through simple engineering models with scalar equations using data based on current global practice. Physically credible options for change to key design parameters are identified and used to predict the energy savings possible for each system. The result demonstrates that 73% of global energy use could be saved by practically achievable design changes to passive systems. This reduction could be increased by further efficiency improvements in conversion devices. A list of the solutions required to achieve these savings is provided. © 2011 American Chemical Society.","author":[{"dropping-particle":"","family":"Cullen","given":"Jonathan M.","non-dropping-particle":"","parse-names":false,"suffix":""},{"dropping-particle":"","family":"Allwood","given":"Julian M.","non-dropping-particle":"","parse-names":false,"suffix":""},{"dropping-particle":"","family":"Borgstein","given":"Edward H.","non-dropping-particle":"","parse-names":false,"suffix":""}],"container-title":"Environmental Science and Technology","id":"ITEM-1","issue":"4","issued":{"date-parts":[["2011","2","15"]]},"page":"1711-1718","title":"Reducing energy demand: What are the practical limits?","type":"article-journal","volume":"45"},"uris":["http://www.mendeley.com/documents/?uuid=c12404a0-9002-3abd-a494-de36b2fb5c53"]},{"id":"ITEM-2","itemData":{"DOI":"10.22022/TNT/07-2018.15347","abstract":"The World in 2050 (TWI2050) initiative endeavors to demonstrate how the objectives of sustainable development within planetary boundaries can be met, ensuring prosperity, social inclusion, and good governance for all. TWI2050 is a global research initiative launched by the International Institute for Applied Systems Analysis (IIASA), the Sustainable Development Solutions Network (SDSN), and the Stockholm Resilience Centre (SRC). The initiative brings together a network of more than 150 participants that includes leading policymakers, analysts, modelling and analytical teams from 60 organizations from around the world to collaborate in developing pathways toward sustainable futures and the policy frameworks needed for implementing the SDGs, and more importantly, for achieving the needed transformational change. This report of the international TWI2050 scientific initiative was prepared by more than 60 authors and 20 organization and was launched at UN High-level Political Forum, 9-18 July 2018. It comprises key messages, synthesis and four chapters. Chapter 1 introduced TWI2050 framework. The narrative and target spaces are presented briefly in Chapter 1 and will be further refined in the next phase of TWI2050 and published. Chapter 2 examines, at the global scale, some major current trends in demography, economics, finance, society and politics. It presents potential major tipping points and dynamics that are likely to interact thereby creating a very different world from the present. It assesses currently observable megatrends and historical patterns with corresponding path dependencies. The chapter points to several of these megatrends that need to be taken into consideration how to achieve the transformation to sustainability. Chapter 3 investigates the characteristics of pathways that would lead to sustainable future. It first assess the scientific literature on pathways that achieve several SDGs. Next, implications of the linkages across SDGs are highlighted by presenting model-based pathways which follow an integrated approach with special emphasis on the six transformations. Pathways are presented that feature SDGs under review at HLPF 2018 (SDGs 6, 7, 11, 12 and 15). The chapter concludes with a discussion of research implications. Chapter 4 presents - from multiple perspectives - the governance framework required to achieve and steer transformations toward sustainability. This governance framework comprises of both fine tailored policy principl…","author":[{"dropping-particle":"","family":"TWI2050","given":"","non-dropping-particle":"","parse-names":false,"suffix":""}],"container-title":"International Institute for Applied Systems Analysis","id":"ITEM-2","issued":{"date-parts":[["2018"]]},"number-of-pages":"157","title":"Transformations to Achieve the Sustainable Development Goals - Report prepared by The World in 2050 initiative","type":"report"},"uris":["http://www.mendeley.com/documents/?uuid=5f1049d7-7584-3ece-bb2a-aa42090b46c0"]}],"mendeley":{"formattedCitation":"&lt;sup&gt;39,40&lt;/sup&gt;","plainTextFormattedCitation":"39,40","previouslyFormattedCitation":"&lt;sup&gt;39,40&lt;/sup&gt;"},"properties":{"noteIndex":0},"schema":"https://github.com/citation-style-language/schema/raw/master/csl-citation.json"}</w:instrText>
      </w:r>
      <w:r w:rsidRPr="000E55C1">
        <w:rPr>
          <w:rFonts w:eastAsia="Corbel" w:cstheme="minorHAnsi"/>
        </w:rPr>
        <w:fldChar w:fldCharType="separate"/>
      </w:r>
      <w:r w:rsidR="00660864" w:rsidRPr="000E55C1">
        <w:rPr>
          <w:rFonts w:eastAsia="Corbel" w:cstheme="minorHAnsi"/>
          <w:noProof/>
          <w:vertAlign w:val="superscript"/>
        </w:rPr>
        <w:t>39,40</w:t>
      </w:r>
      <w:r w:rsidRPr="000E55C1">
        <w:rPr>
          <w:rFonts w:eastAsia="Corbel" w:cstheme="minorHAnsi"/>
        </w:rPr>
        <w:fldChar w:fldCharType="end"/>
      </w:r>
      <w:r w:rsidRPr="000E55C1">
        <w:rPr>
          <w:rFonts w:eastAsia="Corbel" w:cstheme="minorHAnsi"/>
        </w:rPr>
        <w:t xml:space="preserve">. Whilst the economic potential is lower, historically innovation has tended to increase the cost effective potential at a similar rate to its uptake, so that a 20-30% economic potential has existed for many decades </w:t>
      </w:r>
      <w:r w:rsidRPr="000E55C1">
        <w:rPr>
          <w:rFonts w:eastAsia="Corbel" w:cstheme="minorHAnsi"/>
        </w:rPr>
        <w:fldChar w:fldCharType="begin" w:fldLock="1"/>
      </w:r>
      <w:r w:rsidR="00660864" w:rsidRPr="000E55C1">
        <w:rPr>
          <w:rFonts w:eastAsia="Corbel" w:cstheme="minorHAnsi"/>
        </w:rPr>
        <w:instrText>ADDIN CSL_CITATION {"citationItems":[{"id":"ITEM-1","itemData":{"DOI":"10.17226/12621","ISBN":"978-0-309-13716-4","abstract":"The Academies' report on multiple sectors. There's an industry section that we can look at my notes on...","author":[{"dropping-particle":"","family":"National Academy of Sciences","given":"","non-dropping-particle":"","parse-names":false,"suffix":""},{"dropping-particle":"","family":"National Academy of Engineering","given":"","non-dropping-particle":"","parse-names":false,"suffix":""},{"dropping-particle":"","family":"National Research Council","given":"","non-dropping-particle":"","parse-names":false,"suffix":""}],"container-title":"Real Prospects for Energy Efficiency in the United States","id":"ITEM-1","issued":{"date-parts":[["2010","12","9"]]},"publisher":"National Academies Press","publisher-place":"Washington DC","title":"Real Prospects for Energy Efficiency in the United States","type":"report"},"uris":["http://www.mendeley.com/documents/?uuid=781ef818-3ac3-387b-a0ed-35a777f1541c"]}],"mendeley":{"formattedCitation":"&lt;sup&gt;41&lt;/sup&gt;","plainTextFormattedCitation":"41","previouslyFormattedCitation":"&lt;sup&gt;41&lt;/sup&gt;"},"properties":{"noteIndex":0},"schema":"https://github.com/citation-style-language/schema/raw/master/csl-citation.json"}</w:instrText>
      </w:r>
      <w:r w:rsidRPr="000E55C1">
        <w:rPr>
          <w:rFonts w:eastAsia="Corbel" w:cstheme="minorHAnsi"/>
        </w:rPr>
        <w:fldChar w:fldCharType="separate"/>
      </w:r>
      <w:r w:rsidR="00660864" w:rsidRPr="000E55C1">
        <w:rPr>
          <w:rFonts w:eastAsia="Corbel" w:cstheme="minorHAnsi"/>
          <w:noProof/>
          <w:vertAlign w:val="superscript"/>
        </w:rPr>
        <w:t>41</w:t>
      </w:r>
      <w:r w:rsidRPr="000E55C1">
        <w:rPr>
          <w:rFonts w:eastAsia="Corbel" w:cstheme="minorHAnsi"/>
        </w:rPr>
        <w:fldChar w:fldCharType="end"/>
      </w:r>
      <w:r w:rsidRPr="000E55C1">
        <w:rPr>
          <w:rFonts w:eastAsia="Corbel" w:cstheme="minorHAnsi"/>
        </w:rPr>
        <w:t xml:space="preserve">. </w:t>
      </w:r>
    </w:p>
    <w:p w14:paraId="7CFA9E0E" w14:textId="77777777" w:rsidR="009627EA" w:rsidRPr="000E55C1" w:rsidRDefault="009627EA" w:rsidP="009627EA">
      <w:pPr>
        <w:rPr>
          <w:rFonts w:eastAsia="Corbel" w:cstheme="minorHAnsi"/>
        </w:rPr>
      </w:pPr>
      <w:r w:rsidRPr="000E55C1">
        <w:rPr>
          <w:rFonts w:eastAsia="Corbel" w:cstheme="minorHAnsi"/>
        </w:rPr>
        <w:t xml:space="preserve">The LED scenarios assume realistic levels of continued energy efficiency gains. For example, we assume further efficiency gains in many appliances, but also recognise this requires a substantial shift in technology in some cases. In other cases, notably building retrofit, the potential is large with existing technology. The principal constraints are usually supply chain practices and consumer engagement rather than technological innovation. We recognise the role of information technology as an enabler of reduced energy demand and the continuing innovation of such a fast-moving industry. The increased digitalisation of society offers new opportunities to control energy demand through increased functionality (sensors, wireless controls, etc.) in buildings, transport and industry. </w:t>
      </w:r>
    </w:p>
    <w:p w14:paraId="5B6447DD" w14:textId="4AADFD9D" w:rsidR="00955BCE" w:rsidRPr="000E55C1" w:rsidRDefault="009627EA" w:rsidP="009627EA">
      <w:pPr>
        <w:rPr>
          <w:rFonts w:eastAsia="Corbel" w:cstheme="minorHAnsi"/>
        </w:rPr>
      </w:pPr>
      <w:r w:rsidRPr="000E55C1">
        <w:rPr>
          <w:rFonts w:eastAsia="Corbel" w:cstheme="minorHAnsi"/>
        </w:rPr>
        <w:t>The most important driver of future energy efficiency improvement is likely to be the wider energy transition. As energy supply shifts progressively from fossil fuels to primary electricity, not only are the conversion losses in thermal electricity generation avoided, but more efficient end use is enabled. In particular, there are huge potential benefits in the electrification of the two largest end uses of energy – building heating and light vehicles. In each case, a factor of three in energy efficiency improvement can be achieved relatively straightforwardly, through replacing boilers by heat pumps and internal combustion engine vehicles with electric vehicles. In the longer term, similar effects are likely in a number of industrial processes, including steel and ammonia. These effects alone can reduce UK final energy demand by 30%</w:t>
      </w:r>
      <w:r w:rsidR="00660864" w:rsidRPr="000E55C1">
        <w:rPr>
          <w:rFonts w:eastAsia="Corbel" w:cstheme="minorHAnsi"/>
        </w:rPr>
        <w:fldChar w:fldCharType="begin" w:fldLock="1"/>
      </w:r>
      <w:r w:rsidR="00660864" w:rsidRPr="000E55C1">
        <w:rPr>
          <w:rFonts w:eastAsia="Corbel" w:cstheme="minorHAnsi"/>
        </w:rPr>
        <w:instrText>ADDIN CSL_CITATION {"citationItems":[{"id":"ITEM-1","itemData":{"author":[{"dropping-particle":"","family":"Eyre","given":"Nick","non-dropping-particle":"","parse-names":false,"suffix":""},{"dropping-particle":"","family":"Fawcett","given":"Tina","non-dropping-particle":"","parse-names":false,"suffix":""}],"collection-title":"Policy Brief 012","id":"ITEM-1","issued":{"date-parts":[["2020"]]},"publisher-place":"Oxford","title":"Policy for Energy Demand Reduction","type":"report"},"uris":["http://www.mendeley.com/documents/?uuid=fe4c777d-facd-4438-a526-d2921020117e"]}],"mendeley":{"formattedCitation":"&lt;sup&gt;42&lt;/sup&gt;","plainTextFormattedCitation":"42","previouslyFormattedCitation":"&lt;sup&gt;42&lt;/sup&gt;"},"properties":{"noteIndex":0},"schema":"https://github.com/citation-style-language/schema/raw/master/csl-citation.json"}</w:instrText>
      </w:r>
      <w:r w:rsidR="00660864" w:rsidRPr="000E55C1">
        <w:rPr>
          <w:rFonts w:eastAsia="Corbel" w:cstheme="minorHAnsi"/>
        </w:rPr>
        <w:fldChar w:fldCharType="separate"/>
      </w:r>
      <w:r w:rsidR="00660864" w:rsidRPr="000E55C1">
        <w:rPr>
          <w:rFonts w:eastAsia="Corbel" w:cstheme="minorHAnsi"/>
          <w:noProof/>
          <w:vertAlign w:val="superscript"/>
        </w:rPr>
        <w:t>42</w:t>
      </w:r>
      <w:r w:rsidR="00660864" w:rsidRPr="000E55C1">
        <w:rPr>
          <w:rFonts w:eastAsia="Corbel" w:cstheme="minorHAnsi"/>
        </w:rPr>
        <w:fldChar w:fldCharType="end"/>
      </w:r>
      <w:r w:rsidRPr="000E55C1">
        <w:rPr>
          <w:rFonts w:eastAsia="Corbel" w:cstheme="minorHAnsi"/>
        </w:rPr>
        <w:t xml:space="preserve"> and constitute the main driver of energy demand reduction in our scenarios.</w:t>
      </w:r>
    </w:p>
    <w:p w14:paraId="36B8EB6D" w14:textId="7605140D" w:rsidR="009627EA" w:rsidRPr="000E55C1" w:rsidRDefault="00660864" w:rsidP="009627EA">
      <w:pPr>
        <w:rPr>
          <w:rStyle w:val="Heading3Char"/>
          <w:rFonts w:asciiTheme="minorHAnsi" w:eastAsia="Corbel" w:hAnsiTheme="minorHAnsi" w:cstheme="minorHAnsi"/>
        </w:rPr>
      </w:pPr>
      <w:bookmarkStart w:id="9" w:name="_Toc77587874"/>
      <w:r w:rsidRPr="000E55C1">
        <w:rPr>
          <w:rStyle w:val="Heading3Char"/>
          <w:rFonts w:asciiTheme="minorHAnsi" w:eastAsia="Corbel" w:hAnsiTheme="minorHAnsi" w:cstheme="minorHAnsi"/>
        </w:rPr>
        <w:t>3</w:t>
      </w:r>
      <w:r w:rsidR="009627EA" w:rsidRPr="000E55C1">
        <w:rPr>
          <w:rStyle w:val="Heading3Char"/>
          <w:rFonts w:asciiTheme="minorHAnsi" w:eastAsia="Corbel" w:hAnsiTheme="minorHAnsi" w:cstheme="minorHAnsi"/>
        </w:rPr>
        <w:t>.4 Healthy society</w:t>
      </w:r>
      <w:bookmarkEnd w:id="9"/>
    </w:p>
    <w:p w14:paraId="6F2C89DD" w14:textId="3BDF3A13" w:rsidR="009627EA" w:rsidRPr="000E55C1" w:rsidRDefault="009627EA" w:rsidP="5E16C16E">
      <w:pPr>
        <w:rPr>
          <w:rStyle w:val="normaltextrun"/>
          <w:rFonts w:eastAsia="Corbel" w:cstheme="minorHAnsi"/>
          <w:lang w:eastAsia="en-GB"/>
        </w:rPr>
      </w:pPr>
      <w:r w:rsidRPr="000E55C1">
        <w:rPr>
          <w:rStyle w:val="normaltextrun"/>
          <w:rFonts w:eastAsia="Corbel" w:cstheme="minorHAnsi"/>
          <w:lang w:eastAsia="en-GB"/>
        </w:rPr>
        <w:t>It has been estimated that a scenario which meets the Paris Agreement and explicitly takes steps to benefit health via reduced air pollution, improved diet and active travel can result in 144,312 avoided UK deaths in 2040 compared to existing NDCs</w:t>
      </w:r>
      <w:r w:rsidRPr="000E55C1">
        <w:rPr>
          <w:rStyle w:val="normaltextrun"/>
          <w:rFonts w:eastAsia="Corbel" w:cstheme="minorHAnsi"/>
          <w:lang w:eastAsia="en-GB"/>
        </w:rPr>
        <w:fldChar w:fldCharType="begin" w:fldLock="1"/>
      </w:r>
      <w:r w:rsidR="00660864" w:rsidRPr="000E55C1">
        <w:rPr>
          <w:rStyle w:val="normaltextrun"/>
          <w:rFonts w:eastAsia="Corbel" w:cstheme="minorHAnsi"/>
          <w:lang w:eastAsia="en-GB"/>
        </w:rPr>
        <w:instrText>ADDIN CSL_CITATION {"citationItems":[{"id":"ITEM-1","itemData":{"DOI":"10.1016/S2542-5196(20)30249-7","abstract":"Background: nationally determined contributions (NDCs) serve to meet the goals of the Paris Agreement of staying “well below 2°C”, which could also yield substantial health co-benefits in the process. However, existing NDC commitments are inadequate to achieve this goal. Placing health as a key focus of the NDCs could present an opportunity to increase ambition and realise health co-benefits. We modelled scenarios to analyse the health co-benefits of NDCs for the year 2040 for nine representative countries (ie, Brazil, China, Germany, India, Indonesia, Nigeria, South Africa, the UK, and the USA) that were selected for their contribution to global greenhouse gas emissions and their global or regional influence. Methods: Modelling the energy, food and agriculture, and transport sectors, and mortality related to risk factors of air pollution, diet, and physical activity, we analysed the health co-benefits of existing NDCs and related policies (ie, the current pathways scenario) for 2040 in nine countries around the world. We compared these health co-benefits with two alternative scenarios, one consistent with the goal of the Paris Agreement and the Sustainable Development Goals (ie, the sustainable pathways scenario), and one in line with the sustainable pathways scenario, but also placing health as a central focus of the policies (ie, the health in all climate policies scenario). Findings: Compared with the current pathways scenario, the sustainable pathways scenario resulted in an annual reduction of 1·18 million air pollution-related deaths, 5·86 million diet-related deaths, and 1·15 million deaths due to physical inactivity, across the nine countries, by 2040. Adopting the more ambitious health in all climate policies scenario would result in a further reduction of 462 000 annual deaths attributable to air pollution, 572 000 annual deaths attributable to diet, and 943 000 annual deaths attributable to physical inactivity. These benefits were attributable to the mitigation of direct greenhouse gas emissions and the commensurate actions that reduce exposure to harmful pollutants, as well as improved diets and safe physical activity. Interpretation: A greater consideration of health in the NDCs and climate change mitigation policies has the potential to yield considerable health benefits as well as achieve the “well below 2°C” commitment across a range of regional and economic contexts. Funding: This work was in part funded through an unrestricted grant f…","author":[{"dropping-particle":"","family":"Hamilton","given":"Ian","non-dropping-particle":"","parse-names":false,"suffix":""},{"dropping-particle":"","family":"Kennard","given":"Harry","non-dropping-particle":"","parse-names":false,"suffix":""},{"dropping-particle":"","family":"McGushin","given":"Alice","non-dropping-particle":"","parse-names":false,"suffix":""},{"dropping-particle":"","family":"Höglund-Isaksson","given":"Lena","non-dropping-particle":"","parse-names":false,"suffix":""},{"dropping-particle":"","family":"Kiesewetter","given":"Gregor","non-dropping-particle":"","parse-names":false,"suffix":""},{"dropping-particle":"","family":"Lott","given":"Melissa","non-dropping-particle":"","parse-names":false,"suffix":""},{"dropping-particle":"","family":"Milner","given":"James","non-dropping-particle":"","parse-names":false,"suffix":""},{"dropping-particle":"","family":"Purohit","given":"Pallav","non-dropping-particle":"","parse-names":false,"suffix":""},{"dropping-particle":"","family":"Rafaj","given":"Peter","non-dropping-particle":"","parse-names":false,"suffix":""},{"dropping-particle":"","family":"Sharma","given":"Rohit","non-dropping-particle":"","parse-names":false,"suffix":""},{"dropping-particle":"","family":"Springmann","given":"Marco","non-dropping-particle":"","parse-names":false,"suffix":""},{"dropping-particle":"","family":"Woodcock","given":"James","non-dropping-particle":"","parse-names":false,"suffix":""},{"dropping-particle":"","family":"Watts","given":"Nick","non-dropping-particle":"","parse-names":false,"suffix":""}],"container-title":"The Lancet Planetary Health","id":"ITEM-1","issue":"2","issued":{"date-parts":[["2021","2","1"]]},"page":"e74-e83","publisher":"Elsevier B.V.","title":"The public health implications of the Paris Agreement: a modelling study","type":"article-journal","volume":"5"},"uris":["http://www.mendeley.com/documents/?uuid=e8ed79e6-6b6a-347e-b455-e76f83e85f46"]}],"mendeley":{"formattedCitation":"&lt;sup&gt;43&lt;/sup&gt;","plainTextFormattedCitation":"43","previouslyFormattedCitation":"&lt;sup&gt;43&lt;/sup&gt;"},"properties":{"noteIndex":0},"schema":"https://github.com/citation-style-language/schema/raw/master/csl-citation.json"}</w:instrText>
      </w:r>
      <w:r w:rsidRPr="000E55C1">
        <w:rPr>
          <w:rStyle w:val="normaltextrun"/>
          <w:rFonts w:eastAsia="Corbel" w:cstheme="minorHAnsi"/>
          <w:vertAlign w:val="superscript"/>
          <w:lang w:eastAsia="en-GB"/>
        </w:rPr>
        <w:fldChar w:fldCharType="separate"/>
      </w:r>
      <w:r w:rsidR="00660864" w:rsidRPr="000E55C1">
        <w:rPr>
          <w:rStyle w:val="normaltextrun"/>
          <w:rFonts w:eastAsia="Corbel" w:cstheme="minorHAnsi"/>
          <w:noProof/>
          <w:vertAlign w:val="superscript"/>
          <w:lang w:eastAsia="en-GB"/>
        </w:rPr>
        <w:t>43</w:t>
      </w:r>
      <w:r w:rsidRPr="000E55C1">
        <w:rPr>
          <w:rStyle w:val="normaltextrun"/>
          <w:rFonts w:eastAsia="Corbel" w:cstheme="minorHAnsi"/>
          <w:lang w:eastAsia="en-GB"/>
        </w:rPr>
        <w:fldChar w:fldCharType="end"/>
      </w:r>
      <w:r w:rsidRPr="000E55C1">
        <w:rPr>
          <w:rStyle w:val="normaltextrun"/>
          <w:rFonts w:eastAsia="Corbel" w:cstheme="minorHAnsi"/>
          <w:lang w:eastAsia="en-GB"/>
        </w:rPr>
        <w:t xml:space="preserve">. </w:t>
      </w:r>
    </w:p>
    <w:p w14:paraId="1AB1D840" w14:textId="20D5ABDB" w:rsidR="009627EA" w:rsidRPr="000E55C1" w:rsidRDefault="009627EA" w:rsidP="009627EA">
      <w:pPr>
        <w:rPr>
          <w:rStyle w:val="normaltextrun"/>
          <w:rFonts w:eastAsia="Corbel" w:cstheme="minorHAnsi"/>
          <w:lang w:eastAsia="en-GB"/>
        </w:rPr>
      </w:pPr>
      <w:r w:rsidRPr="000E55C1">
        <w:rPr>
          <w:rStyle w:val="normaltextrun"/>
          <w:rFonts w:eastAsia="Corbel" w:cstheme="minorHAnsi"/>
          <w:lang w:eastAsia="en-GB"/>
        </w:rPr>
        <w:t xml:space="preserve">The scenarios developed in this study build upon an underlying trend of an increasing focus on health, wellbeing and quality of life, at the policy level and by individuals. The context of the COVID-19 pandemic brings this attention on healthy environments and lifestyles into sharp focus. As a result, both of the low energy demand scenarios developed ensure there is not a reduction in health, wellbeing or quality of life. This is possible because there is a significant overlap and interdependence between policy and behavioural trends that both seek to improve health and reduce demand. In the case of nutrition, almost half of those switching to less energy intensive, plant-based diets, cite health reasons as their </w:t>
      </w:r>
      <w:r w:rsidR="00660864" w:rsidRPr="000E55C1">
        <w:rPr>
          <w:rStyle w:val="normaltextrun"/>
          <w:rFonts w:eastAsia="Corbel" w:cstheme="minorHAnsi"/>
          <w:lang w:eastAsia="en-GB"/>
        </w:rPr>
        <w:t>primary motivation for doing so</w:t>
      </w:r>
      <w:r w:rsidRPr="000E55C1">
        <w:rPr>
          <w:rStyle w:val="normaltextrun"/>
          <w:rFonts w:eastAsia="Corbel" w:cstheme="minorHAnsi"/>
          <w:lang w:eastAsia="en-GB"/>
        </w:rPr>
        <w:fldChar w:fldCharType="begin" w:fldLock="1"/>
      </w:r>
      <w:r w:rsidR="00660864" w:rsidRPr="000E55C1">
        <w:rPr>
          <w:rStyle w:val="normaltextrun"/>
          <w:rFonts w:eastAsia="Corbel" w:cstheme="minorHAnsi"/>
          <w:lang w:eastAsia="en-GB"/>
        </w:rPr>
        <w:instrText>ADDIN CSL_CITATION {"citationItems":[{"id":"ITEM-1","itemData":{"URL":"https://www.waitrose.com/content/dam/waitrose/Inspiration/Waitrose &amp; Partners Food and Drink Report 2018.pdf","accessed":{"date-parts":[["2021","1","20"]]},"author":[{"dropping-particle":"","family":"Waitrose &amp; Partners","given":"","non-dropping-particle":"","parse-names":false,"suffix":""}],"id":"ITEM-1","issued":{"date-parts":[["2019"]]},"title":"Food and Drink Report 2018-2019","type":"webpage"},"uris":["http://www.mendeley.com/documents/?uuid=641bb7c5-ff0b-4251-8b00-be4a6197a2ad"]}],"mendeley":{"formattedCitation":"&lt;sup&gt;44&lt;/sup&gt;","plainTextFormattedCitation":"44","previouslyFormattedCitation":"&lt;sup&gt;44&lt;/sup&gt;"},"properties":{"noteIndex":0},"schema":"https://github.com/citation-style-language/schema/raw/master/csl-citation.json"}</w:instrText>
      </w:r>
      <w:r w:rsidRPr="000E55C1">
        <w:rPr>
          <w:rStyle w:val="normaltextrun"/>
          <w:rFonts w:eastAsia="Corbel" w:cstheme="minorHAnsi"/>
          <w:vertAlign w:val="superscript"/>
          <w:lang w:eastAsia="en-GB"/>
        </w:rPr>
        <w:fldChar w:fldCharType="separate"/>
      </w:r>
      <w:r w:rsidR="00660864" w:rsidRPr="000E55C1">
        <w:rPr>
          <w:rStyle w:val="normaltextrun"/>
          <w:rFonts w:eastAsia="Corbel" w:cstheme="minorHAnsi"/>
          <w:noProof/>
          <w:vertAlign w:val="superscript"/>
          <w:lang w:eastAsia="en-GB"/>
        </w:rPr>
        <w:t>44</w:t>
      </w:r>
      <w:r w:rsidRPr="000E55C1">
        <w:rPr>
          <w:rStyle w:val="normaltextrun"/>
          <w:rFonts w:eastAsia="Corbel" w:cstheme="minorHAnsi"/>
          <w:lang w:eastAsia="en-GB"/>
        </w:rPr>
        <w:fldChar w:fldCharType="end"/>
      </w:r>
      <w:r w:rsidRPr="000E55C1">
        <w:rPr>
          <w:rStyle w:val="normaltextrun"/>
          <w:rFonts w:eastAsia="Corbel" w:cstheme="minorHAnsi"/>
          <w:lang w:eastAsia="en-GB"/>
        </w:rPr>
        <w:t>. Similarly, reducing average calorific intake would also improve national health, given the high prevalence of being overweight and obesity amongst UK citizens</w:t>
      </w:r>
      <w:r w:rsidRPr="000E55C1">
        <w:rPr>
          <w:rStyle w:val="normaltextrun"/>
          <w:rFonts w:eastAsia="Corbel" w:cstheme="minorHAnsi"/>
          <w:lang w:eastAsia="en-GB"/>
        </w:rPr>
        <w:fldChar w:fldCharType="begin" w:fldLock="1"/>
      </w:r>
      <w:r w:rsidR="00660864" w:rsidRPr="000E55C1">
        <w:rPr>
          <w:rStyle w:val="normaltextrun"/>
          <w:rFonts w:eastAsia="Corbel" w:cstheme="minorHAnsi"/>
          <w:lang w:eastAsia="en-GB"/>
        </w:rPr>
        <w:instrText>ADDIN CSL_CITATION {"citationItems":[{"id":"ITEM-1","itemData":{"URL":"https://digital.nhs.uk/data-and-information/publications/statistical/statistics-on-obesity-physical-activity-and-diet/england-2020/part-3-adult-obesity-copy","accessed":{"date-parts":[["2021","1","21"]]},"author":[{"dropping-particle":"","family":"NHS Digital","given":"","non-dropping-particle":"","parse-names":false,"suffix":""}],"id":"ITEM-1","issued":{"date-parts":[["2019"]]},"title":"Part 3: Adult overweight and obesity - NHS Digital","type":"webpage"},"uris":["http://www.mendeley.com/documents/?uuid=598b0f45-8e04-40fd-84bc-dc8c6f942547"]}],"mendeley":{"formattedCitation":"&lt;sup&gt;45&lt;/sup&gt;","plainTextFormattedCitation":"45","previouslyFormattedCitation":"&lt;sup&gt;45&lt;/sup&gt;"},"properties":{"noteIndex":0},"schema":"https://github.com/citation-style-language/schema/raw/master/csl-citation.json"}</w:instrText>
      </w:r>
      <w:r w:rsidRPr="000E55C1">
        <w:rPr>
          <w:rStyle w:val="normaltextrun"/>
          <w:rFonts w:eastAsia="Corbel" w:cstheme="minorHAnsi"/>
          <w:lang w:eastAsia="en-GB"/>
        </w:rPr>
        <w:fldChar w:fldCharType="separate"/>
      </w:r>
      <w:r w:rsidR="00660864" w:rsidRPr="000E55C1">
        <w:rPr>
          <w:rStyle w:val="normaltextrun"/>
          <w:rFonts w:eastAsia="Corbel" w:cstheme="minorHAnsi"/>
          <w:noProof/>
          <w:vertAlign w:val="superscript"/>
          <w:lang w:eastAsia="en-GB"/>
        </w:rPr>
        <w:t>45</w:t>
      </w:r>
      <w:r w:rsidRPr="000E55C1">
        <w:rPr>
          <w:rStyle w:val="normaltextrun"/>
          <w:rFonts w:eastAsia="Corbel" w:cstheme="minorHAnsi"/>
          <w:lang w:eastAsia="en-GB"/>
        </w:rPr>
        <w:fldChar w:fldCharType="end"/>
      </w:r>
      <w:r w:rsidRPr="000E55C1">
        <w:rPr>
          <w:rStyle w:val="normaltextrun"/>
          <w:rFonts w:eastAsia="Corbel" w:cstheme="minorHAnsi"/>
          <w:lang w:eastAsia="en-GB"/>
        </w:rPr>
        <w:t xml:space="preserve">. With regards to mobility services, significantly increasing the amount of active travel (cycling, </w:t>
      </w:r>
      <w:r w:rsidRPr="000E55C1">
        <w:rPr>
          <w:rStyle w:val="normaltextrun"/>
          <w:rFonts w:eastAsia="Corbel" w:cstheme="minorHAnsi"/>
          <w:lang w:eastAsia="en-GB"/>
        </w:rPr>
        <w:lastRenderedPageBreak/>
        <w:t>walking) used to make shorter journeys, both reduces energy demand and improves physical and mental health</w:t>
      </w:r>
      <w:r w:rsidRPr="000E55C1">
        <w:rPr>
          <w:rStyle w:val="normaltextrun"/>
          <w:rFonts w:eastAsia="Corbel" w:cstheme="minorHAnsi"/>
          <w:lang w:eastAsia="en-GB"/>
        </w:rPr>
        <w:fldChar w:fldCharType="begin" w:fldLock="1"/>
      </w:r>
      <w:r w:rsidR="00660864" w:rsidRPr="000E55C1">
        <w:rPr>
          <w:rStyle w:val="normaltextrun"/>
          <w:rFonts w:eastAsia="Corbel" w:cstheme="minorHAnsi"/>
          <w:lang w:eastAsia="en-GB"/>
        </w:rPr>
        <w:instrText>ADDIN CSL_CITATION {"citationItems":[{"id":"ITEM-1","itemData":{"author":[{"dropping-particle":"","family":"Public Health England","given":"","non-dropping-particle":"","parse-names":false,"suffix":""}],"id":"ITEM-1","issued":{"date-parts":[["2016"]]},"number-of-pages":"1-33","publisher-place":"London","title":"Working Together to Promote Active Travel A briefing for local authorities","type":"report"},"uris":["http://www.mendeley.com/documents/?uuid=a70d1e71-971d-3129-b6a3-e49c7d14c3d3"]}],"mendeley":{"formattedCitation":"&lt;sup&gt;46&lt;/sup&gt;","plainTextFormattedCitation":"46","previouslyFormattedCitation":"&lt;sup&gt;46&lt;/sup&gt;"},"properties":{"noteIndex":0},"schema":"https://github.com/citation-style-language/schema/raw/master/csl-citation.json"}</w:instrText>
      </w:r>
      <w:r w:rsidRPr="000E55C1">
        <w:rPr>
          <w:rStyle w:val="normaltextrun"/>
          <w:rFonts w:eastAsia="Corbel" w:cstheme="minorHAnsi"/>
          <w:lang w:eastAsia="en-GB"/>
        </w:rPr>
        <w:fldChar w:fldCharType="separate"/>
      </w:r>
      <w:r w:rsidR="00660864" w:rsidRPr="000E55C1">
        <w:rPr>
          <w:rStyle w:val="normaltextrun"/>
          <w:rFonts w:eastAsia="Corbel" w:cstheme="minorHAnsi"/>
          <w:noProof/>
          <w:vertAlign w:val="superscript"/>
          <w:lang w:eastAsia="en-GB"/>
        </w:rPr>
        <w:t>46</w:t>
      </w:r>
      <w:r w:rsidRPr="000E55C1">
        <w:rPr>
          <w:rStyle w:val="normaltextrun"/>
          <w:rFonts w:eastAsia="Corbel" w:cstheme="minorHAnsi"/>
          <w:lang w:eastAsia="en-GB"/>
        </w:rPr>
        <w:fldChar w:fldCharType="end"/>
      </w:r>
      <w:r w:rsidRPr="000E55C1">
        <w:rPr>
          <w:rStyle w:val="normaltextrun"/>
          <w:rFonts w:eastAsia="Corbel" w:cstheme="minorHAnsi"/>
          <w:lang w:eastAsia="en-GB"/>
        </w:rPr>
        <w:t>. Moreover, shifting private car journeys to shared and active transport helps to reduce negative health impacts associated with inactive lifestyles and exposure to toxic air pollution in cities</w:t>
      </w:r>
      <w:r w:rsidRPr="000E55C1">
        <w:rPr>
          <w:rStyle w:val="normaltextrun"/>
          <w:rFonts w:eastAsia="Corbel" w:cstheme="minorHAnsi"/>
          <w:lang w:eastAsia="en-GB"/>
        </w:rPr>
        <w:fldChar w:fldCharType="begin" w:fldLock="1"/>
      </w:r>
      <w:r w:rsidR="00660864" w:rsidRPr="000E55C1">
        <w:rPr>
          <w:rStyle w:val="normaltextrun"/>
          <w:rFonts w:eastAsia="Corbel" w:cstheme="minorHAnsi"/>
          <w:lang w:eastAsia="en-GB"/>
        </w:rPr>
        <w:instrText>ADDIN CSL_CITATION {"citationItems":[{"id":"ITEM-1","itemData":{"DOI":"10.1136/bjsports-2020-102955","ISSN":"14730480","PMID":"33239350","abstract":"Objectives To describe new WHO 2020 guidelines on physical activity and sedentary behaviour. Methods The guidelines were developed in accordance with WHO protocols. An expert Guideline Development Group reviewed evidence to assess associations between physical activity and sedentary behaviour for an agreed set of health outcomes and population groups. The assessment used and systematically updated recent relevant systematic reviews; new primary reviews addressed additional health outcomes or subpopulations. Results The new guidelines address children, adolescents, adults, older adults and include new specific recommendations for pregnant and postpartum women and people living with chronic conditions or disability. All adults should undertake 150-300 min of moderate-intensity, or 75-150 min of vigorous-intensity physical activity, or some equivalent combination of moderate-intensity and vigorous-intensity aerobic physical activity, per week. Among children and adolescents, an average of 60 min/day of moderate-to-vigorous intensity aerobic physical activity across the week provides health benefits. The guidelines recommend regular muscle-strengthening activity for all age groups. Additionally, reducing sedentary behaviours is recommended across all age groups and abilities, although evidence was insufficient to quantify a sedentary behaviour threshold. Conclusion These 2020 WHO guidelines update previous WHO recommendations released in 2010. They reaffirm messages that some physical activity is better than none, that more physical activity is better for optimal health outcomes and provide a new recommendation on reducing sedentary behaviours. These guidelines highlight the importance of regularly undertaking both aerobic and muscle strengthening activities and for the first time, there are specific recommendations for specific populations including for pregnant and postpartum women and people living with chronic conditions or disability. These guidelines should be used to inform national health policies aligned with the WHO Global Action Plan on Physical Activity 2018-2030 and to strengthen surveillance systems that track progress towards national and global targets.","author":[{"dropping-particle":"","family":"Bull","given":"Fiona C.","non-dropping-particle":"","parse-names":false,"suffix":""},{"dropping-particle":"","family":"Al-Ansari","given":"Salih S.","non-dropping-particle":"","parse-names":false,"suffix":""},{"dropping-particle":"","family":"Biddle","given":"Stuart","non-dropping-particle":"","parse-names":false,"suffix":""},{"dropping-particle":"","family":"Borodulin","given":"Katja","non-dropping-particle":"","parse-names":false,"suffix":""},{"dropping-particle":"","family":"Buman","given":"Matthew P.","non-dropping-particle":"","parse-names":false,"suffix":""},{"dropping-particle":"","family":"Cardon","given":"Greet","non-dropping-particle":"","parse-names":false,"suffix":""},{"dropping-particle":"","family":"Carty","given":"Catherine","non-dropping-particle":"","parse-names":false,"suffix":""},{"dropping-particle":"","family":"Chaput","given":"Jean Philippe","non-dropping-particle":"","parse-names":false,"suffix":""},{"dropping-particle":"","family":"Chastin","given":"Sebastien","non-dropping-particle":"","parse-names":false,"suffix":""},{"dropping-particle":"","family":"Chou","given":"Roger","non-dropping-particle":"","parse-names":false,"suffix":""},{"dropping-particle":"","family":"Dempsey","given":"Paddy C.","non-dropping-particle":"","parse-names":false,"suffix":""},{"dropping-particle":"","family":"Dipietro","given":"Loretta","non-dropping-particle":"","parse-names":false,"suffix":""},{"dropping-particle":"","family":"Ekelund","given":"Ulf","non-dropping-particle":"","parse-names":false,"suffix":""},{"dropping-particle":"","family":"Firth","given":"Joseph","non-dropping-particle":"","parse-names":false,"suffix":""},{"dropping-particle":"","family":"Friedenreich","given":"Christine M.","non-dropping-particle":"","parse-names":false,"suffix":""},{"dropping-particle":"","family":"Garcia","given":"Leandro","non-dropping-particle":"","parse-names":false,"suffix":""},{"dropping-particle":"","family":"Gichu","given":"Muthoni","non-dropping-particle":"","parse-names":false,"suffix":""},{"dropping-particle":"","family":"Jago","given":"Russell","non-dropping-particle":"","parse-names":false,"suffix":""},{"dropping-particle":"","family":"Katzmarzyk","given":"Peter T.","non-dropping-particle":"","parse-names":false,"suffix":""},{"dropping-particle":"","family":"Lambert","given":"Estelle","non-dropping-particle":"","parse-names":false,"suffix":""},{"dropping-particle":"","family":"Leitzmann","given":"Michael","non-dropping-particle":"","parse-names":false,"suffix":""},{"dropping-particle":"","family":"Milton","given":"Karen","non-dropping-particle":"","parse-names":false,"suffix":""},{"dropping-particle":"","family":"Ortega","given":"Francisco B.","non-dropping-particle":"","parse-names":false,"suffix":""},{"dropping-particle":"","family":"Ranasinghe","given":"Chathuranga","non-dropping-particle":"","parse-names":false,"suffix":""},{"dropping-particle":"","family":"Stamatakis","given":"Emmanuel","non-dropping-particle":"","parse-names":false,"suffix":""},{"dropping-particle":"","family":"Tiedemann","given":"Anne","non-dropping-particle":"","parse-names":false,"suffix":""},{"dropping-particle":"","family":"Troiano","given":"Richard P.","non-dropping-particle":"","parse-names":false,"suffix":""},{"dropping-particle":"","family":"Ploeg","given":"Hidde P.","non-dropping-particle":"Van Der","parse-names":false,"suffix":""},{"dropping-particle":"","family":"Wari","given":"Vicky","non-dropping-particle":"","parse-names":false,"suffix":""},{"dropping-particle":"","family":"Willumsen","given":"Juana F.","non-dropping-particle":"","parse-names":false,"suffix":""}],"container-title":"British Journal of Sports Medicine","id":"ITEM-1","issue":"24","issued":{"date-parts":[["2020","12","1"]]},"page":"1451-1462","publisher":"BMJ Publishing Group","title":"World Health Organization 2020 guidelines on physical activity and sedentary behaviour","type":"article","volume":"54"},"uris":["http://www.mendeley.com/documents/?uuid=1811c69a-4e1b-3a5a-b918-60f4a1fbe220"]},{"id":"ITEM-2","itemData":{"author":[{"dropping-particle":"","family":"WHO","given":"","non-dropping-particle":"","parse-names":false,"suffix":""}],"id":"ITEM-2","issued":{"date-parts":[["2018"]]},"number-of-pages":"1-104","publisher-place":"Geneva","title":"Global Action Plan on Physical Activity 2018-2030: More Active People for a Healthier World","type":"report"},"uris":["http://www.mendeley.com/documents/?uuid=8891155f-3dc2-3b29-839f-edf59daf8f1d"]},{"id":"ITEM-3","itemData":{"author":[{"dropping-particle":"","family":"WHO","given":"","non-dropping-particle":"","parse-names":false,"suffix":""}],"id":"ITEM-3","issued":{"date-parts":[["2016"]]},"number-of-pages":"1-121","publisher-place":"Geneva","title":"Ambient air pollution: A global assessment of exposure and burden of disease","type":"report"},"uris":["http://www.mendeley.com/documents/?uuid=6d0f443d-c76e-3bb0-8013-1291999ff461"]}],"mendeley":{"formattedCitation":"&lt;sup&gt;47–49&lt;/sup&gt;","plainTextFormattedCitation":"47–49","previouslyFormattedCitation":"&lt;sup&gt;47–49&lt;/sup&gt;"},"properties":{"noteIndex":0},"schema":"https://github.com/citation-style-language/schema/raw/master/csl-citation.json"}</w:instrText>
      </w:r>
      <w:r w:rsidRPr="000E55C1">
        <w:rPr>
          <w:rStyle w:val="normaltextrun"/>
          <w:rFonts w:eastAsia="Corbel" w:cstheme="minorHAnsi"/>
          <w:lang w:eastAsia="en-GB"/>
        </w:rPr>
        <w:fldChar w:fldCharType="separate"/>
      </w:r>
      <w:r w:rsidR="00660864" w:rsidRPr="000E55C1">
        <w:rPr>
          <w:rStyle w:val="normaltextrun"/>
          <w:rFonts w:eastAsia="Corbel" w:cstheme="minorHAnsi"/>
          <w:noProof/>
          <w:vertAlign w:val="superscript"/>
          <w:lang w:eastAsia="en-GB"/>
        </w:rPr>
        <w:t>47–49</w:t>
      </w:r>
      <w:r w:rsidRPr="000E55C1">
        <w:rPr>
          <w:rStyle w:val="normaltextrun"/>
          <w:rFonts w:eastAsia="Corbel" w:cstheme="minorHAnsi"/>
          <w:lang w:eastAsia="en-GB"/>
        </w:rPr>
        <w:fldChar w:fldCharType="end"/>
      </w:r>
      <w:r w:rsidRPr="000E55C1">
        <w:rPr>
          <w:rStyle w:val="normaltextrun"/>
          <w:rFonts w:eastAsia="Corbel" w:cstheme="minorHAnsi"/>
          <w:lang w:eastAsia="en-GB"/>
        </w:rPr>
        <w:t>. For homes, providing well-insulated homes reduce the costs for the millions of families living in the poverty in the UK to achieve an appropriate internal temperature. This is strongly linked to healthy living. Reduced NOx and particulate emissions associated with EVs and HPs also have health benefits</w:t>
      </w:r>
      <w:r w:rsidRPr="000E55C1">
        <w:rPr>
          <w:rStyle w:val="normaltextrun"/>
          <w:rFonts w:eastAsia="Corbel" w:cstheme="minorHAnsi"/>
          <w:lang w:eastAsia="en-GB"/>
        </w:rPr>
        <w:fldChar w:fldCharType="begin" w:fldLock="1"/>
      </w:r>
      <w:r w:rsidR="00660864" w:rsidRPr="000E55C1">
        <w:rPr>
          <w:rStyle w:val="normaltextrun"/>
          <w:rFonts w:eastAsia="Corbel" w:cstheme="minorHAnsi"/>
          <w:lang w:eastAsia="en-GB"/>
        </w:rPr>
        <w:instrText>ADDIN CSL_CITATION {"citationItems":[{"id":"ITEM-1","itemData":{"DOI":"10.1016/S0140-6736(20)32290-X","abstract":"Translations: For the Chinese, French, German, and Spanish translations of the abstract see Supplementary Materials section.","author":[{"dropping-particle":"","family":"Watts","given":"Nick","non-dropping-particle":"","parse-names":false,"suffix":""},{"dropping-particle":"","family":"Amann","given":"Markus","non-dropping-particle":"","parse-names":false,"suffix":""},{"dropping-particle":"","family":"Arnell","given":"Nigel","non-dropping-particle":"","parse-names":false,"suffix":""},{"dropping-particle":"","family":"Ayeb-Karlsson","given":"Sonja","non-dropping-particle":"","parse-names":false,"suffix":""},{"dropping-particle":"","family":"Beagley","given":"Jessica","non-dropping-particle":"","parse-names":false,"suffix":""},{"dropping-particle":"","family":"Belesova","given":"Kristine","non-dropping-particle":"","parse-names":false,"suffix":""},{"dropping-particle":"","family":"Boykoff","given":"Maxwell","non-dropping-particle":"","parse-names":false,"suffix":""},{"dropping-particle":"","family":"Byass","given":"Peter","non-dropping-particle":"","parse-names":false,"suffix":""},{"dropping-particle":"","family":"Cai","given":"Wenjia","non-dropping-particle":"","parse-names":false,"suffix":""},{"dropping-particle":"","family":"Campbell-Lendrum","given":"Diarmid","non-dropping-particle":"","parse-names":false,"suffix":""},{"dropping-particle":"","family":"Capstick","given":"Stuart","non-dropping-particle":"","parse-names":false,"suffix":""},{"dropping-particle":"","family":"Chambers","given":"Jonathan","non-dropping-particle":"","parse-names":false,"suffix":""},{"dropping-particle":"","family":"Coleman","given":"Samantha","non-dropping-particle":"","parse-names":false,"suffix":""},{"dropping-particle":"","family":"Dalin","given":"Carole","non-dropping-particle":"","parse-names":false,"suffix":""},{"dropping-particle":"","family":"Daly","given":"Meaghan","non-dropping-particle":"","parse-names":false,"suffix":""},{"dropping-particle":"","family":"Dasandi","given":"Niheer","non-dropping-particle":"","parse-names":false,"suffix":""},{"dropping-particle":"","family":"Dasgupta","given":"Shouro","non-dropping-particle":"","parse-names":false,"suffix":""},{"dropping-particle":"","family":"Davies","given":"Michael","non-dropping-particle":"","parse-names":false,"suffix":""},{"dropping-particle":"","family":"Napoli","given":"Claudia","non-dropping-particle":"Di","parse-names":false,"suffix":""},{"dropping-particle":"","family":"Dominguez-Salas","given":"Paula","non-dropping-particle":"","parse-names":false,"suffix":""},{"dropping-particle":"","family":"Drummond","given":"Paul","non-dropping-particle":"","parse-names":false,"suffix":""},{"dropping-particle":"","family":"Dubrow","given":"Robert","non-dropping-particle":"","parse-names":false,"suffix":""},{"dropping-particle":"","family":"Ebi","given":"Kristie L.","non-dropping-particle":"","parse-names":false,"suffix":""},{"dropping-particle":"","family":"Eckelman","given":"Matthew","non-dropping-particle":"","parse-names":false,"suffix":""},{"dropping-particle":"","family":"Ekins","given":"Paul","non-dropping-particle":"","parse-names":false,"suffix":""},{"dropping-particle":"","family":"Escobar","given":"Luis E.","non-dropping-particle":"","parse-names":false,"suffix":""},{"dropping-particle":"","family":"Georgeson","given":"Lucien","non-dropping-particle":"","parse-names":false,"suffix":""},{"dropping-particle":"","family":"Golder","given":"Su","non-dropping-particle":"","parse-names":false,"suffix":""},{"dropping-particle":"","family":"Grace","given":"Delia","non-dropping-particle":"","parse-names":false,"suffix":""},{"dropping-particle":"","family":"Graham","given":"Hilary","non-dropping-particle":"","parse-names":false,"suffix":""},{"dropping-particle":"","family":"Haggar","given":"Paul","non-dropping-particle":"","parse-names":false,"suffix":""},{"dropping-particle":"","family":"Hamilton","given":"Ian","non-dropping-particle":"","parse-names":false,"suffix":""},{"dropping-particle":"","family":"Hartinger","given":"Stella","non-dropping-particle":"","parse-names":false,"suffix":""},{"dropping-particle":"","family":"Hess","given":"Jeremy","non-dropping-particle":"","parse-names":false,"suffix":""},{"dropping-particle":"","family":"Hsu","given":"Shih Che","non-dropping-particle":"","parse-names":false,"suffix":""},{"dropping-particle":"","family":"Hughes","given":"Nick","non-dropping-particle":"","parse-names":false,"suffix":""},{"dropping-particle":"","family":"Jankin Mikhaylov","given":"Slava","non-dropping-particle":"","parse-names":false,"suffix":""},{"dropping-particle":"","family":"Jimenez","given":"Marcia P.","non-dropping-particle":"","parse-names":false,"suffix":""},{"dropping-particle":"","family":"Kelman","given":"Ilan","non-dropping-particle":"","parse-names":false,"suffix":""},{"dropping-particle":"","family":"Kennard","given":"Harry","non-dropping-particle":"","parse-names":false,"suffix":""},{"dropping-particle":"","family":"Kiesewetter","given":"Gregor","non-dropping-particle":"","parse-names":false,"suffix":""},{"dropping-particle":"","family":"Kinney","given":"Patrick L.","non-dropping-particle":"","parse-names":false,"suffix":""},{"dropping-particle":"","family":"Kjellstrom","given":"Tord","non-dropping-particle":"","parse-names":false,"suffix":""},{"dropping-particle":"","family":"Kniveton","given":"Dominic","non-dropping-particle":"","parse-names":false,"suffix":""},{"dropping-particle":"","family":"Lampard","given":"Pete","non-dropping-particle":"","parse-names":false,"suffix":""},{"dropping-particle":"","family":"Lemke","given":"Bruno","non-dropping-particle":"","parse-names":false,"suffix":""},{"dropping-particle":"","family":"Liu","given":"Yang","non-dropping-particle":"","parse-names":false,"suffix":""},{"dropping-particle":"","family":"Liu","given":"Zhao","non-dropping-particle":"","parse-names":false,"suffix":""},{"dropping-particle":"","family":"Lott","given":"Melissa","non-dropping-particle":"","parse-names":false,"suffix":""},{"dropping-particle":"","family":"Lowe","given":"Rachel","non-dropping-particle":"","parse-names":false,"suffix":""},{"dropping-particle":"","family":"Martinez-Urtaza","given":"Jaime","non-dropping-particle":"","parse-names":false,"suffix":""},{"dropping-particle":"","family":"Maslin","given":"Mark","non-dropping-particle":"","parse-names":false,"suffix":""},{"dropping-particle":"","family":"McAllister","given":"Lucy","non-dropping-particle":"","parse-names":false,"suffix":""},{"dropping-particle":"","family":"McGushin","given":"Alice","non-dropping-particle":"","parse-names":false,"suffix":""},{"dropping-particle":"","family":"McMichael","given":"Celia","non-dropping-particle":"","parse-names":false,"suffix":""},{"dropping-particle":"","family":"Milner","given":"James","non-dropping-particle":"","parse-names":false,"suffix":""},{"dropping-particle":"","family":"Moradi-Lakeh","given":"Maziar","non-dropping-particle":"","parse-names":false,"suffix":""},{"dropping-particle":"","family":"Morrissey","given":"Karyn","non-dropping-particle":"","parse-names":false,"suffix":""},{"dropping-particle":"","family":"Munzert","given":"Simon","non-dropping-particle":"","parse-names":false,"suffix":""},{"dropping-particle":"","family":"Murray","given":"Kris A.","non-dropping-particle":"","parse-names":false,"suffix":""},{"dropping-particle":"","family":"Neville","given":"Tara","non-dropping-particle":"","parse-names":false,"suffix":""},{"dropping-particle":"","family":"Nilsson","given":"Maria","non-dropping-particle":"","parse-names":false,"suffix":""},{"dropping-particle":"","family":"Sewe","given":"Maquins Odhiambo","non-dropping-particle":"","parse-names":false,"suffix":""},{"dropping-particle":"","family":"Oreszczyn","given":"Tadj","non-dropping-particle":"","parse-names":false,"suffix":""},{"dropping-particle":"","family":"Otto","given":"Matthias","non-dropping-particle":"","parse-names":false,"suffix":""},{"dropping-particle":"","family":"Owfi","given":"Fereidoon","non-dropping-particle":"","parse-names":false,"suffix":""},{"dropping-particle":"","family":"Pearman","given":"Olivia","non-dropping-particle":"","parse-names":false,"suffix":""},{"dropping-particle":"","family":"Pencheon","given":"David","non-dropping-particle":"","parse-names":false,"suffix":""},{"dropping-particle":"","family":"Quinn","given":"Ruth","non-dropping-particle":"","parse-names":false,"suffix":""},{"dropping-particle":"","family":"Rabbaniha","given":"Mahnaz","non-dropping-particle":"","parse-names":false,"suffix":""},{"dropping-particle":"","family":"Robinson","given":"Elizabeth","non-dropping-particle":"","parse-names":false,"suffix":""},{"dropping-particle":"","family":"Rocklöv","given":"Joacim","non-dropping-particle":"","parse-names":false,"suffix":""},{"dropping-particle":"","family":"Romanello","given":"Marina","non-dropping-particle":"","parse-names":false,"suffix":""},{"dropping-particle":"","family":"Semenza","given":"Jan C.","non-dropping-particle":"","parse-names":false,"suffix":""},{"dropping-particle":"","family":"Sherman","given":"Jodi","non-dropping-particle":"","parse-names":false,"suffix":""},{"dropping-particle":"","family":"Shi","given":"Liuhua","non-dropping-particle":"","parse-names":false,"suffix":""},{"dropping-particle":"","family":"Springmann","given":"Marco","non-dropping-particle":"","parse-names":false,"suffix":""},{"dropping-particle":"","family":"Tabatabaei","given":"Meisam","non-dropping-particle":"","parse-names":false,"suffix":""},{"dropping-particle":"","family":"Taylor","given":"Jonathon","non-dropping-particle":"","parse-names":false,"suffix":""},{"dropping-particle":"","family":"Triñanes","given":"Joaquin","non-dropping-particle":"","parse-names":false,"suffix":""},{"dropping-particle":"","family":"Shumake-Guillemot","given":"Joy","non-dropping-particle":"","parse-names":false,"suffix":""},{"dropping-particle":"","family":"Vu","given":"Bryan","non-dropping-particle":"","parse-names":false,"suffix":""},{"dropping-particle":"","family":"Wilkinson","given":"Paul","non-dropping-particle":"","parse-names":false,"suffix":""},{"dropping-particle":"","family":"Winning","given":"Matthew","non-dropping-particle":"","parse-names":false,"suffix":""},{"dropping-particle":"","family":"Gong","given":"Peng","non-dropping-particle":"","parse-names":false,"suffix":""},{"dropping-particle":"","family":"Montgomery","given":"Hugh","non-dropping-particle":"","parse-names":false,"suffix":""},{"dropping-particle":"","family":"Costello","given":"Anthony","non-dropping-particle":"","parse-names":false,"suffix":""}],"container-title":"The Lancet","id":"ITEM-1","issue":"10269","issued":{"date-parts":[["2021","1","9"]]},"page":"129-170","publisher":"Lancet Publishing Group","title":"The 2020 report of The Lancet Countdown on health and climate change: responding to converging crises","type":"article-journal","volume":"397"},"uris":["http://www.mendeley.com/documents/?uuid=89ffdbb8-d43a-34e8-aec4-db6b9fd287fd"]}],"mendeley":{"formattedCitation":"&lt;sup&gt;50&lt;/sup&gt;","plainTextFormattedCitation":"50","previouslyFormattedCitation":"&lt;sup&gt;50&lt;/sup&gt;"},"properties":{"noteIndex":0},"schema":"https://github.com/citation-style-language/schema/raw/master/csl-citation.json"}</w:instrText>
      </w:r>
      <w:r w:rsidRPr="000E55C1">
        <w:rPr>
          <w:rStyle w:val="normaltextrun"/>
          <w:rFonts w:eastAsia="Corbel" w:cstheme="minorHAnsi"/>
          <w:lang w:eastAsia="en-GB"/>
        </w:rPr>
        <w:fldChar w:fldCharType="separate"/>
      </w:r>
      <w:r w:rsidR="00660864" w:rsidRPr="000E55C1">
        <w:rPr>
          <w:rStyle w:val="normaltextrun"/>
          <w:rFonts w:eastAsia="Corbel" w:cstheme="minorHAnsi"/>
          <w:noProof/>
          <w:vertAlign w:val="superscript"/>
          <w:lang w:eastAsia="en-GB"/>
        </w:rPr>
        <w:t>50</w:t>
      </w:r>
      <w:r w:rsidRPr="000E55C1">
        <w:rPr>
          <w:rStyle w:val="normaltextrun"/>
          <w:rFonts w:eastAsia="Corbel" w:cstheme="minorHAnsi"/>
          <w:lang w:eastAsia="en-GB"/>
        </w:rPr>
        <w:fldChar w:fldCharType="end"/>
      </w:r>
      <w:r w:rsidRPr="000E55C1">
        <w:rPr>
          <w:rStyle w:val="normaltextrun"/>
          <w:rFonts w:eastAsia="Corbel" w:cstheme="minorHAnsi"/>
          <w:lang w:eastAsia="en-GB"/>
        </w:rPr>
        <w:t>. The scenarios developed here thus assume that health and wellbeing will become increasingly important to both individuals and policy makers in light of the global pandemic. This societal priority is reflected in the significant wellbeing benefits of the scenarios developed.</w:t>
      </w:r>
    </w:p>
    <w:p w14:paraId="33C1D78F" w14:textId="6731D815" w:rsidR="009627EA" w:rsidRPr="000E55C1" w:rsidRDefault="00660864" w:rsidP="009627EA">
      <w:pPr>
        <w:pStyle w:val="Heading3"/>
        <w:rPr>
          <w:rStyle w:val="normaltextrun"/>
          <w:rFonts w:asciiTheme="minorHAnsi" w:eastAsia="Times New Roman" w:hAnsiTheme="minorHAnsi" w:cstheme="minorHAnsi"/>
          <w:sz w:val="22"/>
          <w:szCs w:val="22"/>
          <w:lang w:eastAsia="en-GB"/>
        </w:rPr>
      </w:pPr>
      <w:bookmarkStart w:id="10" w:name="_Toc77587875"/>
      <w:r w:rsidRPr="000E55C1">
        <w:rPr>
          <w:rStyle w:val="normaltextrun"/>
          <w:rFonts w:asciiTheme="minorHAnsi" w:eastAsia="Times New Roman" w:hAnsiTheme="minorHAnsi" w:cstheme="minorHAnsi"/>
          <w:sz w:val="22"/>
          <w:szCs w:val="22"/>
          <w:lang w:eastAsia="en-GB"/>
        </w:rPr>
        <w:t>3</w:t>
      </w:r>
      <w:r w:rsidR="009627EA" w:rsidRPr="000E55C1">
        <w:rPr>
          <w:rStyle w:val="normaltextrun"/>
          <w:rFonts w:asciiTheme="minorHAnsi" w:eastAsia="Times New Roman" w:hAnsiTheme="minorHAnsi" w:cstheme="minorHAnsi"/>
          <w:sz w:val="22"/>
          <w:szCs w:val="22"/>
          <w:lang w:eastAsia="en-GB"/>
        </w:rPr>
        <w:t>.5 Increasing environmental awareness</w:t>
      </w:r>
      <w:bookmarkEnd w:id="10"/>
    </w:p>
    <w:p w14:paraId="2E77474A" w14:textId="6FBD11CC" w:rsidR="009627EA" w:rsidRPr="000E55C1" w:rsidRDefault="009627EA" w:rsidP="009627EA">
      <w:pPr>
        <w:rPr>
          <w:rStyle w:val="normaltextrun"/>
          <w:rFonts w:eastAsia="Times New Roman" w:cstheme="minorHAnsi"/>
          <w:lang w:eastAsia="en-GB"/>
        </w:rPr>
      </w:pPr>
      <w:r w:rsidRPr="000E55C1">
        <w:rPr>
          <w:rStyle w:val="normaltextrun"/>
          <w:rFonts w:eastAsia="Times New Roman" w:cstheme="minorHAnsi"/>
          <w:lang w:eastAsia="en-GB"/>
        </w:rPr>
        <w:t>As climate and ecological breakdown accelerates and significant climate impacts of events such as wildfires and flooding gain global attention, public concern for the environment grows across the globe. In the UK context, in January 2020 (before the COVID19 Pandemic), the environment ranked in the top 3 issues facing the country for over 30% of the British public</w:t>
      </w:r>
      <w:r w:rsidRPr="000E55C1">
        <w:rPr>
          <w:rStyle w:val="normaltextrun"/>
          <w:rFonts w:eastAsia="Times New Roman" w:cstheme="minorHAnsi"/>
          <w:lang w:eastAsia="en-GB"/>
        </w:rPr>
        <w:fldChar w:fldCharType="begin" w:fldLock="1"/>
      </w:r>
      <w:r w:rsidR="00660864" w:rsidRPr="000E55C1">
        <w:rPr>
          <w:rStyle w:val="normaltextrun"/>
          <w:rFonts w:eastAsia="Times New Roman" w:cstheme="minorHAnsi"/>
          <w:lang w:eastAsia="en-GB"/>
        </w:rPr>
        <w:instrText>ADDIN CSL_CITATION {"citationItems":[{"id":"ITEM-1","itemData":{"URL":"https://yougov.co.uk/topics/politics/trackers/the-most-important-issues-facing-the-country","accessed":{"date-parts":[["2021","1","19"]]},"author":[{"dropping-particle":"","family":"YouGov","given":"","non-dropping-particle":"","parse-names":false,"suffix":""}],"id":"ITEM-1","issued":{"date-parts":[["2021"]]},"title":"The most important issues facing the country","type":"webpage"},"uris":["http://www.mendeley.com/documents/?uuid=98681dd2-2dda-30fe-a7a6-5b2392ac9991"]}],"mendeley":{"formattedCitation":"&lt;sup&gt;51&lt;/sup&gt;","plainTextFormattedCitation":"51","previouslyFormattedCitation":"&lt;sup&gt;51&lt;/sup&gt;"},"properties":{"noteIndex":0},"schema":"https://github.com/citation-style-language/schema/raw/master/csl-citation.json"}</w:instrText>
      </w:r>
      <w:r w:rsidRPr="000E55C1">
        <w:rPr>
          <w:rStyle w:val="normaltextrun"/>
          <w:rFonts w:eastAsia="Times New Roman" w:cstheme="minorHAnsi"/>
          <w:vertAlign w:val="superscript"/>
          <w:lang w:eastAsia="en-GB"/>
        </w:rPr>
        <w:fldChar w:fldCharType="separate"/>
      </w:r>
      <w:r w:rsidR="00660864" w:rsidRPr="000E55C1">
        <w:rPr>
          <w:rStyle w:val="normaltextrun"/>
          <w:rFonts w:eastAsia="Times New Roman" w:cstheme="minorHAnsi"/>
          <w:noProof/>
          <w:vertAlign w:val="superscript"/>
          <w:lang w:eastAsia="en-GB"/>
        </w:rPr>
        <w:t>51</w:t>
      </w:r>
      <w:r w:rsidRPr="000E55C1">
        <w:rPr>
          <w:rStyle w:val="normaltextrun"/>
          <w:rFonts w:eastAsia="Times New Roman" w:cstheme="minorHAnsi"/>
          <w:lang w:eastAsia="en-GB"/>
        </w:rPr>
        <w:fldChar w:fldCharType="end"/>
      </w:r>
      <w:r w:rsidRPr="000E55C1">
        <w:rPr>
          <w:rStyle w:val="normaltextrun"/>
          <w:rFonts w:eastAsia="Times New Roman" w:cstheme="minorHAnsi"/>
          <w:lang w:eastAsia="en-GB"/>
        </w:rPr>
        <w:t>. This high point of environmental awareness largely correlates with the notable rise in high profile climate activism during 2019</w:t>
      </w:r>
      <w:r w:rsidRPr="000E55C1">
        <w:rPr>
          <w:rStyle w:val="normaltextrun"/>
          <w:rFonts w:eastAsia="Times New Roman" w:cstheme="minorHAnsi"/>
          <w:lang w:eastAsia="en-GB"/>
        </w:rPr>
        <w:fldChar w:fldCharType="begin" w:fldLock="1"/>
      </w:r>
      <w:r w:rsidR="00660864" w:rsidRPr="000E55C1">
        <w:rPr>
          <w:rStyle w:val="normaltextrun"/>
          <w:rFonts w:eastAsia="Times New Roman" w:cstheme="minorHAnsi"/>
          <w:lang w:eastAsia="en-GB"/>
        </w:rPr>
        <w:instrText>ADDIN CSL_CITATION {"citationItems":[{"id":"ITEM-1","itemData":{"URL":"https://yougov.co.uk/topics/politics/trackers/the-most-important-issues-facing-the-country","accessed":{"date-parts":[["2021","1","19"]]},"author":[{"dropping-particle":"","family":"YouGov","given":"","non-dropping-particle":"","parse-names":false,"suffix":""}],"id":"ITEM-1","issued":{"date-parts":[["2021"]]},"title":"The most important issues facing the country","type":"webpage"},"uris":["http://www.mendeley.com/documents/?uuid=98681dd2-2dda-30fe-a7a6-5b2392ac9991"]}],"mendeley":{"formattedCitation":"&lt;sup&gt;51&lt;/sup&gt;","plainTextFormattedCitation":"51","previouslyFormattedCitation":"&lt;sup&gt;51&lt;/sup&gt;"},"properties":{"noteIndex":0},"schema":"https://github.com/citation-style-language/schema/raw/master/csl-citation.json"}</w:instrText>
      </w:r>
      <w:r w:rsidRPr="000E55C1">
        <w:rPr>
          <w:rStyle w:val="normaltextrun"/>
          <w:rFonts w:eastAsia="Times New Roman" w:cstheme="minorHAnsi"/>
          <w:lang w:eastAsia="en-GB"/>
        </w:rPr>
        <w:fldChar w:fldCharType="separate"/>
      </w:r>
      <w:r w:rsidR="00660864" w:rsidRPr="000E55C1">
        <w:rPr>
          <w:rStyle w:val="normaltextrun"/>
          <w:rFonts w:eastAsia="Times New Roman" w:cstheme="minorHAnsi"/>
          <w:noProof/>
          <w:vertAlign w:val="superscript"/>
          <w:lang w:eastAsia="en-GB"/>
        </w:rPr>
        <w:t>51</w:t>
      </w:r>
      <w:r w:rsidRPr="000E55C1">
        <w:rPr>
          <w:rStyle w:val="normaltextrun"/>
          <w:rFonts w:eastAsia="Times New Roman" w:cstheme="minorHAnsi"/>
          <w:lang w:eastAsia="en-GB"/>
        </w:rPr>
        <w:fldChar w:fldCharType="end"/>
      </w:r>
      <w:r w:rsidRPr="000E55C1">
        <w:rPr>
          <w:rStyle w:val="normaltextrun"/>
          <w:rFonts w:eastAsia="Times New Roman" w:cstheme="minorHAnsi"/>
          <w:lang w:eastAsia="en-GB"/>
        </w:rPr>
        <w:t>. Whilst during the COVID-19 pandemic, public concern relative to other issues has fallen, a quarter of views captured still suggest the environment is a significant issue. As captured by opinion polling and academic studies, at the beginning of the last decade environmental awareness and concern about the climate was relatively low, suggesting increasing environmental concern is a significant trend</w:t>
      </w:r>
      <w:r w:rsidRPr="000E55C1">
        <w:rPr>
          <w:rStyle w:val="normaltextrun"/>
          <w:rFonts w:eastAsia="Times New Roman" w:cstheme="minorHAnsi"/>
          <w:lang w:eastAsia="en-GB"/>
        </w:rPr>
        <w:fldChar w:fldCharType="begin" w:fldLock="1"/>
      </w:r>
      <w:r w:rsidR="00660864" w:rsidRPr="000E55C1">
        <w:rPr>
          <w:rStyle w:val="normaltextrun"/>
          <w:rFonts w:eastAsia="Times New Roman" w:cstheme="minorHAnsi"/>
          <w:lang w:eastAsia="en-GB"/>
        </w:rPr>
        <w:instrText>ADDIN CSL_CITATION {"citationItems":[{"id":"ITEM-1","itemData":{"DOI":"10.1080/14693062.2012.702982","ISSN":"17527457","abstract":"Although levels of concern and awareness about climate change have been rising in many nations over the past 20 years, climate change remains of low importance relative to other global or personal issues. Powerful contextual barriers act to prevent public engagement with it, such as psychological distancing and externalized responsibility. Despite extensive media coverage of the issue since 2006 there was a gradual decrease in public concern between 2006 and 2010. Possible explanations are issue fatigue, the impact of the global financial crisis, distrust, and the deepening politicization of the issue. Risk and uncertainty will become part of the debate about climate change policy in the future. Although engaging both the public and decision makers needs to draw upon the best guidance already developed in communicating risk, it is also likely that a radical reframing of the terms of public debate and new approaches to 'risk communication' will be needed. The most significant risk to achieving ambitious climate mitigation and adaptation goals appears to be the 'governance trap' engendered by current national and international systems of governance, such that the public and governments each seek to attribute responsibility for instigating change to the other. © 2012 Copyright Taylor and Francis Group, LLC.","author":[{"dropping-particle":"","family":"Pidgeon","given":"Nick","non-dropping-particle":"","parse-names":false,"suffix":""}],"container-title":"Climate Policy","id":"ITEM-1","issue":"SUPPL. 1","issued":{"date-parts":[["2012"]]},"publisher":"Taylor and Francis Ltd.","title":"Public understanding of, and attitudes to, climate change: UK and international perspectives and policy","type":"article-journal","volume":"12"},"uris":["http://www.mendeley.com/documents/?uuid=cfc258b6-9b43-38d7-834a-e64405bd7be2"]},{"id":"ITEM-2","itemData":{"URL":"https://yougov.co.uk/topics/politics/trackers/the-most-important-issues-facing-the-country","accessed":{"date-parts":[["2021","1","19"]]},"author":[{"dropping-particle":"","family":"YouGov","given":"","non-dropping-particle":"","parse-names":false,"suffix":""}],"id":"ITEM-2","issued":{"date-parts":[["2021"]]},"title":"The most important issues facing the country","type":"webpage"},"uris":["http://www.mendeley.com/documents/?uuid=98681dd2-2dda-30fe-a7a6-5b2392ac9991"]}],"mendeley":{"formattedCitation":"&lt;sup&gt;51,52&lt;/sup&gt;","plainTextFormattedCitation":"51,52","previouslyFormattedCitation":"&lt;sup&gt;51,52&lt;/sup&gt;"},"properties":{"noteIndex":0},"schema":"https://github.com/citation-style-language/schema/raw/master/csl-citation.json"}</w:instrText>
      </w:r>
      <w:r w:rsidRPr="000E55C1">
        <w:rPr>
          <w:rStyle w:val="normaltextrun"/>
          <w:rFonts w:eastAsia="Times New Roman" w:cstheme="minorHAnsi"/>
          <w:lang w:eastAsia="en-GB"/>
        </w:rPr>
        <w:fldChar w:fldCharType="separate"/>
      </w:r>
      <w:r w:rsidR="00660864" w:rsidRPr="000E55C1">
        <w:rPr>
          <w:rStyle w:val="normaltextrun"/>
          <w:rFonts w:eastAsia="Times New Roman" w:cstheme="minorHAnsi"/>
          <w:noProof/>
          <w:vertAlign w:val="superscript"/>
          <w:lang w:eastAsia="en-GB"/>
        </w:rPr>
        <w:t>51,52</w:t>
      </w:r>
      <w:r w:rsidRPr="000E55C1">
        <w:rPr>
          <w:rStyle w:val="normaltextrun"/>
          <w:rFonts w:eastAsia="Times New Roman" w:cstheme="minorHAnsi"/>
          <w:lang w:eastAsia="en-GB"/>
        </w:rPr>
        <w:fldChar w:fldCharType="end"/>
      </w:r>
      <w:r w:rsidRPr="000E55C1">
        <w:rPr>
          <w:rStyle w:val="normaltextrun"/>
          <w:rFonts w:eastAsia="Times New Roman" w:cstheme="minorHAnsi"/>
          <w:lang w:eastAsia="en-GB"/>
        </w:rPr>
        <w:t xml:space="preserve">. </w:t>
      </w:r>
    </w:p>
    <w:p w14:paraId="30F6C085" w14:textId="10FCA58C" w:rsidR="009627EA" w:rsidRPr="000E55C1" w:rsidRDefault="009627EA" w:rsidP="009627EA">
      <w:pPr>
        <w:rPr>
          <w:rStyle w:val="normaltextrun"/>
          <w:rFonts w:eastAsia="Times New Roman" w:cstheme="minorHAnsi"/>
          <w:lang w:eastAsia="en-GB"/>
        </w:rPr>
      </w:pPr>
      <w:r w:rsidRPr="000E55C1">
        <w:rPr>
          <w:rStyle w:val="normaltextrun"/>
          <w:rFonts w:eastAsia="Times New Roman" w:cstheme="minorHAnsi"/>
          <w:lang w:eastAsia="en-GB"/>
        </w:rPr>
        <w:t>Increasing environmental awareness and concern about the climate crisis is already having impacts on the demand for energy services. For example, in nutrition, there is a significant trend towards reducing meat consumption in diets. Whilst the empirical data on national spread of diets is poor, several market surveys have suggested the number of vegetarians has vastly increased in the last 5 years</w:t>
      </w:r>
      <w:r w:rsidRPr="000E55C1">
        <w:rPr>
          <w:rStyle w:val="normaltextrun"/>
          <w:rFonts w:eastAsia="Times New Roman" w:cstheme="minorHAnsi"/>
          <w:lang w:eastAsia="en-GB"/>
        </w:rPr>
        <w:fldChar w:fldCharType="begin" w:fldLock="1"/>
      </w:r>
      <w:r w:rsidR="00660864" w:rsidRPr="000E55C1">
        <w:rPr>
          <w:rStyle w:val="normaltextrun"/>
          <w:rFonts w:eastAsia="Times New Roman" w:cstheme="minorHAnsi"/>
          <w:lang w:eastAsia="en-GB"/>
        </w:rPr>
        <w:instrText>ADDIN CSL_CITATION {"citationItems":[{"id":"ITEM-1","itemData":{"abstract":"% % % % % % % % % % % % % % % % % % % %","author":[{"dropping-particle":"","family":"YouGov","given":"","non-dropping-particle":"","parse-names":false,"suffix":""}],"id":"ITEM-1","issued":{"date-parts":[["2017"]]},"title":"YouGov / Eating Better Survey Results","type":"report"},"uris":["http://www.mendeley.com/documents/?uuid=9a8b96e4-67a1-36b2-bdf2-38661aef9a5b"]},{"id":"ITEM-2","itemData":{"URL":"https://www.waitrose.com/content/dam/waitrose/Inspiration/Waitrose &amp; Partners Food and Drink Report 2018.pdf","accessed":{"date-parts":[["2021","1","20"]]},"author":[{"dropping-particle":"","family":"Waitrose &amp; Partners","given":"","non-dropping-particle":"","parse-names":false,"suffix":""}],"id":"ITEM-2","issued":{"date-parts":[["2019"]]},"title":"Food and Drink Report 2018-2019","type":"webpage"},"uris":["http://www.mendeley.com/documents/?uuid=dd462fdc-c9f2-3040-adaf-0dd5e291fd00"]},{"id":"ITEM-3","itemData":{"URL":"https://www.finder.com/uk/uk-diet-trends","accessed":{"date-parts":[["2021","1","20"]]},"author":[{"dropping-particle":"","family":"Finder UK","given":"","non-dropping-particle":"","parse-names":false,"suffix":""}],"id":"ITEM-3","issued":{"date-parts":[["2021"]]},"title":"UK diet trends 2021 | Finder UK","type":"webpage"},"uris":["http://www.mendeley.com/documents/?uuid=b907d790-3ccc-3f18-b510-0ef6e42b4242"]}],"mendeley":{"formattedCitation":"&lt;sup&gt;44,53,54&lt;/sup&gt;","plainTextFormattedCitation":"44,53,54","previouslyFormattedCitation":"&lt;sup&gt;44,53,54&lt;/sup&gt;"},"properties":{"noteIndex":0},"schema":"https://github.com/citation-style-language/schema/raw/master/csl-citation.json"}</w:instrText>
      </w:r>
      <w:r w:rsidRPr="000E55C1">
        <w:rPr>
          <w:rStyle w:val="normaltextrun"/>
          <w:rFonts w:eastAsia="Times New Roman" w:cstheme="minorHAnsi"/>
          <w:vertAlign w:val="superscript"/>
          <w:lang w:eastAsia="en-GB"/>
        </w:rPr>
        <w:fldChar w:fldCharType="separate"/>
      </w:r>
      <w:r w:rsidR="00660864" w:rsidRPr="000E55C1">
        <w:rPr>
          <w:rStyle w:val="normaltextrun"/>
          <w:rFonts w:eastAsia="Times New Roman" w:cstheme="minorHAnsi"/>
          <w:noProof/>
          <w:vertAlign w:val="superscript"/>
          <w:lang w:eastAsia="en-GB"/>
        </w:rPr>
        <w:t>44,53,54</w:t>
      </w:r>
      <w:r w:rsidRPr="000E55C1">
        <w:rPr>
          <w:rStyle w:val="normaltextrun"/>
          <w:rFonts w:eastAsia="Times New Roman" w:cstheme="minorHAnsi"/>
          <w:lang w:eastAsia="en-GB"/>
        </w:rPr>
        <w:fldChar w:fldCharType="end"/>
      </w:r>
      <w:r w:rsidRPr="000E55C1">
        <w:rPr>
          <w:rStyle w:val="normaltextrun"/>
          <w:rFonts w:eastAsia="Times New Roman" w:cstheme="minorHAnsi"/>
          <w:lang w:eastAsia="en-GB"/>
        </w:rPr>
        <w:t xml:space="preserve">. Some estimate that up to 33.5% of the population are reducing or cutting out meat from their diets </w:t>
      </w:r>
      <w:r w:rsidRPr="000E55C1">
        <w:rPr>
          <w:rStyle w:val="normaltextrun"/>
          <w:rFonts w:eastAsia="Corbel" w:cstheme="minorHAnsi"/>
          <w:lang w:eastAsia="en-GB"/>
        </w:rPr>
        <w:fldChar w:fldCharType="begin" w:fldLock="1"/>
      </w:r>
      <w:r w:rsidR="00660864" w:rsidRPr="000E55C1">
        <w:rPr>
          <w:rStyle w:val="normaltextrun"/>
          <w:rFonts w:eastAsia="Corbel" w:cstheme="minorHAnsi"/>
          <w:lang w:eastAsia="en-GB"/>
        </w:rPr>
        <w:instrText>ADDIN CSL_CITATION {"citationItems":[{"id":"ITEM-1","itemData":{"URL":"https://www.waitrose.com/content/dam/waitrose/Inspiration/Waitrose &amp; Partners Food and Drink Report 2018.pdf","accessed":{"date-parts":[["2021","1","20"]]},"author":[{"dropping-particle":"","family":"Waitrose &amp; Partners","given":"","non-dropping-particle":"","parse-names":false,"suffix":""}],"id":"ITEM-1","issued":{"date-parts":[["2019"]]},"title":"Food and Drink Report 2018-2019","type":"webpage"},"uris":["http://www.mendeley.com/documents/?uuid=641bb7c5-ff0b-4251-8b00-be4a6197a2ad"]}],"mendeley":{"formattedCitation":"&lt;sup&gt;44&lt;/sup&gt;","plainTextFormattedCitation":"44","previouslyFormattedCitation":"&lt;sup&gt;44&lt;/sup&gt;"},"properties":{"noteIndex":0},"schema":"https://github.com/citation-style-language/schema/raw/master/csl-citation.json"}</w:instrText>
      </w:r>
      <w:r w:rsidRPr="000E55C1">
        <w:rPr>
          <w:rStyle w:val="normaltextrun"/>
          <w:rFonts w:eastAsia="Corbel" w:cstheme="minorHAnsi"/>
          <w:lang w:eastAsia="en-GB"/>
        </w:rPr>
        <w:fldChar w:fldCharType="separate"/>
      </w:r>
      <w:r w:rsidR="00660864" w:rsidRPr="000E55C1">
        <w:rPr>
          <w:rStyle w:val="normaltextrun"/>
          <w:rFonts w:eastAsia="Corbel" w:cstheme="minorHAnsi"/>
          <w:noProof/>
          <w:vertAlign w:val="superscript"/>
          <w:lang w:eastAsia="en-GB"/>
        </w:rPr>
        <w:t>44</w:t>
      </w:r>
      <w:r w:rsidRPr="000E55C1">
        <w:rPr>
          <w:rStyle w:val="normaltextrun"/>
          <w:rFonts w:eastAsia="Corbel" w:cstheme="minorHAnsi"/>
          <w:lang w:eastAsia="en-GB"/>
        </w:rPr>
        <w:fldChar w:fldCharType="end"/>
      </w:r>
      <w:r w:rsidRPr="000E55C1">
        <w:rPr>
          <w:rStyle w:val="normaltextrun"/>
          <w:rFonts w:eastAsia="Corbel" w:cstheme="minorHAnsi"/>
          <w:lang w:eastAsia="en-GB"/>
        </w:rPr>
        <w:t>, although this has yet to materialise in reduced UK meat consumption</w:t>
      </w:r>
      <w:r w:rsidRPr="000E55C1">
        <w:rPr>
          <w:rStyle w:val="normaltextrun"/>
          <w:rFonts w:eastAsia="Corbel" w:cstheme="minorHAnsi"/>
          <w:lang w:eastAsia="en-GB"/>
        </w:rPr>
        <w:fldChar w:fldCharType="begin" w:fldLock="1"/>
      </w:r>
      <w:r w:rsidR="00660864" w:rsidRPr="000E55C1">
        <w:rPr>
          <w:rStyle w:val="normaltextrun"/>
          <w:rFonts w:eastAsia="Corbel" w:cstheme="minorHAnsi"/>
          <w:lang w:eastAsia="en-GB"/>
        </w:rPr>
        <w:instrText>ADDIN CSL_CITATION {"citationItems":[{"id":"ITEM-1","itemData":{"URL":"https://www.savills.co.uk/research_articles/229130/298951-0","accessed":{"date-parts":[["2021","7","9"]]},"author":[{"dropping-particle":"","family":"Norton","given":"Emily","non-dropping-particle":"","parse-names":false,"suffix":""}],"container-title":"Savils","id":"ITEM-1","issued":{"date-parts":[["2020"]]},"title":"UK meat consumption","type":"webpage"},"uris":["http://www.mendeley.com/documents/?uuid=56f12588-4185-365f-acea-6ee1e645cbc1"]}],"mendeley":{"formattedCitation":"&lt;sup&gt;55&lt;/sup&gt;","plainTextFormattedCitation":"55","previouslyFormattedCitation":"&lt;sup&gt;55&lt;/sup&gt;"},"properties":{"noteIndex":0},"schema":"https://github.com/citation-style-language/schema/raw/master/csl-citation.json"}</w:instrText>
      </w:r>
      <w:r w:rsidRPr="000E55C1">
        <w:rPr>
          <w:rStyle w:val="normaltextrun"/>
          <w:rFonts w:eastAsia="Corbel" w:cstheme="minorHAnsi"/>
          <w:lang w:eastAsia="en-GB"/>
        </w:rPr>
        <w:fldChar w:fldCharType="separate"/>
      </w:r>
      <w:r w:rsidR="00660864" w:rsidRPr="000E55C1">
        <w:rPr>
          <w:rStyle w:val="normaltextrun"/>
          <w:rFonts w:eastAsia="Corbel" w:cstheme="minorHAnsi"/>
          <w:noProof/>
          <w:vertAlign w:val="superscript"/>
          <w:lang w:eastAsia="en-GB"/>
        </w:rPr>
        <w:t>55</w:t>
      </w:r>
      <w:r w:rsidRPr="000E55C1">
        <w:rPr>
          <w:rStyle w:val="normaltextrun"/>
          <w:rFonts w:eastAsia="Corbel" w:cstheme="minorHAnsi"/>
          <w:lang w:eastAsia="en-GB"/>
        </w:rPr>
        <w:fldChar w:fldCharType="end"/>
      </w:r>
      <w:r w:rsidRPr="000E55C1">
        <w:rPr>
          <w:rStyle w:val="normaltextrun"/>
          <w:rFonts w:eastAsia="Times New Roman" w:cstheme="minorHAnsi"/>
          <w:lang w:eastAsia="en-GB"/>
        </w:rPr>
        <w:t>. Further, Waitrose</w:t>
      </w:r>
      <w:r w:rsidR="00660864" w:rsidRPr="000E55C1">
        <w:rPr>
          <w:rStyle w:val="normaltextrun"/>
          <w:rFonts w:eastAsia="Times New Roman" w:cstheme="minorHAnsi"/>
          <w:lang w:eastAsia="en-GB"/>
        </w:rPr>
        <w:fldChar w:fldCharType="begin" w:fldLock="1"/>
      </w:r>
      <w:r w:rsidR="00660864" w:rsidRPr="000E55C1">
        <w:rPr>
          <w:rStyle w:val="normaltextrun"/>
          <w:rFonts w:eastAsia="Times New Roman" w:cstheme="minorHAnsi"/>
          <w:lang w:eastAsia="en-GB"/>
        </w:rPr>
        <w:instrText>ADDIN CSL_CITATION {"citationItems":[{"id":"ITEM-1","itemData":{"URL":"https://www.waitrose.com/content/dam/waitrose/Inspiration/Waitrose &amp; Partners Food and Drink Report 2018.pdf","accessed":{"date-parts":[["2021","1","20"]]},"author":[{"dropping-particle":"","family":"Waitrose &amp; Partners","given":"","non-dropping-particle":"","parse-names":false,"suffix":""}],"id":"ITEM-1","issued":{"date-parts":[["2019"]]},"title":"Food and Drink Report 2018-2019","type":"webpage"},"uris":["http://www.mendeley.com/documents/?uuid=641bb7c5-ff0b-4251-8b00-be4a6197a2ad"]}],"mendeley":{"formattedCitation":"&lt;sup&gt;44&lt;/sup&gt;","plainTextFormattedCitation":"44","previouslyFormattedCitation":"&lt;sup&gt;44&lt;/sup&gt;"},"properties":{"noteIndex":0},"schema":"https://github.com/citation-style-language/schema/raw/master/csl-citation.json"}</w:instrText>
      </w:r>
      <w:r w:rsidR="00660864" w:rsidRPr="000E55C1">
        <w:rPr>
          <w:rStyle w:val="normaltextrun"/>
          <w:rFonts w:eastAsia="Times New Roman" w:cstheme="minorHAnsi"/>
          <w:lang w:eastAsia="en-GB"/>
        </w:rPr>
        <w:fldChar w:fldCharType="separate"/>
      </w:r>
      <w:r w:rsidR="00660864" w:rsidRPr="000E55C1">
        <w:rPr>
          <w:rStyle w:val="normaltextrun"/>
          <w:rFonts w:eastAsia="Times New Roman" w:cstheme="minorHAnsi"/>
          <w:noProof/>
          <w:vertAlign w:val="superscript"/>
          <w:lang w:eastAsia="en-GB"/>
        </w:rPr>
        <w:t>44</w:t>
      </w:r>
      <w:r w:rsidR="00660864" w:rsidRPr="000E55C1">
        <w:rPr>
          <w:rStyle w:val="normaltextrun"/>
          <w:rFonts w:eastAsia="Times New Roman" w:cstheme="minorHAnsi"/>
          <w:lang w:eastAsia="en-GB"/>
        </w:rPr>
        <w:fldChar w:fldCharType="end"/>
      </w:r>
      <w:r w:rsidR="00660864" w:rsidRPr="000E55C1">
        <w:rPr>
          <w:rStyle w:val="normaltextrun"/>
          <w:rFonts w:eastAsia="Times New Roman" w:cstheme="minorHAnsi"/>
          <w:lang w:eastAsia="en-GB"/>
        </w:rPr>
        <w:t xml:space="preserve"> </w:t>
      </w:r>
      <w:r w:rsidRPr="000E55C1">
        <w:rPr>
          <w:rStyle w:val="normaltextrun"/>
          <w:rFonts w:eastAsia="Times New Roman" w:cstheme="minorHAnsi"/>
          <w:lang w:eastAsia="en-GB"/>
        </w:rPr>
        <w:t>report that for 38% of those going vegan or vegetarian, concern for the environment is the most significant motivation. There is further evidence that this trend may continue into the future.</w:t>
      </w:r>
      <w:r w:rsidR="00660864" w:rsidRPr="000E55C1">
        <w:rPr>
          <w:rStyle w:val="normaltextrun"/>
          <w:rFonts w:eastAsia="Times New Roman" w:cstheme="minorHAnsi"/>
          <w:lang w:eastAsia="en-GB"/>
        </w:rPr>
        <w:t xml:space="preserve"> Bryant</w:t>
      </w:r>
      <w:r w:rsidR="00660864" w:rsidRPr="000E55C1">
        <w:rPr>
          <w:rStyle w:val="normaltextrun"/>
          <w:rFonts w:eastAsia="Times New Roman" w:cstheme="minorHAnsi"/>
          <w:lang w:eastAsia="en-GB"/>
        </w:rPr>
        <w:fldChar w:fldCharType="begin" w:fldLock="1"/>
      </w:r>
      <w:r w:rsidR="00660864" w:rsidRPr="000E55C1">
        <w:rPr>
          <w:rStyle w:val="normaltextrun"/>
          <w:rFonts w:eastAsia="Times New Roman" w:cstheme="minorHAnsi"/>
          <w:lang w:eastAsia="en-GB"/>
        </w:rPr>
        <w:instrText>ADDIN CSL_CITATION {"citationItems":[{"id":"ITEM-1","itemData":{"DOI":"10.3390/su11236844","ISSN":"2071-1050","abstract":"&lt;p&gt;Animal agriculture is implicated as a major cause of greenhouse gas emissions, animal suffering and public health problems. This survey asked 1000 UK meat-eaters about their beliefs about vegetarian and vegan diets, and their intended consumption of meat and animal products one month in the future. One in six intended to reduce their meat consumption in the next month, and 14% intended to reduce their consumption of animal products. The majority agreed that vegetarian and vegan diets are ethical, good for the environment and healthy. The majority also agreed that both vegetarianism and veganism were socially acceptable. However, there were three consistent negative beliefs about vegetarian and vegan diets: that they are difficult, that they are not enjoyable and that they are expensive. Moreover, perceptions of vegan diets were significantly more negative than perceptions of vegetarian diets on most aspects. Significant differences in perceptions of each diet were observed between genders and by age. It is argued that most meat-eaters agree with the ethical and environmental arguments in favour of vegetarianism/veganism but do not follow these diets because of practical reasons relating to taste, price and convenience. New alternatives to animal products are discussed as a possible way to address these practical barriers. Finally, the case is made for more research on developing high-quality, low-cost and widely available animal product alternatives.&lt;/p&gt;","author":[{"dropping-particle":"","family":"Bryant","given":"Christopher J.","non-dropping-particle":"","parse-names":false,"suffix":""}],"container-title":"Sustainability","id":"ITEM-1","issue":"23","issued":{"date-parts":[["2019","12","2"]]},"page":"6844","publisher":"MDPI AG","title":"We Can’t Keep Meating Like This: Attitudes towards Vegetarian and Vegan Diets in the United Kingdom","type":"article-journal","volume":"11"},"uris":["http://www.mendeley.com/documents/?uuid=6ebecf7d-81e7-41a4-a2d1-3a6aa2955016"]}],"mendeley":{"formattedCitation":"&lt;sup&gt;56&lt;/sup&gt;","plainTextFormattedCitation":"56","previouslyFormattedCitation":"&lt;sup&gt;56&lt;/sup&gt;"},"properties":{"noteIndex":0},"schema":"https://github.com/citation-style-language/schema/raw/master/csl-citation.json"}</w:instrText>
      </w:r>
      <w:r w:rsidR="00660864" w:rsidRPr="000E55C1">
        <w:rPr>
          <w:rStyle w:val="normaltextrun"/>
          <w:rFonts w:eastAsia="Times New Roman" w:cstheme="minorHAnsi"/>
          <w:lang w:eastAsia="en-GB"/>
        </w:rPr>
        <w:fldChar w:fldCharType="separate"/>
      </w:r>
      <w:r w:rsidR="00660864" w:rsidRPr="000E55C1">
        <w:rPr>
          <w:rStyle w:val="normaltextrun"/>
          <w:rFonts w:eastAsia="Times New Roman" w:cstheme="minorHAnsi"/>
          <w:noProof/>
          <w:vertAlign w:val="superscript"/>
          <w:lang w:eastAsia="en-GB"/>
        </w:rPr>
        <w:t>56</w:t>
      </w:r>
      <w:r w:rsidR="00660864" w:rsidRPr="000E55C1">
        <w:rPr>
          <w:rStyle w:val="normaltextrun"/>
          <w:rFonts w:eastAsia="Times New Roman" w:cstheme="minorHAnsi"/>
          <w:lang w:eastAsia="en-GB"/>
        </w:rPr>
        <w:fldChar w:fldCharType="end"/>
      </w:r>
      <w:r w:rsidRPr="000E55C1">
        <w:rPr>
          <w:rStyle w:val="normaltextrun"/>
          <w:rFonts w:eastAsia="Times New Roman" w:cstheme="minorHAnsi"/>
          <w:lang w:eastAsia="en-GB"/>
        </w:rPr>
        <w:t xml:space="preserve"> highlights that even amongst meat-eaters, over 70% have a positive view of the environmental benefits of a plant-based diet. This evidence suggests that increasing environmental concern can lead to significant changes in social practices and demand for energy services.</w:t>
      </w:r>
    </w:p>
    <w:p w14:paraId="0544719B" w14:textId="77777777" w:rsidR="009627EA" w:rsidRPr="000E55C1" w:rsidRDefault="009627EA" w:rsidP="009627EA">
      <w:pPr>
        <w:spacing w:before="240"/>
        <w:rPr>
          <w:rStyle w:val="normaltextrun"/>
          <w:rFonts w:eastAsia="Times New Roman" w:cstheme="minorHAnsi"/>
          <w:lang w:eastAsia="en-GB"/>
        </w:rPr>
      </w:pPr>
      <w:r w:rsidRPr="000E55C1">
        <w:rPr>
          <w:rStyle w:val="normaltextrun"/>
          <w:rFonts w:eastAsia="Times New Roman" w:cstheme="minorHAnsi"/>
          <w:lang w:eastAsia="en-GB"/>
        </w:rPr>
        <w:t xml:space="preserve">In our LED scenarios it is assumed that concern over the environment and promotion of appropriate actions to reduce energy demand, as well as concerns regarding health, quality of life and energy use continue to drive social change. Given the inevitable worsening impacts of the climate crisis, and the already increasing trend of environmental awareness, social norms are assumed to shift to favour sustainable consumption of energy services.    </w:t>
      </w:r>
    </w:p>
    <w:p w14:paraId="2DC6FF22" w14:textId="17809C98" w:rsidR="009627EA" w:rsidRPr="000E55C1" w:rsidRDefault="00660864" w:rsidP="009627EA">
      <w:pPr>
        <w:pStyle w:val="Heading3"/>
        <w:rPr>
          <w:rStyle w:val="normaltextrun"/>
          <w:rFonts w:asciiTheme="minorHAnsi" w:eastAsia="Times New Roman" w:hAnsiTheme="minorHAnsi" w:cstheme="minorHAnsi"/>
          <w:sz w:val="22"/>
          <w:szCs w:val="22"/>
          <w:lang w:eastAsia="en-GB"/>
        </w:rPr>
      </w:pPr>
      <w:bookmarkStart w:id="11" w:name="_Toc77587876"/>
      <w:r w:rsidRPr="000E55C1">
        <w:rPr>
          <w:rStyle w:val="normaltextrun"/>
          <w:rFonts w:asciiTheme="minorHAnsi" w:eastAsia="Times New Roman" w:hAnsiTheme="minorHAnsi" w:cstheme="minorHAnsi"/>
          <w:sz w:val="22"/>
          <w:szCs w:val="22"/>
          <w:lang w:eastAsia="en-GB"/>
        </w:rPr>
        <w:t>3</w:t>
      </w:r>
      <w:r w:rsidR="009627EA" w:rsidRPr="000E55C1">
        <w:rPr>
          <w:rStyle w:val="normaltextrun"/>
          <w:rFonts w:asciiTheme="minorHAnsi" w:eastAsia="Times New Roman" w:hAnsiTheme="minorHAnsi" w:cstheme="minorHAnsi"/>
          <w:sz w:val="22"/>
          <w:szCs w:val="22"/>
          <w:lang w:eastAsia="en-GB"/>
        </w:rPr>
        <w:t>.6 Globalisation</w:t>
      </w:r>
      <w:bookmarkEnd w:id="11"/>
    </w:p>
    <w:p w14:paraId="46367B31" w14:textId="4DCD1989" w:rsidR="009627EA" w:rsidRPr="000E55C1" w:rsidRDefault="009627EA" w:rsidP="009627EA">
      <w:pPr>
        <w:rPr>
          <w:rStyle w:val="normaltextrun"/>
          <w:rFonts w:eastAsia="Times New Roman" w:cstheme="minorHAnsi"/>
          <w:lang w:eastAsia="en-GB"/>
        </w:rPr>
      </w:pPr>
      <w:r w:rsidRPr="000E55C1">
        <w:rPr>
          <w:rStyle w:val="normaltextrun"/>
          <w:rFonts w:eastAsia="Times New Roman" w:cstheme="minorHAnsi"/>
          <w:lang w:eastAsia="en-GB"/>
        </w:rPr>
        <w:t xml:space="preserve">Increasing globalisation in the form of international production networks and global value chains has a wide range of impacts on national final energy demand in different countries </w:t>
      </w:r>
      <w:r w:rsidRPr="000E55C1">
        <w:rPr>
          <w:rStyle w:val="normaltextrun"/>
          <w:rFonts w:eastAsia="Times New Roman" w:cstheme="minorHAnsi"/>
          <w:lang w:eastAsia="en-GB"/>
        </w:rPr>
        <w:fldChar w:fldCharType="begin" w:fldLock="1"/>
      </w:r>
      <w:r w:rsidR="00660864" w:rsidRPr="000E55C1">
        <w:rPr>
          <w:rStyle w:val="normaltextrun"/>
          <w:rFonts w:eastAsia="Times New Roman" w:cstheme="minorHAnsi"/>
          <w:lang w:eastAsia="en-GB"/>
        </w:rPr>
        <w:instrText>ADDIN CSL_CITATION {"citationItems":[{"id":"ITEM-1","itemData":{"DOI":"10.1080/09638199.2018.1481991","ISSN":"0963-8199","abstract":"This paper examines the asymmetric impact of globalisation and economic growth on energy consumption in BRICS countries, applying the NARDL bounds approach to explore the presence of asymmetric cointegration across variables. The empirical results reveal that energy consumption is positively and negatively affected by the positive and negative globalisation shocks, respectively. A positive shock in economic growth promotes energy consumption, while a negative shock reduces energy consumption.","author":[{"dropping-particle":"","family":"Shahbaz","given":"Muhammad","non-dropping-particle":"","parse-names":false,"suffix":""},{"dropping-particle":"","family":"Shahzad","given":"Syed Jawad Hussain","non-dropping-particle":"","parse-names":false,"suffix":""},{"dropping-particle":"","family":"Alam","given":"Shaista","non-dropping-particle":"","parse-names":false,"suffix":""},{"dropping-particle":"","family":"Apergis","given":"Nicholas","non-dropping-particle":"","parse-names":false,"suffix":""}],"container-title":"The Journal of International Trade &amp; Economic Development","id":"ITEM-1","issue":"8","issued":{"date-parts":[["2018","11","17"]]},"page":"985-1009","publisher":"Routledge","title":"Globalisation, economic growth and energy consumption in the BRICS region: The importance of asymmetries","type":"article-journal","volume":"27"},"uris":["http://www.mendeley.com/documents/?uuid=9bd625e2-cb16-464f-8988-62ed79fd9535"]}],"mendeley":{"formattedCitation":"&lt;sup&gt;57&lt;/sup&gt;","plainTextFormattedCitation":"57","previouslyFormattedCitation":"&lt;sup&gt;57&lt;/sup&gt;"},"properties":{"noteIndex":0},"schema":"https://github.com/citation-style-language/schema/raw/master/csl-citation.json"}</w:instrText>
      </w:r>
      <w:r w:rsidRPr="000E55C1">
        <w:rPr>
          <w:rStyle w:val="normaltextrun"/>
          <w:rFonts w:eastAsia="Times New Roman" w:cstheme="minorHAnsi"/>
          <w:vertAlign w:val="superscript"/>
          <w:lang w:eastAsia="en-GB"/>
        </w:rPr>
        <w:fldChar w:fldCharType="separate"/>
      </w:r>
      <w:r w:rsidR="00660864" w:rsidRPr="000E55C1">
        <w:rPr>
          <w:rStyle w:val="normaltextrun"/>
          <w:rFonts w:eastAsia="Times New Roman" w:cstheme="minorHAnsi"/>
          <w:noProof/>
          <w:vertAlign w:val="superscript"/>
          <w:lang w:eastAsia="en-GB"/>
        </w:rPr>
        <w:t>57</w:t>
      </w:r>
      <w:r w:rsidRPr="000E55C1">
        <w:rPr>
          <w:rStyle w:val="normaltextrun"/>
          <w:rFonts w:eastAsia="Times New Roman" w:cstheme="minorHAnsi"/>
          <w:lang w:eastAsia="en-GB"/>
        </w:rPr>
        <w:fldChar w:fldCharType="end"/>
      </w:r>
      <w:r w:rsidRPr="000E55C1">
        <w:rPr>
          <w:rStyle w:val="normaltextrun"/>
          <w:rFonts w:eastAsia="Times New Roman" w:cstheme="minorHAnsi"/>
          <w:lang w:eastAsia="en-GB"/>
        </w:rPr>
        <w:t>. Studies focussing on the environmental impacts of globalisation have indicated that around 25% of global CO2 emissions are embodied in global trade</w:t>
      </w:r>
      <w:r w:rsidRPr="000E55C1">
        <w:rPr>
          <w:rFonts w:cstheme="minorHAnsi"/>
        </w:rPr>
        <w:t xml:space="preserve"> </w:t>
      </w:r>
      <w:r w:rsidRPr="000E55C1">
        <w:rPr>
          <w:rStyle w:val="normaltextrun"/>
          <w:rFonts w:eastAsia="Times New Roman" w:cstheme="minorHAnsi"/>
          <w:lang w:eastAsia="en-GB"/>
        </w:rPr>
        <w:t xml:space="preserve">flows </w:t>
      </w:r>
      <w:r w:rsidRPr="000E55C1">
        <w:rPr>
          <w:rStyle w:val="normaltextrun"/>
          <w:rFonts w:eastAsia="Times New Roman" w:cstheme="minorHAnsi"/>
          <w:lang w:eastAsia="en-GB"/>
        </w:rPr>
        <w:fldChar w:fldCharType="begin" w:fldLock="1"/>
      </w:r>
      <w:r w:rsidR="00660864" w:rsidRPr="000E55C1">
        <w:rPr>
          <w:rStyle w:val="normaltextrun"/>
          <w:rFonts w:eastAsia="Times New Roman" w:cstheme="minorHAnsi"/>
          <w:lang w:eastAsia="en-GB"/>
        </w:rPr>
        <w:instrText>ADDIN CSL_CITATION {"citationItems":[{"id":"ITEM-1","itemData":{"DOI":"10.1080/09535314.2012.761953","ISSN":"09535314","abstract":"Understanding the drivers of many environmental problems requires enumerating the global supply chain. Multi-region input-output analysis (MRIOA) is a well-established technique for this purpose, but constructing a multi-region input-output table (MRIOT) can be a formidable challenge. We constructed a large MRIOT using the Global Trade Analysis Project (GTAP) database of harmonised economic, IO, and trade data. We discuss the historical development of the GTAP-MRIO and describe its efficient construction. We provide updated carbon footprint estimates and analyse several issues relevant for MRIO construction and applications. We demonstrate that differences in environmental satellite accounts may be more important than differences in MRIOTs when calculating national carbon footprints. The GTAP-MRIO is a robust global MRIOT and, given its easy availability and implementation, it should allow the widespread application of global MRIOA by a variety of users. © 2013 Copyright The International Input-Output Association.","author":[{"dropping-particle":"","family":"Andrew","given":"Robbie M.","non-dropping-particle":"","parse-names":false,"suffix":""},{"dropping-particle":"","family":"Peters","given":"Glen P.","non-dropping-particle":"","parse-names":false,"suffix":""}],"container-title":"Economic Systems Research","id":"ITEM-1","issue":"1","issued":{"date-parts":[["2013","3"]]},"page":"99-121","publisher":"Routledge","title":"A MULTI-REGION INPUT-OUTPUT TABLE BASED ON THE GLOBAL TRADE ANALYSIS PROJECT DATABASE (GTAP-MRIO)","type":"article-journal","volume":"25"},"uris":["http://www.mendeley.com/documents/?uuid=3715bda8-3afd-4dfe-81ba-cdd883e02c51"]}],"mendeley":{"formattedCitation":"&lt;sup&gt;58&lt;/sup&gt;","plainTextFormattedCitation":"58","previouslyFormattedCitation":"&lt;sup&gt;58&lt;/sup&gt;"},"properties":{"noteIndex":0},"schema":"https://github.com/citation-style-language/schema/raw/master/csl-citation.json"}</w:instrText>
      </w:r>
      <w:r w:rsidRPr="000E55C1">
        <w:rPr>
          <w:rStyle w:val="normaltextrun"/>
          <w:rFonts w:eastAsia="Times New Roman" w:cstheme="minorHAnsi"/>
          <w:lang w:eastAsia="en-GB"/>
        </w:rPr>
        <w:fldChar w:fldCharType="separate"/>
      </w:r>
      <w:r w:rsidR="00660864" w:rsidRPr="000E55C1">
        <w:rPr>
          <w:rStyle w:val="normaltextrun"/>
          <w:rFonts w:eastAsia="Times New Roman" w:cstheme="minorHAnsi"/>
          <w:noProof/>
          <w:vertAlign w:val="superscript"/>
          <w:lang w:eastAsia="en-GB"/>
        </w:rPr>
        <w:t>58</w:t>
      </w:r>
      <w:r w:rsidRPr="000E55C1">
        <w:rPr>
          <w:rStyle w:val="normaltextrun"/>
          <w:rFonts w:eastAsia="Times New Roman" w:cstheme="minorHAnsi"/>
          <w:lang w:eastAsia="en-GB"/>
        </w:rPr>
        <w:fldChar w:fldCharType="end"/>
      </w:r>
      <w:r w:rsidRPr="000E55C1">
        <w:rPr>
          <w:rStyle w:val="normaltextrun"/>
          <w:rFonts w:eastAsia="Times New Roman" w:cstheme="minorHAnsi"/>
          <w:lang w:eastAsia="en-GB"/>
        </w:rPr>
        <w:t>. The energy intensity of globalised supply chains highlights a potential conflict between increased globalisation in this sense, and reductions in global energy demand. Of these emissions transferred between countries in trade flows, most are embodied in products consumed by ‘developed’ countries</w:t>
      </w:r>
      <w:r w:rsidR="00660864" w:rsidRPr="000E55C1">
        <w:rPr>
          <w:rStyle w:val="normaltextrun"/>
          <w:rFonts w:eastAsia="Times New Roman" w:cstheme="minorHAnsi"/>
          <w:lang w:eastAsia="en-GB"/>
        </w:rPr>
        <w:fldChar w:fldCharType="begin" w:fldLock="1"/>
      </w:r>
      <w:r w:rsidR="00660864" w:rsidRPr="000E55C1">
        <w:rPr>
          <w:rStyle w:val="normaltextrun"/>
          <w:rFonts w:eastAsia="Times New Roman" w:cstheme="minorHAnsi"/>
          <w:lang w:eastAsia="en-GB"/>
        </w:rPr>
        <w:instrText>ADDIN CSL_CITATION {"citationItems":[{"id":"ITEM-1","itemData":{"DOI":"10.1073/pnas.1107409108","ISSN":"00278424","abstract":"CO 2 emissions from the burning of fossil fuels are conventionally attributed to the country where the emissions are produced (i.e., where the fuels are burned). However, these production-based accounts represent a single point in the value chain of fossil fuels, which may have been extracted elsewhere and may be used to provide goods or services to consumers elsewhere. We present a consistent set of carbon inventories that spans the full supply chain of global CO 2 emissions, finding that 10.2 billion tons CO 2or 37% of global emissions are from fossil fuels traded internationally and an additional 6.4 billion tons CO 2 or 23% of global emissions are embodied in traded goods. Our results reveal vulnerabilities and benefits related to current patterns of energy use that are relevant to climate and energy policy. In particular, if a consistent and unavoidable price were imposed on CO 2 emissions somewhere along the supply chain, then all of the parties along the supply chain would seek to impose that price to generate revenue from taxes collected or permits sold. The geographical concentration of carbon-based fuels and relatively small number of parties involved in extracting and refining those fuels suggest that regulation at the wellhead, mine mouth, or refinery might minimize transaction costs as well as opportunities for leakage.","author":[{"dropping-particle":"","family":"Davis","given":"Steven J","non-dropping-particle":"","parse-names":false,"suffix":""},{"dropping-particle":"","family":"Peters","given":"Glen P","non-dropping-particle":"","parse-names":false,"suffix":""},{"dropping-particle":"","family":"Caldeira","given":"Ken","non-dropping-particle":"","parse-names":false,"suffix":""}],"container-title":"Proceedings of the National Academy of Sciences of the United States of America","id":"ITEM-1","issue":"45","issued":{"date-parts":[["2011"]]},"page":"18554-18559","title":"The supply chain of CO 2 emissions","type":"article-journal","volume":"108"},"uris":["http://www.mendeley.com/documents/?uuid=a43504c3-8ce5-45a9-be1a-28d012b0ad87"]},{"id":"ITEM-2","itemData":{"DOI":"10.1016/j.eneco.2018.05.013","ISSN":"01409883","abstract":"This paper integrates two lines of research into a unified conceptual framework: trade in value-added and embodied emissions in trade. This allows both value-added and emissions to be systematically traced at the country, sector, and bilateral levels through various routes in global value chains. By combining value-added and emissions accounting in a consistent way, the potential environmental cost along global value chains can be estimated from different perspectives like production, consumption, and trade. Using this unified accounting framework, we trace value-added and CO2 emissions in global production and trade networks among 41 economies in 35 sectors from 1995 to 2009 based on the World Input–Output Database, and show how they improve our understanding of the impacts of cross-border production sharing on the environment.","author":[{"dropping-particle":"","family":"Meng","given":"Bo","non-dropping-particle":"","parse-names":false,"suffix":""},{"dropping-particle":"","family":"Peters","given":"Glen P.","non-dropping-particle":"","parse-names":false,"suffix":""},{"dropping-particle":"","family":"Wang","given":"Zhi","non-dropping-particle":"","parse-names":false,"suffix":""},{"dropping-particle":"","family":"Li","given":"Meng","non-dropping-particle":"","parse-names":false,"suffix":""}],"container-title":"Energy Economics","id":"ITEM-2","issued":{"date-parts":[["2018","6","1"]]},"page":"24-42","publisher":"Elsevier B.V.","title":"Tracing CO2 emissions in global value chains","type":"article-journal","volume":"73"},"uris":["http://www.mendeley.com/documents/?uuid=20b7adfc-28ca-4201-991b-0a7b17220f2b"]},{"id":"ITEM-3","itemData":{"DOI":"10.1073/pnas.0906974107","ISSN":"00278424","abstract":"CO2 emissions from the burning of fossil fuels are the primary cause of global warming. Much attention has been focused on the CO2 directly emitted by each country, but relatively little attention has been paid to the amount of emissions associated with the consumption of goods and services in each country. Consumption-based accounting of CO2 emissions differs from traditional, production-based inventories because of imports and exports of goods and services that, either directly or indirectly, involve CO2 emissions. Here, using the latest available data, we present a global consumption-based CO2 emissions inventory and calculations of associated consumption-based energy and carbon intensities. We find that, in 2004, 23% of global CO2 emissions, or 6.2 gigatonnes CO2, were traded internationally, primarily as exports from China and other emerging markets to consumers in developed countries. In some wealthy countries, including Switzerland, Sweden, Austria, the United Kingdom, and France, &gt;30% of consumption-based emissions were imported, with net imports to many Europeans of &gt;4 tons CO2 per person in 2004. Net import of emissions to the United States in the same year was somewhat less: 10.8% of total consumption-based emissions and 2.4 tons CO2 per person. In contrast, 22.5% of the emissions produced in China in 2004 were exported, on net, to consumers elsewhere. Consumption-based accounting of CO2 emissions demonstrates the potential for international carbon leakage. Sharing responsibility for emissions among producers and consumers could facilitate international agreement on global climate policy that is now hindered by concerns over the regional and historical inequity of emissions.","author":[{"dropping-particle":"","family":"Davis","given":"Steven J.","non-dropping-particle":"","parse-names":false,"suffix":""},{"dropping-particle":"","family":"Caldeira","given":"Ken","non-dropping-particle":"","parse-names":false,"suffix":""}],"container-title":"Proceedings of the National Academy of Sciences of the United States of America","id":"ITEM-3","issue":"12","issued":{"date-parts":[["2010","3","23"]]},"page":"5687-5692","publisher":"National Academy of Sciences","title":"Consumption-based accounting of CO2 emissions","type":"article-journal","volume":"107"},"uris":["http://www.mendeley.com/documents/?uuid=75614169-0795-45e5-bbca-971437941549"]}],"mendeley":{"formattedCitation":"&lt;sup&gt;59–61&lt;/sup&gt;","plainTextFormattedCitation":"59–61","previouslyFormattedCitation":"&lt;sup&gt;59–61&lt;/sup&gt;"},"properties":{"noteIndex":0},"schema":"https://github.com/citation-style-language/schema/raw/master/csl-citation.json"}</w:instrText>
      </w:r>
      <w:r w:rsidR="00660864" w:rsidRPr="000E55C1">
        <w:rPr>
          <w:rStyle w:val="normaltextrun"/>
          <w:rFonts w:eastAsia="Times New Roman" w:cstheme="minorHAnsi"/>
          <w:lang w:eastAsia="en-GB"/>
        </w:rPr>
        <w:fldChar w:fldCharType="separate"/>
      </w:r>
      <w:r w:rsidR="00660864" w:rsidRPr="000E55C1">
        <w:rPr>
          <w:rStyle w:val="normaltextrun"/>
          <w:rFonts w:eastAsia="Times New Roman" w:cstheme="minorHAnsi"/>
          <w:noProof/>
          <w:vertAlign w:val="superscript"/>
          <w:lang w:eastAsia="en-GB"/>
        </w:rPr>
        <w:t>59–61</w:t>
      </w:r>
      <w:r w:rsidR="00660864" w:rsidRPr="000E55C1">
        <w:rPr>
          <w:rStyle w:val="normaltextrun"/>
          <w:rFonts w:eastAsia="Times New Roman" w:cstheme="minorHAnsi"/>
          <w:lang w:eastAsia="en-GB"/>
        </w:rPr>
        <w:fldChar w:fldCharType="end"/>
      </w:r>
      <w:r w:rsidRPr="000E55C1">
        <w:rPr>
          <w:rStyle w:val="normaltextrun"/>
          <w:rFonts w:eastAsia="Times New Roman" w:cstheme="minorHAnsi"/>
          <w:lang w:eastAsia="en-GB"/>
        </w:rPr>
        <w:t>. This indicates that most developed countries, such as the UK, are net-importers of emissions and embodied energy in the products they consume, a trend that is growing over</w:t>
      </w:r>
      <w:r w:rsidRPr="000E55C1">
        <w:rPr>
          <w:rFonts w:cstheme="minorHAnsi"/>
        </w:rPr>
        <w:t xml:space="preserve"> </w:t>
      </w:r>
      <w:r w:rsidRPr="000E55C1">
        <w:rPr>
          <w:rStyle w:val="normaltextrun"/>
          <w:rFonts w:eastAsia="Times New Roman" w:cstheme="minorHAnsi"/>
          <w:lang w:eastAsia="en-GB"/>
        </w:rPr>
        <w:t xml:space="preserve">time </w:t>
      </w:r>
      <w:r w:rsidRPr="000E55C1">
        <w:rPr>
          <w:rStyle w:val="normaltextrun"/>
          <w:rFonts w:eastAsia="Times New Roman" w:cstheme="minorHAnsi"/>
          <w:lang w:eastAsia="en-GB"/>
        </w:rPr>
        <w:fldChar w:fldCharType="begin" w:fldLock="1"/>
      </w:r>
      <w:r w:rsidR="00660864" w:rsidRPr="000E55C1">
        <w:rPr>
          <w:rStyle w:val="normaltextrun"/>
          <w:rFonts w:eastAsia="Times New Roman" w:cstheme="minorHAnsi"/>
          <w:lang w:eastAsia="en-GB"/>
        </w:rPr>
        <w:instrText>ADDIN CSL_CITATION {"citationItems":[{"id":"ITEM-1","itemData":{"DOI":"10.1016/j.eneco.2018.05.013","ISSN":"01409883","abstract":"This paper integrates two lines of research into a unified conceptual framework: trade in value-added and embodied emissions in trade. This allows both value-added and emissions to be systematically traced at the country, sector, and bilateral levels through various routes in global value chains. By combining value-added and emissions accounting in a consistent way, the potential environmental cost along global value chains can be estimated from different perspectives like production, consumption, and trade. Using this unified accounting framework, we trace value-added and CO2 emissions in global production and trade networks among 41 economies in 35 sectors from 1995 to 2009 based on the World Input–Output Database, and show how they improve our understanding of the impacts of cross-border production sharing on the environment.","author":[{"dropping-particle":"","family":"Meng","given":"Bo","non-dropping-particle":"","parse-names":false,"suffix":""},{"dropping-particle":"","family":"Peters","given":"Glen P.","non-dropping-particle":"","parse-names":false,"suffix":""},{"dropping-particle":"","family":"Wang","given":"Zhi","non-dropping-particle":"","parse-names":false,"suffix":""},{"dropping-particle":"","family":"Li","given":"Meng","non-dropping-particle":"","parse-names":false,"suffix":""}],"container-title":"Energy Economics","id":"ITEM-1","issued":{"date-parts":[["2018","6","1"]]},"page":"24-42","publisher":"Elsevier B.V.","title":"Tracing CO2 emissions in global value chains","type":"article-journal","volume":"73"},"uris":["http://www.mendeley.com/documents/?uuid=8ae02e24-207a-3f2f-be0c-fd94c422929f"]}],"mendeley":{"formattedCitation":"&lt;sup&gt;60&lt;/sup&gt;","plainTextFormattedCitation":"60","previouslyFormattedCitation":"&lt;sup&gt;60&lt;/sup&gt;"},"properties":{"noteIndex":0},"schema":"https://github.com/citation-style-language/schema/raw/master/csl-citation.json"}</w:instrText>
      </w:r>
      <w:r w:rsidRPr="000E55C1">
        <w:rPr>
          <w:rStyle w:val="normaltextrun"/>
          <w:rFonts w:eastAsia="Times New Roman" w:cstheme="minorHAnsi"/>
          <w:lang w:eastAsia="en-GB"/>
        </w:rPr>
        <w:fldChar w:fldCharType="separate"/>
      </w:r>
      <w:r w:rsidR="00660864" w:rsidRPr="000E55C1">
        <w:rPr>
          <w:rStyle w:val="normaltextrun"/>
          <w:rFonts w:eastAsia="Times New Roman" w:cstheme="minorHAnsi"/>
          <w:noProof/>
          <w:vertAlign w:val="superscript"/>
          <w:lang w:eastAsia="en-GB"/>
        </w:rPr>
        <w:t>60</w:t>
      </w:r>
      <w:r w:rsidRPr="000E55C1">
        <w:rPr>
          <w:rStyle w:val="normaltextrun"/>
          <w:rFonts w:eastAsia="Times New Roman" w:cstheme="minorHAnsi"/>
          <w:lang w:eastAsia="en-GB"/>
        </w:rPr>
        <w:fldChar w:fldCharType="end"/>
      </w:r>
      <w:r w:rsidRPr="000E55C1">
        <w:rPr>
          <w:rStyle w:val="normaltextrun"/>
          <w:rFonts w:eastAsia="Times New Roman" w:cstheme="minorHAnsi"/>
          <w:lang w:eastAsia="en-GB"/>
        </w:rPr>
        <w:t>.</w:t>
      </w:r>
    </w:p>
    <w:p w14:paraId="3320D75A" w14:textId="6EADD954" w:rsidR="009627EA" w:rsidRPr="000E55C1" w:rsidRDefault="009627EA" w:rsidP="009627EA">
      <w:pPr>
        <w:rPr>
          <w:rStyle w:val="normaltextrun"/>
          <w:rFonts w:eastAsia="Times New Roman" w:cstheme="minorHAnsi"/>
          <w:lang w:eastAsia="en-GB"/>
        </w:rPr>
      </w:pPr>
      <w:r w:rsidRPr="000E55C1">
        <w:rPr>
          <w:rStyle w:val="normaltextrun"/>
          <w:rFonts w:eastAsia="Times New Roman" w:cstheme="minorHAnsi"/>
          <w:lang w:eastAsia="en-GB"/>
        </w:rPr>
        <w:lastRenderedPageBreak/>
        <w:t xml:space="preserve">In the UK context, final energy consumption declined by 11% between 2001 and 2013 </w:t>
      </w:r>
      <w:r w:rsidRPr="000E55C1">
        <w:rPr>
          <w:rStyle w:val="normaltextrun"/>
          <w:rFonts w:eastAsia="Times New Roman" w:cstheme="minorHAnsi"/>
          <w:lang w:eastAsia="en-GB"/>
        </w:rPr>
        <w:fldChar w:fldCharType="begin" w:fldLock="1"/>
      </w:r>
      <w:r w:rsidR="00090364" w:rsidRPr="000E55C1">
        <w:rPr>
          <w:rStyle w:val="normaltextrun"/>
          <w:rFonts w:eastAsia="Times New Roman" w:cstheme="minorHAnsi"/>
          <w:lang w:eastAsia="en-GB"/>
        </w:rPr>
        <w:instrText>ADDIN CSL_CITATION {"citationItems":[{"id":"ITEM-1","itemData":{"DOI":"10.1016/j.apenergy.2018.03.127","ISSN":"03062619","abstract":"The UK has been one of the few countries that has successfully decoupled final energy consumption from economic growth over the past 15 years. This study investigates the drivers of final energy consumption in the UK productive sectors between 1997 and 2013 using a decomposition analysis that incorporates two novel features. Firstly, it investigates to what extent changes in thermodynamic efficiency have contributed to overall changes in sectoral energy intensities. Secondly, it analyses how much of the structural change in the UK economy is driven by the offshoring of energy-intensive production overseas. The results show that energy intensity reductions are the strongest factor reducing energy consumption. However, only a third of the energy savings from energy intensity reductions can be attributed to reductions in thermodynamic efficiency with reductions in the exergy intensity of production making up the reminder. In addition the majority of energy savings from structural change are a result of offshoring, which constitutes the second biggest factor reducing energy consumption. In recent years the contributions of all decomposition factors have been declining with very little change in energy consumption after 2009. This suggests that a return to the strong reductions in energy consumption observed between 2001 and 2009 in the UK productive sectors should not be taken for granted. Given that further reductions in UK final energy consumption are needed to achieve global targets for climate change mitigation, additional policy interventions are needed. Such policies should adopt a holistic approach, taking into account all sectors in the UK economy as well as the relationship between the structural change in the UK and in the global supply chains delivering the goods and service for consumption and investment in the UK.","author":[{"dropping-particle":"","family":"Hardt","given":"Lukas","non-dropping-particle":"","parse-names":false,"suffix":""},{"dropping-particle":"","family":"Owen","given":"Anne","non-dropping-particle":"","parse-names":false,"suffix":""},{"dropping-particle":"","family":"Brockway","given":"Paul","non-dropping-particle":"","parse-names":false,"suffix":""},{"dropping-particle":"","family":"Heun","given":"Matthew K.","non-dropping-particle":"","parse-names":false,"suffix":""},{"dropping-particle":"","family":"Barrett","given":"John","non-dropping-particle":"","parse-names":false,"suffix":""},{"dropping-particle":"","family":"Taylor","given":"Peter G.","non-dropping-particle":"","parse-names":false,"suffix":""},{"dropping-particle":"","family":"Foxon","given":"Timothy J.","non-dropping-particle":"","parse-names":false,"suffix":""}],"container-title":"Applied Energy","id":"ITEM-1","issued":{"date-parts":[["2018","8","1"]]},"page":"124-133","publisher":"Elsevier Ltd","title":"Untangling the drivers of energy reduction in the UK productive sectors: Efficiency or offshoring?","type":"article-journal","volume":"223"},"uris":["http://www.mendeley.com/documents/?uuid=fe6f0ae0-de37-3e5a-baf1-3d13abcf33b2"]}],"mendeley":{"formattedCitation":"&lt;sup&gt;3&lt;/sup&gt;","plainTextFormattedCitation":"3","previouslyFormattedCitation":"&lt;sup&gt;3&lt;/sup&gt;"},"properties":{"noteIndex":0},"schema":"https://github.com/citation-style-language/schema/raw/master/csl-citation.json"}</w:instrText>
      </w:r>
      <w:r w:rsidRPr="000E55C1">
        <w:rPr>
          <w:rStyle w:val="normaltextrun"/>
          <w:rFonts w:eastAsia="Times New Roman" w:cstheme="minorHAnsi"/>
          <w:vertAlign w:val="superscript"/>
          <w:lang w:eastAsia="en-GB"/>
        </w:rPr>
        <w:fldChar w:fldCharType="separate"/>
      </w:r>
      <w:r w:rsidR="00090364" w:rsidRPr="000E55C1">
        <w:rPr>
          <w:rStyle w:val="normaltextrun"/>
          <w:rFonts w:eastAsia="Times New Roman" w:cstheme="minorHAnsi"/>
          <w:noProof/>
          <w:vertAlign w:val="superscript"/>
          <w:lang w:eastAsia="en-GB"/>
        </w:rPr>
        <w:t>3</w:t>
      </w:r>
      <w:r w:rsidRPr="000E55C1">
        <w:rPr>
          <w:rStyle w:val="normaltextrun"/>
          <w:rFonts w:eastAsia="Times New Roman" w:cstheme="minorHAnsi"/>
          <w:lang w:eastAsia="en-GB"/>
        </w:rPr>
        <w:fldChar w:fldCharType="end"/>
      </w:r>
      <w:r w:rsidRPr="000E55C1">
        <w:rPr>
          <w:rStyle w:val="normaltextrun"/>
          <w:rFonts w:eastAsia="Times New Roman" w:cstheme="minorHAnsi"/>
          <w:lang w:eastAsia="en-GB"/>
        </w:rPr>
        <w:t xml:space="preserve">. However, </w:t>
      </w:r>
      <w:r w:rsidR="00660864" w:rsidRPr="000E55C1">
        <w:rPr>
          <w:rStyle w:val="normaltextrun"/>
          <w:rFonts w:eastAsia="Times New Roman" w:cstheme="minorHAnsi"/>
          <w:lang w:eastAsia="en-GB"/>
        </w:rPr>
        <w:t>Hardt et al.</w:t>
      </w:r>
      <w:r w:rsidR="00660864" w:rsidRPr="000E55C1">
        <w:rPr>
          <w:rStyle w:val="normaltextrun"/>
          <w:rFonts w:eastAsia="Times New Roman" w:cstheme="minorHAnsi"/>
          <w:lang w:eastAsia="en-GB"/>
        </w:rPr>
        <w:fldChar w:fldCharType="begin" w:fldLock="1"/>
      </w:r>
      <w:r w:rsidR="000E55C1">
        <w:rPr>
          <w:rStyle w:val="normaltextrun"/>
          <w:rFonts w:eastAsia="Times New Roman" w:cstheme="minorHAnsi"/>
          <w:lang w:eastAsia="en-GB"/>
        </w:rPr>
        <w:instrText>ADDIN CSL_CITATION {"citationItems":[{"id":"ITEM-1","itemData":{"DOI":"10.1016/j.apenergy.2018.03.127","ISSN":"03062619","abstract":"The UK has been one of the few countries that has successfully decoupled final energy consumption from economic growth over the past 15 years. This study investigates the drivers of final energy consumption in the UK productive sectors between 1997 and 2013 using a decomposition analysis that incorporates two novel features. Firstly, it investigates to what extent changes in thermodynamic efficiency have contributed to overall changes in sectoral energy intensities. Secondly, it analyses how much of the structural change in the UK economy is driven by the offshoring of energy-intensive production overseas. The results show that energy intensity reductions are the strongest factor reducing energy consumption. However, only a third of the energy savings from energy intensity reductions can be attributed to reductions in thermodynamic efficiency with reductions in the exergy intensity of production making up the reminder. In addition the majority of energy savings from structural change are a result of offshoring, which constitutes the second biggest factor reducing energy consumption. In recent years the contributions of all decomposition factors have been declining with very little change in energy consumption after 2009. This suggests that a return to the strong reductions in energy consumption observed between 2001 and 2009 in the UK productive sectors should not be taken for granted. Given that further reductions in UK final energy consumption are needed to achieve global targets for climate change mitigation, additional policy interventions are needed. Such policies should adopt a holistic approach, taking into account all sectors in the UK economy as well as the relationship between the structural change in the UK and in the global supply chains delivering the goods and service for consumption and investment in the UK.","author":[{"dropping-particle":"","family":"Hardt","given":"Lukas","non-dropping-particle":"","parse-names":false,"suffix":""},{"dropping-particle":"","family":"Owen","given":"Anne","non-dropping-particle":"","parse-names":false,"suffix":""},{"dropping-particle":"","family":"Brockway","given":"Paul","non-dropping-particle":"","parse-names":false,"suffix":""},{"dropping-particle":"","family":"Heun","given":"Matthew K.","non-dropping-particle":"","parse-names":false,"suffix":""},{"dropping-particle":"","family":"Barrett","given":"John","non-dropping-particle":"","parse-names":false,"suffix":""},{"dropping-particle":"","family":"Taylor","given":"Peter G.","non-dropping-particle":"","parse-names":false,"suffix":""},{"dropping-particle":"","family":"Foxon","given":"Timothy J.","non-dropping-particle":"","parse-names":false,"suffix":""}],"container-title":"Applied Energy","id":"ITEM-1","issued":{"date-parts":[["2018","8","1"]]},"page":"124-133","publisher":"Elsevier Ltd","title":"Untangling the drivers of energy reduction in the UK productive sectors: Efficiency or offshoring?","type":"article-journal","volume":"223"},"uris":["http://www.mendeley.com/documents/?uuid=94b40320-d30c-4438-8f16-6a98bc810c27"]}],"mendeley":{"formattedCitation":"&lt;sup&gt;3&lt;/sup&gt;","plainTextFormattedCitation":"3","previouslyFormattedCitation":"&lt;sup&gt;3&lt;/sup&gt;"},"properties":{"noteIndex":0},"schema":"https://github.com/citation-style-language/schema/raw/master/csl-citation.json"}</w:instrText>
      </w:r>
      <w:r w:rsidR="00660864" w:rsidRPr="000E55C1">
        <w:rPr>
          <w:rStyle w:val="normaltextrun"/>
          <w:rFonts w:eastAsia="Times New Roman" w:cstheme="minorHAnsi"/>
          <w:lang w:eastAsia="en-GB"/>
        </w:rPr>
        <w:fldChar w:fldCharType="separate"/>
      </w:r>
      <w:r w:rsidR="00660864" w:rsidRPr="000E55C1">
        <w:rPr>
          <w:rStyle w:val="normaltextrun"/>
          <w:rFonts w:eastAsia="Times New Roman" w:cstheme="minorHAnsi"/>
          <w:noProof/>
          <w:vertAlign w:val="superscript"/>
          <w:lang w:eastAsia="en-GB"/>
        </w:rPr>
        <w:t>3</w:t>
      </w:r>
      <w:r w:rsidR="00660864" w:rsidRPr="000E55C1">
        <w:rPr>
          <w:rStyle w:val="normaltextrun"/>
          <w:rFonts w:eastAsia="Times New Roman" w:cstheme="minorHAnsi"/>
          <w:lang w:eastAsia="en-GB"/>
        </w:rPr>
        <w:fldChar w:fldCharType="end"/>
      </w:r>
      <w:r w:rsidR="00660864" w:rsidRPr="000E55C1">
        <w:rPr>
          <w:rStyle w:val="normaltextrun"/>
          <w:rFonts w:eastAsia="Times New Roman" w:cstheme="minorHAnsi"/>
          <w:lang w:eastAsia="en-GB"/>
        </w:rPr>
        <w:t xml:space="preserve"> </w:t>
      </w:r>
      <w:r w:rsidRPr="000E55C1">
        <w:rPr>
          <w:rStyle w:val="normaltextrun"/>
          <w:rFonts w:eastAsia="Times New Roman" w:cstheme="minorHAnsi"/>
          <w:lang w:eastAsia="en-GB"/>
        </w:rPr>
        <w:t xml:space="preserve">contextualise this trend with respect to the ongoing structural change occurring in the UK economy. They suggest that the most significant contributor to energy savings made through structural change are as a result of offshoring energy intensive production, available due to cost-effective global production networks and value chains </w:t>
      </w:r>
      <w:r w:rsidRPr="000E55C1">
        <w:rPr>
          <w:rStyle w:val="normaltextrun"/>
          <w:rFonts w:eastAsia="Times New Roman" w:cstheme="minorHAnsi"/>
          <w:lang w:eastAsia="en-GB"/>
        </w:rPr>
        <w:fldChar w:fldCharType="begin" w:fldLock="1"/>
      </w:r>
      <w:r w:rsidR="00090364" w:rsidRPr="000E55C1">
        <w:rPr>
          <w:rStyle w:val="normaltextrun"/>
          <w:rFonts w:eastAsia="Times New Roman" w:cstheme="minorHAnsi"/>
          <w:lang w:eastAsia="en-GB"/>
        </w:rPr>
        <w:instrText>ADDIN CSL_CITATION {"citationItems":[{"id":"ITEM-1","itemData":{"DOI":"10.1016/j.apenergy.2018.03.127","ISSN":"03062619","abstract":"The UK has been one of the few countries that has successfully decoupled final energy consumption from economic growth over the past 15 years. This study investigates the drivers of final energy consumption in the UK productive sectors between 1997 and 2013 using a decomposition analysis that incorporates two novel features. Firstly, it investigates to what extent changes in thermodynamic efficiency have contributed to overall changes in sectoral energy intensities. Secondly, it analyses how much of the structural change in the UK economy is driven by the offshoring of energy-intensive production overseas. The results show that energy intensity reductions are the strongest factor reducing energy consumption. However, only a third of the energy savings from energy intensity reductions can be attributed to reductions in thermodynamic efficiency with reductions in the exergy intensity of production making up the reminder. In addition the majority of energy savings from structural change are a result of offshoring, which constitutes the second biggest factor reducing energy consumption. In recent years the contributions of all decomposition factors have been declining with very little change in energy consumption after 2009. This suggests that a return to the strong reductions in energy consumption observed between 2001 and 2009 in the UK productive sectors should not be taken for granted. Given that further reductions in UK final energy consumption are needed to achieve global targets for climate change mitigation, additional policy interventions are needed. Such policies should adopt a holistic approach, taking into account all sectors in the UK economy as well as the relationship between the structural change in the UK and in the global supply chains delivering the goods and service for consumption and investment in the UK.","author":[{"dropping-particle":"","family":"Hardt","given":"Lukas","non-dropping-particle":"","parse-names":false,"suffix":""},{"dropping-particle":"","family":"Owen","given":"Anne","non-dropping-particle":"","parse-names":false,"suffix":""},{"dropping-particle":"","family":"Brockway","given":"Paul","non-dropping-particle":"","parse-names":false,"suffix":""},{"dropping-particle":"","family":"Heun","given":"Matthew K.","non-dropping-particle":"","parse-names":false,"suffix":""},{"dropping-particle":"","family":"Barrett","given":"John","non-dropping-particle":"","parse-names":false,"suffix":""},{"dropping-particle":"","family":"Taylor","given":"Peter G.","non-dropping-particle":"","parse-names":false,"suffix":""},{"dropping-particle":"","family":"Foxon","given":"Timothy J.","non-dropping-particle":"","parse-names":false,"suffix":""}],"container-title":"Applied Energy","id":"ITEM-1","issued":{"date-parts":[["2018","8","1"]]},"page":"124-133","publisher":"Elsevier Ltd","title":"Untangling the drivers of energy reduction in the UK productive sectors: Efficiency or offshoring?","type":"article-journal","volume":"223"},"uris":["http://www.mendeley.com/documents/?uuid=fe6f0ae0-de37-3e5a-baf1-3d13abcf33b2"]}],"mendeley":{"formattedCitation":"&lt;sup&gt;3&lt;/sup&gt;","plainTextFormattedCitation":"3","previouslyFormattedCitation":"&lt;sup&gt;3&lt;/sup&gt;"},"properties":{"noteIndex":0},"schema":"https://github.com/citation-style-language/schema/raw/master/csl-citation.json"}</w:instrText>
      </w:r>
      <w:r w:rsidRPr="000E55C1">
        <w:rPr>
          <w:rStyle w:val="normaltextrun"/>
          <w:rFonts w:eastAsia="Times New Roman" w:cstheme="minorHAnsi"/>
          <w:lang w:eastAsia="en-GB"/>
        </w:rPr>
        <w:fldChar w:fldCharType="separate"/>
      </w:r>
      <w:r w:rsidR="00090364" w:rsidRPr="000E55C1">
        <w:rPr>
          <w:rStyle w:val="normaltextrun"/>
          <w:rFonts w:eastAsia="Times New Roman" w:cstheme="minorHAnsi"/>
          <w:noProof/>
          <w:vertAlign w:val="superscript"/>
          <w:lang w:eastAsia="en-GB"/>
        </w:rPr>
        <w:t>3</w:t>
      </w:r>
      <w:r w:rsidRPr="000E55C1">
        <w:rPr>
          <w:rStyle w:val="normaltextrun"/>
          <w:rFonts w:eastAsia="Times New Roman" w:cstheme="minorHAnsi"/>
          <w:lang w:eastAsia="en-GB"/>
        </w:rPr>
        <w:fldChar w:fldCharType="end"/>
      </w:r>
      <w:r w:rsidRPr="000E55C1">
        <w:rPr>
          <w:rStyle w:val="normaltextrun"/>
          <w:rFonts w:eastAsia="Times New Roman" w:cstheme="minorHAnsi"/>
          <w:lang w:eastAsia="en-GB"/>
        </w:rPr>
        <w:t xml:space="preserve">. This finding presents a distinction between reductions in domestic final energy demand (and territorial GHG emissions) that make a genuine contribution to mitigating climate change, and instances where reductions in domestic final energy demand (and territorial emissions) are caused by offshoring emissions to other regions, thus failing to contribute to climate change mitigation. Understanding how globalisation can impact upon domestic and global energy demand is therefore important to ensure energy demand and emissions are not exported elsewhere. While our analysis of energy demand is from a territorial perspective, the LED scenarios developed here reflect genuine energy demand reductions that do not increase reliance on increased imports of highly energy-intensive products from abroad. </w:t>
      </w:r>
    </w:p>
    <w:p w14:paraId="0DF2554A" w14:textId="257E9C1E" w:rsidR="009627EA" w:rsidRPr="000E55C1" w:rsidRDefault="00660864" w:rsidP="009627EA">
      <w:pPr>
        <w:pStyle w:val="Heading3"/>
        <w:rPr>
          <w:rStyle w:val="normaltextrun"/>
          <w:rFonts w:asciiTheme="minorHAnsi" w:eastAsia="Times New Roman" w:hAnsiTheme="minorHAnsi" w:cstheme="minorHAnsi"/>
          <w:sz w:val="22"/>
          <w:szCs w:val="22"/>
          <w:lang w:eastAsia="en-GB"/>
        </w:rPr>
      </w:pPr>
      <w:bookmarkStart w:id="12" w:name="_Toc77587877"/>
      <w:r w:rsidRPr="000E55C1">
        <w:rPr>
          <w:rStyle w:val="normaltextrun"/>
          <w:rFonts w:asciiTheme="minorHAnsi" w:eastAsia="Times New Roman" w:hAnsiTheme="minorHAnsi" w:cstheme="minorHAnsi"/>
          <w:sz w:val="22"/>
          <w:szCs w:val="22"/>
          <w:lang w:eastAsia="en-GB"/>
        </w:rPr>
        <w:t>3</w:t>
      </w:r>
      <w:r w:rsidR="009627EA" w:rsidRPr="000E55C1">
        <w:rPr>
          <w:rStyle w:val="normaltextrun"/>
          <w:rFonts w:asciiTheme="minorHAnsi" w:eastAsia="Times New Roman" w:hAnsiTheme="minorHAnsi" w:cstheme="minorHAnsi"/>
          <w:sz w:val="22"/>
          <w:szCs w:val="22"/>
          <w:lang w:eastAsia="en-GB"/>
        </w:rPr>
        <w:t>.7 Work and automation</w:t>
      </w:r>
      <w:bookmarkEnd w:id="12"/>
    </w:p>
    <w:p w14:paraId="24BEB733" w14:textId="55279646" w:rsidR="009627EA" w:rsidRPr="000E55C1" w:rsidRDefault="009627EA" w:rsidP="009627EA">
      <w:pPr>
        <w:rPr>
          <w:rStyle w:val="normaltextrun"/>
          <w:rFonts w:eastAsia="Times New Roman" w:cstheme="minorHAnsi"/>
          <w:noProof/>
          <w:lang w:eastAsia="en-GB"/>
        </w:rPr>
      </w:pPr>
      <w:r w:rsidRPr="000E55C1">
        <w:rPr>
          <w:rStyle w:val="normaltextrun"/>
          <w:rFonts w:eastAsia="Times New Roman" w:cstheme="minorHAnsi"/>
          <w:lang w:eastAsia="en-GB"/>
        </w:rPr>
        <w:t>There are many overlaps between trends involving the increased digitalisation, as discussed previously, and automation of social and economic activity, such as the integration of machine learning and artificial intelligence into energy service</w:t>
      </w:r>
      <w:r w:rsidRPr="000E55C1">
        <w:rPr>
          <w:rFonts w:cstheme="minorHAnsi"/>
        </w:rPr>
        <w:t xml:space="preserve"> </w:t>
      </w:r>
      <w:r w:rsidRPr="000E55C1">
        <w:rPr>
          <w:rStyle w:val="normaltextrun"/>
          <w:rFonts w:eastAsia="Times New Roman" w:cstheme="minorHAnsi"/>
          <w:lang w:eastAsia="en-GB"/>
        </w:rPr>
        <w:t xml:space="preserve">provision </w:t>
      </w:r>
      <w:r w:rsidRPr="000E55C1">
        <w:rPr>
          <w:rStyle w:val="normaltextrun"/>
          <w:rFonts w:eastAsia="Times New Roman" w:cstheme="minorHAnsi"/>
          <w:lang w:eastAsia="en-GB"/>
        </w:rPr>
        <w:fldChar w:fldCharType="begin" w:fldLock="1"/>
      </w:r>
      <w:r w:rsidR="00A14385" w:rsidRPr="000E55C1">
        <w:rPr>
          <w:rStyle w:val="normaltextrun"/>
          <w:rFonts w:eastAsia="Times New Roman" w:cstheme="minorHAnsi"/>
          <w:lang w:eastAsia="en-GB"/>
        </w:rPr>
        <w:instrText>ADDIN CSL_CITATION {"citationItems":[{"id":"ITEM-1","itemData":{"abstract":"Energy Futures Lab Energy Futures Lab is an institute of Imperial College London founded in 2005 to develop multidisciplinary, cross-faculty collaborations to tackle the broad range of energy challenges that the world faces. The institute's activities are supported by a small team of dedicated professionals that assists in building connections, coordinating projects and highlighting successes at the College. The Energy Futures Lab Briefing Papers are periodic reports aimed at all stakeholders in the energy sector. They bring together expertise from across Imperial College London to provide clarity on a wide range of energy topics. For more information visit:","author":[{"dropping-particle":"","family":"Rhodes","given":"Aidan","non-dropping-particle":"","parse-names":false,"suffix":""}],"container-title":"Imperial College London","id":"ITEM-1","issue":"May","issued":{"date-parts":[["2020"]]},"title":"Digitalisation of Energy: An Energy Futures Lab Briefling Paper","type":"article-journal"},"uris":["http://www.mendeley.com/documents/?uuid=bf750850-21c1-319c-80eb-ef82366218b1"]}],"mendeley":{"formattedCitation":"&lt;sup&gt;28&lt;/sup&gt;","plainTextFormattedCitation":"28","previouslyFormattedCitation":"&lt;sup&gt;28&lt;/sup&gt;"},"properties":{"noteIndex":0},"schema":"https://github.com/citation-style-language/schema/raw/master/csl-citation.json"}</w:instrText>
      </w:r>
      <w:r w:rsidRPr="000E55C1">
        <w:rPr>
          <w:rStyle w:val="normaltextrun"/>
          <w:rFonts w:eastAsia="Times New Roman" w:cstheme="minorHAnsi"/>
          <w:vertAlign w:val="superscript"/>
          <w:lang w:eastAsia="en-GB"/>
        </w:rPr>
        <w:fldChar w:fldCharType="separate"/>
      </w:r>
      <w:r w:rsidR="00A14385" w:rsidRPr="000E55C1">
        <w:rPr>
          <w:rStyle w:val="normaltextrun"/>
          <w:rFonts w:eastAsia="Times New Roman" w:cstheme="minorHAnsi"/>
          <w:noProof/>
          <w:vertAlign w:val="superscript"/>
          <w:lang w:eastAsia="en-GB"/>
        </w:rPr>
        <w:t>28</w:t>
      </w:r>
      <w:r w:rsidRPr="000E55C1">
        <w:rPr>
          <w:rStyle w:val="normaltextrun"/>
          <w:rFonts w:eastAsia="Times New Roman" w:cstheme="minorHAnsi"/>
          <w:lang w:eastAsia="en-GB"/>
        </w:rPr>
        <w:fldChar w:fldCharType="end"/>
      </w:r>
      <w:r w:rsidRPr="000E55C1">
        <w:rPr>
          <w:rStyle w:val="normaltextrun"/>
          <w:rFonts w:eastAsia="Times New Roman" w:cstheme="minorHAnsi"/>
          <w:lang w:eastAsia="en-GB"/>
        </w:rPr>
        <w:t xml:space="preserve">. However, this trend considers the distinct impact that automation may have on working patterns in the UK, and how this may change the demand for energy services. As </w:t>
      </w:r>
      <w:r w:rsidRPr="000E55C1">
        <w:rPr>
          <w:rStyle w:val="normaltextrun"/>
          <w:rFonts w:eastAsia="Times New Roman" w:cstheme="minorHAnsi"/>
          <w:lang w:eastAsia="en-GB"/>
        </w:rPr>
        <w:fldChar w:fldCharType="begin" w:fldLock="1"/>
      </w:r>
      <w:r w:rsidR="00660864" w:rsidRPr="000E55C1">
        <w:rPr>
          <w:rStyle w:val="normaltextrun"/>
          <w:rFonts w:eastAsia="Times New Roman" w:cstheme="minorHAnsi"/>
          <w:lang w:eastAsia="en-GB"/>
        </w:rPr>
        <w:instrText>ADDIN CSL_CITATION {"citationItems":[{"id":"ITEM-1","itemData":{"abstract":"Ever had the feeling that your job might be made up? That the world would keep on turning if you weren't doing that thing you do 9-5?","author":[{"dropping-particle":"","family":"Graeber","given":"David","non-dropping-particle":"","parse-names":false,"suffix":""}],"container-title":"Strike! Magazine","id":"ITEM-1","issued":{"date-parts":[["2013","8"]]},"publisher":"STRIKE!","title":"On the Phenomenon of Bullshit Jobs","type":"article-magazine"},"uris":["http://www.mendeley.com/documents/?uuid=b71ad739-d92e-32f1-9a0b-4b76d37bbe94"]}],"mendeley":{"formattedCitation":"&lt;sup&gt;62&lt;/sup&gt;","manualFormatting":"Graeber (2013)","plainTextFormattedCitation":"62","previouslyFormattedCitation":"&lt;sup&gt;62&lt;/sup&gt;"},"properties":{"noteIndex":0},"schema":"https://github.com/citation-style-language/schema/raw/master/csl-citation.json"}</w:instrText>
      </w:r>
      <w:r w:rsidRPr="000E55C1">
        <w:rPr>
          <w:rStyle w:val="normaltextrun"/>
          <w:rFonts w:eastAsia="Times New Roman" w:cstheme="minorHAnsi"/>
          <w:lang w:eastAsia="en-GB"/>
        </w:rPr>
        <w:fldChar w:fldCharType="separate"/>
      </w:r>
      <w:r w:rsidRPr="000E55C1">
        <w:rPr>
          <w:rStyle w:val="normaltextrun"/>
          <w:rFonts w:eastAsia="Times New Roman" w:cstheme="minorHAnsi"/>
          <w:noProof/>
          <w:lang w:eastAsia="en-GB"/>
        </w:rPr>
        <w:t>Graeber (2013)</w:t>
      </w:r>
      <w:r w:rsidRPr="000E55C1">
        <w:rPr>
          <w:rStyle w:val="normaltextrun"/>
          <w:rFonts w:eastAsia="Times New Roman" w:cstheme="minorHAnsi"/>
          <w:lang w:eastAsia="en-GB"/>
        </w:rPr>
        <w:fldChar w:fldCharType="end"/>
      </w:r>
      <w:r w:rsidRPr="000E55C1">
        <w:rPr>
          <w:rStyle w:val="normaltextrun"/>
          <w:rFonts w:eastAsia="Times New Roman" w:cstheme="minorHAnsi"/>
          <w:lang w:eastAsia="en-GB"/>
        </w:rPr>
        <w:t xml:space="preserve"> recounts, in 1930, John Maynard Keynes predicted that early industrialised wealthy countries such as the UK or USA would be working 10 – 15 hours in an average working week by the beginning of the 21st century due to significant advances in the productive capacity of technology. Technologically speaking, this prediction is not too far removed from reality. Several studies have aimed to assess how many jobs could be replaced by automation. </w:t>
      </w:r>
      <w:r w:rsidRPr="000E55C1">
        <w:rPr>
          <w:rStyle w:val="normaltextrun"/>
          <w:rFonts w:eastAsia="Times New Roman" w:cstheme="minorHAnsi"/>
          <w:lang w:eastAsia="en-GB"/>
        </w:rPr>
        <w:fldChar w:fldCharType="begin" w:fldLock="1"/>
      </w:r>
      <w:r w:rsidR="00660864" w:rsidRPr="000E55C1">
        <w:rPr>
          <w:rStyle w:val="normaltextrun"/>
          <w:rFonts w:eastAsia="Times New Roman" w:cstheme="minorHAnsi"/>
          <w:lang w:eastAsia="en-GB"/>
        </w:rPr>
        <w:instrText>ADDIN CSL_CITATION {"citationItems":[{"id":"ITEM-1","itemData":{"DOI":"10.1016/j.techfore.2016.08.019","ISSN":"00401625","abstract":"We examine how susceptible jobs are to computerisation. To assess this, we begin by implementing a novel methodology to estimate the probability of computerisation for 702 detailed occupations, using a Gaussian process classifier. Based on these estimates, we examine expected impacts of future computerisation on US labour market outcomes, with the primary objective of analysing the number of jobs at risk and the relationship between an occupations probability of computerisation, wages and educational attainment.","author":[{"dropping-particle":"","family":"Frey","given":"Carl Benedikt","non-dropping-particle":"","parse-names":false,"suffix":""},{"dropping-particle":"","family":"Osborne","given":"Michael A","non-dropping-particle":"","parse-names":false,"suffix":""}],"container-title":"Technological Forecasting and Social Change","id":"ITEM-1","issued":{"date-parts":[["2017"]]},"page":"254-280","publisher-place":"Oxford","title":"The future of employment: How susceptible are jobs to computerisation?","type":"article-journal","volume":"114"},"uris":["http://www.mendeley.com/documents/?uuid=dd9b6258-840f-3956-b8ba-f60c7aedcc18"]}],"mendeley":{"formattedCitation":"&lt;sup&gt;63&lt;/sup&gt;","manualFormatting":"(Frey and Osborne, 2013)","plainTextFormattedCitation":"63","previouslyFormattedCitation":"&lt;sup&gt;63&lt;/sup&gt;"},"properties":{"noteIndex":0},"schema":"https://github.com/citation-style-language/schema/raw/master/csl-citation.json"}</w:instrText>
      </w:r>
      <w:r w:rsidRPr="000E55C1">
        <w:rPr>
          <w:rStyle w:val="normaltextrun"/>
          <w:rFonts w:eastAsia="Times New Roman" w:cstheme="minorHAnsi"/>
          <w:lang w:eastAsia="en-GB"/>
        </w:rPr>
        <w:fldChar w:fldCharType="separate"/>
      </w:r>
      <w:r w:rsidRPr="000E55C1">
        <w:rPr>
          <w:rStyle w:val="normaltextrun"/>
          <w:rFonts w:eastAsia="Times New Roman" w:cstheme="minorHAnsi"/>
          <w:noProof/>
          <w:lang w:eastAsia="en-GB"/>
        </w:rPr>
        <w:t>(Frey and Osborne, 2013)</w:t>
      </w:r>
      <w:r w:rsidRPr="000E55C1">
        <w:rPr>
          <w:rStyle w:val="normaltextrun"/>
          <w:rFonts w:eastAsia="Times New Roman" w:cstheme="minorHAnsi"/>
          <w:lang w:eastAsia="en-GB"/>
        </w:rPr>
        <w:fldChar w:fldCharType="end"/>
      </w:r>
      <w:r w:rsidRPr="000E55C1">
        <w:rPr>
          <w:rStyle w:val="normaltextrun"/>
          <w:rFonts w:eastAsia="Times New Roman" w:cstheme="minorHAnsi"/>
          <w:lang w:eastAsia="en-GB"/>
        </w:rPr>
        <w:t xml:space="preserve"> indicate that 47% of jobs in the US are at a high risk of being displaced by automation. In the UK context, several studies have suggested that 30% of UK jobs were vulnerable to automation, whilst the ONS suggests 7.4% of jobs are at high risk of automation, with 65% of jobs at a medium</w:t>
      </w:r>
      <w:r w:rsidRPr="000E55C1">
        <w:rPr>
          <w:rFonts w:cstheme="minorHAnsi"/>
        </w:rPr>
        <w:t xml:space="preserve"> </w:t>
      </w:r>
      <w:r w:rsidRPr="000E55C1">
        <w:rPr>
          <w:rStyle w:val="normaltextrun"/>
          <w:rFonts w:eastAsia="Times New Roman" w:cstheme="minorHAnsi"/>
          <w:lang w:eastAsia="en-GB"/>
        </w:rPr>
        <w:t xml:space="preserve">risk </w:t>
      </w:r>
      <w:r w:rsidRPr="000E55C1">
        <w:rPr>
          <w:rStyle w:val="normaltextrun"/>
          <w:rFonts w:eastAsia="Times New Roman" w:cstheme="minorHAnsi"/>
          <w:lang w:eastAsia="en-GB"/>
        </w:rPr>
        <w:fldChar w:fldCharType="begin" w:fldLock="1"/>
      </w:r>
      <w:r w:rsidR="00660864" w:rsidRPr="000E55C1">
        <w:rPr>
          <w:rStyle w:val="normaltextrun"/>
          <w:rFonts w:eastAsia="Times New Roman" w:cstheme="minorHAnsi"/>
          <w:lang w:eastAsia="en-GB"/>
        </w:rPr>
        <w:instrText>ADDIN CSL_CITATION {"citationItems":[{"id":"ITEM-1","itemData":{"URL":"https://www.ons.gov.uk/employmentandlabourmarket/peopleinwork/employmentandemployeetypes/articles/theprobabilityofautomationinengland/2011and2017","accessed":{"date-parts":[["2021","1","27"]]},"author":[{"dropping-particle":"","family":"ONS","given":"","non-dropping-particle":"","parse-names":false,"suffix":""}],"id":"ITEM-1","issued":{"date-parts":[["2017"]]},"title":"The probability of automation in England ","type":"webpage"},"uris":["http://www.mendeley.com/documents/?uuid=fad2e57f-7bc1-3771-9f37-66b6482b903d"]},{"id":"ITEM-2","itemData":{"author":[{"dropping-particle":"","family":"BEIS Parliamentary Committee","given":"","non-dropping-particle":"","parse-names":false,"suffix":""}],"id":"ITEM-2","issued":{"date-parts":[["2019"]]},"publisher-place":"London","title":"Automation and the future of work Twenty-third Report of Session 2017-19 Report, together with formal minutes relating to the report","type":"report"},"uris":["http://www.mendeley.com/documents/?uuid=28029ebf-9f1f-3318-88e8-26d4b24db39f"]}],"mendeley":{"formattedCitation":"&lt;sup&gt;64,65&lt;/sup&gt;","plainTextFormattedCitation":"64,65","previouslyFormattedCitation":"&lt;sup&gt;64,65&lt;/sup&gt;"},"properties":{"noteIndex":0},"schema":"https://github.com/citation-style-language/schema/raw/master/csl-citation.json"}</w:instrText>
      </w:r>
      <w:r w:rsidRPr="000E55C1">
        <w:rPr>
          <w:rStyle w:val="normaltextrun"/>
          <w:rFonts w:eastAsia="Times New Roman" w:cstheme="minorHAnsi"/>
          <w:lang w:eastAsia="en-GB"/>
        </w:rPr>
        <w:fldChar w:fldCharType="separate"/>
      </w:r>
      <w:r w:rsidR="00660864" w:rsidRPr="000E55C1">
        <w:rPr>
          <w:rStyle w:val="normaltextrun"/>
          <w:rFonts w:eastAsia="Times New Roman" w:cstheme="minorHAnsi"/>
          <w:noProof/>
          <w:vertAlign w:val="superscript"/>
          <w:lang w:eastAsia="en-GB"/>
        </w:rPr>
        <w:t>64,65</w:t>
      </w:r>
      <w:r w:rsidRPr="000E55C1">
        <w:rPr>
          <w:rStyle w:val="normaltextrun"/>
          <w:rFonts w:eastAsia="Times New Roman" w:cstheme="minorHAnsi"/>
          <w:lang w:eastAsia="en-GB"/>
        </w:rPr>
        <w:fldChar w:fldCharType="end"/>
      </w:r>
      <w:r w:rsidRPr="000E55C1">
        <w:rPr>
          <w:rStyle w:val="normaltextrun"/>
          <w:rFonts w:eastAsia="Times New Roman" w:cstheme="minorHAnsi"/>
          <w:lang w:eastAsia="en-GB"/>
        </w:rPr>
        <w:t>.</w:t>
      </w:r>
    </w:p>
    <w:p w14:paraId="5A97888F" w14:textId="3368A792" w:rsidR="004935FA" w:rsidRPr="000E55C1" w:rsidRDefault="009627EA">
      <w:pPr>
        <w:rPr>
          <w:rStyle w:val="normaltextrun"/>
          <w:rFonts w:eastAsia="Times New Roman" w:cstheme="minorHAnsi"/>
          <w:lang w:eastAsia="en-GB"/>
        </w:rPr>
        <w:sectPr w:rsidR="004935FA" w:rsidRPr="000E55C1" w:rsidSect="002C4C13">
          <w:pgSz w:w="11900" w:h="16840"/>
          <w:pgMar w:top="1701" w:right="1304" w:bottom="1134" w:left="1304" w:header="720" w:footer="720" w:gutter="0"/>
          <w:lnNumType w:countBy="1" w:restart="continuous"/>
          <w:cols w:space="720"/>
          <w:titlePg/>
          <w:docGrid w:linePitch="360"/>
        </w:sectPr>
      </w:pPr>
      <w:r w:rsidRPr="000E55C1">
        <w:rPr>
          <w:rStyle w:val="normaltextrun"/>
          <w:rFonts w:eastAsia="Times New Roman" w:cstheme="minorHAnsi"/>
          <w:lang w:eastAsia="en-GB"/>
        </w:rPr>
        <w:t xml:space="preserve">So whilst the productive capacity of autonomous technology can reduce the need for labour, average full time working week over the past 20 years remain stable at around 38 hours per week </w:t>
      </w:r>
      <w:r w:rsidRPr="000E55C1">
        <w:rPr>
          <w:rStyle w:val="normaltextrun"/>
          <w:rFonts w:eastAsia="Times New Roman" w:cstheme="minorHAnsi"/>
          <w:lang w:eastAsia="en-GB"/>
        </w:rPr>
        <w:fldChar w:fldCharType="begin" w:fldLock="1"/>
      </w:r>
      <w:r w:rsidR="00660864" w:rsidRPr="000E55C1">
        <w:rPr>
          <w:rStyle w:val="normaltextrun"/>
          <w:rFonts w:eastAsia="Times New Roman" w:cstheme="minorHAnsi"/>
          <w:lang w:eastAsia="en-GB"/>
        </w:rPr>
        <w:instrText>ADDIN CSL_CITATION {"citationItems":[{"id":"ITEM-1","itemData":{"URL":"https://www.ons.gov.uk/employmentandlabourmarket/peopleinwork/earningsandworkinghours/timeseries/ybuy/lms","accessed":{"date-parts":[["2021","1","27"]]},"author":[{"dropping-particle":"","family":"ONS","given":"","non-dropping-particle":"","parse-names":false,"suffix":""}],"container-title":"Labour Market Statistics Time Series","id":"ITEM-1","issued":{"date-parts":[["2021"]]},"title":"Average actual weekly hours of work for full-time workers (seasonally adjusted) - Office for National Statistics","type":"webpage"},"uris":["http://www.mendeley.com/documents/?uuid=f797ea6b-97e4-31bd-af27-54f3f4f02b15"]}],"mendeley":{"formattedCitation":"&lt;sup&gt;66&lt;/sup&gt;","plainTextFormattedCitation":"66","previouslyFormattedCitation":"&lt;sup&gt;66&lt;/sup&gt;"},"properties":{"noteIndex":0},"schema":"https://github.com/citation-style-language/schema/raw/master/csl-citation.json"}</w:instrText>
      </w:r>
      <w:r w:rsidRPr="000E55C1">
        <w:rPr>
          <w:rStyle w:val="normaltextrun"/>
          <w:rFonts w:eastAsia="Times New Roman" w:cstheme="minorHAnsi"/>
          <w:vertAlign w:val="superscript"/>
          <w:lang w:eastAsia="en-GB"/>
        </w:rPr>
        <w:fldChar w:fldCharType="separate"/>
      </w:r>
      <w:r w:rsidR="00660864" w:rsidRPr="000E55C1">
        <w:rPr>
          <w:rStyle w:val="normaltextrun"/>
          <w:rFonts w:eastAsia="Times New Roman" w:cstheme="minorHAnsi"/>
          <w:noProof/>
          <w:vertAlign w:val="superscript"/>
          <w:lang w:eastAsia="en-GB"/>
        </w:rPr>
        <w:t>66</w:t>
      </w:r>
      <w:r w:rsidRPr="000E55C1">
        <w:rPr>
          <w:rStyle w:val="normaltextrun"/>
          <w:rFonts w:eastAsia="Times New Roman" w:cstheme="minorHAnsi"/>
          <w:lang w:eastAsia="en-GB"/>
        </w:rPr>
        <w:fldChar w:fldCharType="end"/>
      </w:r>
      <w:r w:rsidRPr="000E55C1">
        <w:rPr>
          <w:rStyle w:val="normaltextrun"/>
          <w:rFonts w:eastAsia="Times New Roman" w:cstheme="minorHAnsi"/>
          <w:lang w:eastAsia="en-GB"/>
        </w:rPr>
        <w:t xml:space="preserve">. The stability of working time suggests that increasing integration of autonomous technology is not having a significant impact on working time. Whilst the stability of average hours worked is the result of multiple factors, it is partially explained by the need for increasing labour productivity to underpin growth-based business and economic models </w:t>
      </w:r>
      <w:r w:rsidRPr="000E55C1">
        <w:rPr>
          <w:rStyle w:val="normaltextrun"/>
          <w:rFonts w:eastAsia="Times New Roman" w:cstheme="minorHAnsi"/>
          <w:lang w:eastAsia="en-GB"/>
        </w:rPr>
        <w:fldChar w:fldCharType="begin" w:fldLock="1"/>
      </w:r>
      <w:r w:rsidR="00660864" w:rsidRPr="000E55C1">
        <w:rPr>
          <w:rStyle w:val="normaltextrun"/>
          <w:rFonts w:eastAsia="Times New Roman" w:cstheme="minorHAnsi"/>
          <w:lang w:eastAsia="en-GB"/>
        </w:rPr>
        <w:instrText>ADDIN CSL_CITATION {"citationItems":[{"id":"ITEM-1","itemData":{"ISBN":"0-465-05433-1","author":[{"dropping-particle":"","family":"Schor","given":"Juliet B.","non-dropping-particle":"","parse-names":false,"suffix":""}],"id":"ITEM-1","issued":{"date-parts":[["1992"]]},"number-of-pages":"247","publisher":"Basic Books","publisher-place":"New York","title":"The Overworked American: The Unexpected Decline of Leisure.","type":"book"},"uris":["http://www.mendeley.com/documents/?uuid=04149b70-7f17-4a32-aa67-e7eef55bca2f"]}],"mendeley":{"formattedCitation":"&lt;sup&gt;67&lt;/sup&gt;","plainTextFormattedCitation":"67","previouslyFormattedCitation":"&lt;sup&gt;67&lt;/sup&gt;"},"properties":{"noteIndex":0},"schema":"https://github.com/citation-style-language/schema/raw/master/csl-citation.json"}</w:instrText>
      </w:r>
      <w:r w:rsidRPr="000E55C1">
        <w:rPr>
          <w:rStyle w:val="normaltextrun"/>
          <w:rFonts w:eastAsia="Times New Roman" w:cstheme="minorHAnsi"/>
          <w:lang w:eastAsia="en-GB"/>
        </w:rPr>
        <w:fldChar w:fldCharType="separate"/>
      </w:r>
      <w:r w:rsidR="00660864" w:rsidRPr="000E55C1">
        <w:rPr>
          <w:rStyle w:val="normaltextrun"/>
          <w:rFonts w:eastAsia="Times New Roman" w:cstheme="minorHAnsi"/>
          <w:noProof/>
          <w:vertAlign w:val="superscript"/>
          <w:lang w:eastAsia="en-GB"/>
        </w:rPr>
        <w:t>67</w:t>
      </w:r>
      <w:r w:rsidRPr="000E55C1">
        <w:rPr>
          <w:rStyle w:val="normaltextrun"/>
          <w:rFonts w:eastAsia="Times New Roman" w:cstheme="minorHAnsi"/>
          <w:lang w:eastAsia="en-GB"/>
        </w:rPr>
        <w:fldChar w:fldCharType="end"/>
      </w:r>
      <w:r w:rsidRPr="000E55C1">
        <w:rPr>
          <w:rStyle w:val="normaltextrun"/>
          <w:rFonts w:eastAsia="Times New Roman" w:cstheme="minorHAnsi"/>
          <w:lang w:eastAsia="en-GB"/>
        </w:rPr>
        <w:t xml:space="preserve">. This indicates that if prioritised, it is feasible that working less could be supported by increasing automation </w:t>
      </w:r>
      <w:r w:rsidRPr="000E55C1">
        <w:rPr>
          <w:rStyle w:val="normaltextrun"/>
          <w:rFonts w:eastAsia="Times New Roman" w:cstheme="minorHAnsi"/>
          <w:lang w:eastAsia="en-GB"/>
        </w:rPr>
        <w:fldChar w:fldCharType="begin" w:fldLock="1"/>
      </w:r>
      <w:r w:rsidR="00660864" w:rsidRPr="000E55C1">
        <w:rPr>
          <w:rStyle w:val="normaltextrun"/>
          <w:rFonts w:eastAsia="Times New Roman" w:cstheme="minorHAnsi"/>
          <w:lang w:eastAsia="en-GB"/>
        </w:rPr>
        <w:instrText>ADDIN CSL_CITATION {"citationItems":[{"id":"ITEM-1","itemData":{"author":[{"dropping-particle":"","family":"Stronge","given":"Will","non-dropping-particle":"","parse-names":false,"suffix":""},{"dropping-particle":"","family":"Harper","given":"Aidan","non-dropping-particle":"","parse-names":false,"suffix":""}],"id":"ITEM-1","issued":{"date-parts":[["2019"]]},"publisher-place":"Hampshire","title":"The Shorter Working Week","type":"report"},"uris":["http://www.mendeley.com/documents/?uuid=2316f732-3f09-3869-bfb5-bf23fcb4d17d"]}],"mendeley":{"formattedCitation":"&lt;sup&gt;68&lt;/sup&gt;","plainTextFormattedCitation":"68","previouslyFormattedCitation":"&lt;sup&gt;68&lt;/sup&gt;"},"properties":{"noteIndex":0},"schema":"https://github.com/citation-style-language/schema/raw/master/csl-citation.json"}</w:instrText>
      </w:r>
      <w:r w:rsidRPr="000E55C1">
        <w:rPr>
          <w:rStyle w:val="normaltextrun"/>
          <w:rFonts w:eastAsia="Times New Roman" w:cstheme="minorHAnsi"/>
          <w:lang w:eastAsia="en-GB"/>
        </w:rPr>
        <w:fldChar w:fldCharType="separate"/>
      </w:r>
      <w:r w:rsidR="00660864" w:rsidRPr="000E55C1">
        <w:rPr>
          <w:rStyle w:val="normaltextrun"/>
          <w:rFonts w:eastAsia="Times New Roman" w:cstheme="minorHAnsi"/>
          <w:noProof/>
          <w:vertAlign w:val="superscript"/>
          <w:lang w:eastAsia="en-GB"/>
        </w:rPr>
        <w:t>68</w:t>
      </w:r>
      <w:r w:rsidRPr="000E55C1">
        <w:rPr>
          <w:rStyle w:val="normaltextrun"/>
          <w:rFonts w:eastAsia="Times New Roman" w:cstheme="minorHAnsi"/>
          <w:lang w:eastAsia="en-GB"/>
        </w:rPr>
        <w:fldChar w:fldCharType="end"/>
      </w:r>
      <w:r w:rsidRPr="000E55C1">
        <w:rPr>
          <w:rStyle w:val="normaltextrun"/>
          <w:rFonts w:eastAsia="Times New Roman" w:cstheme="minorHAnsi"/>
          <w:lang w:eastAsia="en-GB"/>
        </w:rPr>
        <w:t>.</w:t>
      </w:r>
    </w:p>
    <w:p w14:paraId="15CD65AF" w14:textId="5F3887BC" w:rsidR="004935FA" w:rsidRPr="000E55C1" w:rsidRDefault="004935FA" w:rsidP="004935FA">
      <w:pPr>
        <w:pStyle w:val="Heading2"/>
        <w:rPr>
          <w:rFonts w:asciiTheme="minorHAnsi" w:hAnsiTheme="minorHAnsi" w:cstheme="minorHAnsi"/>
        </w:rPr>
      </w:pPr>
      <w:r w:rsidRPr="000E55C1">
        <w:rPr>
          <w:rFonts w:asciiTheme="minorHAnsi" w:hAnsiTheme="minorHAnsi" w:cstheme="minorHAnsi"/>
        </w:rPr>
        <w:lastRenderedPageBreak/>
        <w:br w:type="page"/>
      </w:r>
    </w:p>
    <w:p w14:paraId="16BC18C8" w14:textId="77777777" w:rsidR="004935FA" w:rsidRPr="000E55C1" w:rsidRDefault="004935FA" w:rsidP="004935FA">
      <w:pPr>
        <w:pStyle w:val="Heading2"/>
        <w:rPr>
          <w:rFonts w:asciiTheme="minorHAnsi" w:hAnsiTheme="minorHAnsi" w:cstheme="minorHAnsi"/>
        </w:rPr>
      </w:pPr>
    </w:p>
    <w:p w14:paraId="03D312C3" w14:textId="18B93FB3" w:rsidR="004935FA" w:rsidRPr="000E55C1" w:rsidRDefault="00955BCE" w:rsidP="004935FA">
      <w:pPr>
        <w:pStyle w:val="Heading2"/>
        <w:rPr>
          <w:rFonts w:asciiTheme="minorHAnsi" w:eastAsia="Times New Roman" w:hAnsiTheme="minorHAnsi" w:cstheme="minorHAnsi"/>
          <w:lang w:eastAsia="en-GB"/>
        </w:rPr>
        <w:sectPr w:rsidR="004935FA" w:rsidRPr="000E55C1" w:rsidSect="002C4C13">
          <w:pgSz w:w="11900" w:h="16840"/>
          <w:pgMar w:top="1701" w:right="1304" w:bottom="1134" w:left="1304" w:header="720" w:footer="720" w:gutter="0"/>
          <w:lnNumType w:countBy="1" w:restart="continuous"/>
          <w:cols w:space="720"/>
          <w:titlePg/>
          <w:docGrid w:linePitch="360"/>
        </w:sectPr>
      </w:pPr>
      <w:bookmarkStart w:id="13" w:name="_Toc87453380"/>
      <w:r w:rsidRPr="000E55C1">
        <w:rPr>
          <w:rFonts w:asciiTheme="minorHAnsi" w:hAnsiTheme="minorHAnsi" w:cstheme="minorHAnsi"/>
        </w:rPr>
        <w:t xml:space="preserve">SI </w:t>
      </w:r>
      <w:r w:rsidR="231C461E" w:rsidRPr="000E55C1">
        <w:rPr>
          <w:rFonts w:asciiTheme="minorHAnsi" w:hAnsiTheme="minorHAnsi" w:cstheme="minorHAnsi"/>
        </w:rPr>
        <w:t>4</w:t>
      </w:r>
      <w:r w:rsidR="009627EA" w:rsidRPr="000E55C1">
        <w:rPr>
          <w:rFonts w:asciiTheme="minorHAnsi" w:hAnsiTheme="minorHAnsi" w:cstheme="minorHAnsi"/>
        </w:rPr>
        <w:t xml:space="preserve"> – Sectoral modelling assumptions</w:t>
      </w:r>
      <w:bookmarkEnd w:id="13"/>
    </w:p>
    <w:p w14:paraId="68FF0F4C" w14:textId="6B1E4893" w:rsidR="00955BCE" w:rsidRPr="000E55C1" w:rsidRDefault="00955BCE" w:rsidP="009627EA">
      <w:pPr>
        <w:rPr>
          <w:rFonts w:cstheme="minorHAnsi"/>
        </w:rPr>
      </w:pPr>
    </w:p>
    <w:p w14:paraId="7CF3AA90" w14:textId="7110E2E5" w:rsidR="00955BCE" w:rsidRPr="000E55C1" w:rsidRDefault="00374CE6" w:rsidP="00955BCE">
      <w:pPr>
        <w:pStyle w:val="Heading3"/>
        <w:rPr>
          <w:rFonts w:asciiTheme="minorHAnsi" w:hAnsiTheme="minorHAnsi" w:cstheme="minorHAnsi"/>
        </w:rPr>
      </w:pPr>
      <w:r w:rsidRPr="000E55C1">
        <w:rPr>
          <w:rFonts w:asciiTheme="minorHAnsi" w:hAnsiTheme="minorHAnsi" w:cstheme="minorHAnsi"/>
        </w:rPr>
        <w:t>4</w:t>
      </w:r>
      <w:r w:rsidR="00955BCE" w:rsidRPr="000E55C1">
        <w:rPr>
          <w:rFonts w:asciiTheme="minorHAnsi" w:hAnsiTheme="minorHAnsi" w:cstheme="minorHAnsi"/>
        </w:rPr>
        <w:t xml:space="preserve">.1 </w:t>
      </w:r>
      <w:r w:rsidR="6AF560C0" w:rsidRPr="000E55C1">
        <w:rPr>
          <w:rFonts w:asciiTheme="minorHAnsi" w:hAnsiTheme="minorHAnsi" w:cstheme="minorHAnsi"/>
        </w:rPr>
        <w:t>L</w:t>
      </w:r>
      <w:r w:rsidR="00955BCE" w:rsidRPr="000E55C1">
        <w:rPr>
          <w:rFonts w:asciiTheme="minorHAnsi" w:hAnsiTheme="minorHAnsi" w:cstheme="minorHAnsi"/>
        </w:rPr>
        <w:t xml:space="preserve">inking the </w:t>
      </w:r>
      <w:r w:rsidR="6058B355" w:rsidRPr="000E55C1">
        <w:rPr>
          <w:rFonts w:asciiTheme="minorHAnsi" w:hAnsiTheme="minorHAnsi" w:cstheme="minorHAnsi"/>
        </w:rPr>
        <w:t xml:space="preserve">scenario </w:t>
      </w:r>
      <w:r w:rsidR="00955BCE" w:rsidRPr="000E55C1">
        <w:rPr>
          <w:rFonts w:asciiTheme="minorHAnsi" w:hAnsiTheme="minorHAnsi" w:cstheme="minorHAnsi"/>
        </w:rPr>
        <w:t>narrative to the sector</w:t>
      </w:r>
      <w:r w:rsidR="4798EE04" w:rsidRPr="000E55C1">
        <w:rPr>
          <w:rFonts w:asciiTheme="minorHAnsi" w:hAnsiTheme="minorHAnsi" w:cstheme="minorHAnsi"/>
        </w:rPr>
        <w:t xml:space="preserve"> modelling</w:t>
      </w:r>
    </w:p>
    <w:p w14:paraId="47ED0116" w14:textId="35B15FFF" w:rsidR="00955BCE" w:rsidRDefault="00955BCE" w:rsidP="009627EA">
      <w:pPr>
        <w:rPr>
          <w:rFonts w:cstheme="minorHAnsi"/>
          <w:b/>
          <w:bCs/>
          <w:sz w:val="20"/>
          <w:szCs w:val="20"/>
        </w:rPr>
      </w:pPr>
    </w:p>
    <w:p w14:paraId="70BC774D" w14:textId="59151197" w:rsidR="00BD153E" w:rsidRDefault="00BD153E" w:rsidP="009627EA">
      <w:pPr>
        <w:rPr>
          <w:rFonts w:cstheme="minorHAnsi"/>
          <w:b/>
          <w:bCs/>
          <w:sz w:val="20"/>
          <w:szCs w:val="20"/>
        </w:rPr>
      </w:pPr>
      <w:r>
        <w:rPr>
          <w:rFonts w:cstheme="minorHAnsi"/>
          <w:b/>
          <w:bCs/>
          <w:sz w:val="20"/>
          <w:szCs w:val="20"/>
        </w:rPr>
        <w:t xml:space="preserve">See additional file of table 1: </w:t>
      </w:r>
    </w:p>
    <w:p w14:paraId="63B17723" w14:textId="77777777" w:rsidR="00BD153E" w:rsidRPr="000E55C1" w:rsidRDefault="00BD153E" w:rsidP="009627EA">
      <w:pPr>
        <w:rPr>
          <w:rFonts w:cstheme="minorHAnsi"/>
          <w:b/>
          <w:bCs/>
          <w:sz w:val="20"/>
          <w:szCs w:val="20"/>
        </w:rPr>
      </w:pPr>
    </w:p>
    <w:p w14:paraId="7B471CA2" w14:textId="0FB3EA8F" w:rsidR="009627EA" w:rsidRDefault="017C39C5" w:rsidP="009627EA">
      <w:pPr>
        <w:rPr>
          <w:rFonts w:cstheme="minorHAnsi"/>
          <w:b/>
          <w:bCs/>
          <w:sz w:val="20"/>
          <w:szCs w:val="20"/>
        </w:rPr>
      </w:pPr>
      <w:r w:rsidRPr="000E55C1">
        <w:rPr>
          <w:rFonts w:cstheme="minorHAnsi"/>
          <w:b/>
          <w:bCs/>
          <w:sz w:val="20"/>
          <w:szCs w:val="20"/>
        </w:rPr>
        <w:t xml:space="preserve">Supplementary </w:t>
      </w:r>
      <w:r w:rsidR="009627EA" w:rsidRPr="000E55C1">
        <w:rPr>
          <w:rFonts w:cstheme="minorHAnsi"/>
          <w:b/>
          <w:bCs/>
          <w:sz w:val="20"/>
          <w:szCs w:val="20"/>
        </w:rPr>
        <w:t>Table 1: Mapping of scenario drivers across sectors</w:t>
      </w:r>
      <w:bookmarkStart w:id="14" w:name="_GoBack"/>
      <w:bookmarkEnd w:id="14"/>
    </w:p>
    <w:p w14:paraId="043A3530" w14:textId="77777777" w:rsidR="00BD153E" w:rsidRPr="000E55C1" w:rsidRDefault="00BD153E" w:rsidP="009627EA">
      <w:pPr>
        <w:rPr>
          <w:rFonts w:cstheme="minorHAnsi"/>
          <w:b/>
          <w:bCs/>
          <w:sz w:val="20"/>
          <w:szCs w:val="20"/>
        </w:rPr>
      </w:pPr>
    </w:p>
    <w:p w14:paraId="64F65FFA" w14:textId="77777777" w:rsidR="009627EA" w:rsidRPr="000E55C1" w:rsidRDefault="009627EA" w:rsidP="009627EA">
      <w:pPr>
        <w:rPr>
          <w:rFonts w:cstheme="minorHAnsi"/>
        </w:rPr>
      </w:pPr>
    </w:p>
    <w:p w14:paraId="5ACCDA8D" w14:textId="77777777" w:rsidR="009627EA" w:rsidRPr="000E55C1" w:rsidRDefault="009627EA" w:rsidP="009627EA">
      <w:pPr>
        <w:rPr>
          <w:rFonts w:cstheme="minorHAnsi"/>
        </w:rPr>
      </w:pPr>
    </w:p>
    <w:p w14:paraId="7FE9402A" w14:textId="77777777" w:rsidR="009627EA" w:rsidRPr="000E55C1" w:rsidRDefault="009627EA" w:rsidP="009627EA">
      <w:pPr>
        <w:rPr>
          <w:rFonts w:cstheme="minorHAnsi"/>
        </w:rPr>
        <w:sectPr w:rsidR="009627EA" w:rsidRPr="000E55C1" w:rsidSect="002C4C13">
          <w:type w:val="continuous"/>
          <w:pgSz w:w="11900" w:h="16840" w:code="9"/>
          <w:pgMar w:top="1701" w:right="1304" w:bottom="1134" w:left="1304" w:header="720" w:footer="720" w:gutter="0"/>
          <w:lnNumType w:countBy="1" w:restart="continuous"/>
          <w:cols w:space="720"/>
          <w:titlePg/>
          <w:docGrid w:linePitch="360"/>
        </w:sectPr>
      </w:pPr>
    </w:p>
    <w:p w14:paraId="324F8F82" w14:textId="77777777" w:rsidR="009627EA" w:rsidRPr="000E55C1" w:rsidRDefault="009627EA" w:rsidP="009627EA">
      <w:pPr>
        <w:rPr>
          <w:rFonts w:cstheme="minorHAnsi"/>
        </w:rPr>
      </w:pPr>
    </w:p>
    <w:p w14:paraId="6F2D10C8" w14:textId="77777777" w:rsidR="004935FA" w:rsidRPr="000E55C1" w:rsidRDefault="004935FA" w:rsidP="00955BCE">
      <w:pPr>
        <w:pStyle w:val="Heading3"/>
        <w:rPr>
          <w:rFonts w:asciiTheme="minorHAnsi" w:hAnsiTheme="minorHAnsi" w:cstheme="minorHAnsi"/>
        </w:rPr>
        <w:sectPr w:rsidR="004935FA" w:rsidRPr="000E55C1" w:rsidSect="002C4C13">
          <w:type w:val="continuous"/>
          <w:pgSz w:w="11900" w:h="16840" w:code="9"/>
          <w:pgMar w:top="1440" w:right="1440" w:bottom="1440" w:left="1440" w:header="708" w:footer="708" w:gutter="0"/>
          <w:lnNumType w:countBy="1" w:restart="continuous"/>
          <w:cols w:space="708"/>
          <w:docGrid w:linePitch="360"/>
        </w:sectPr>
      </w:pPr>
      <w:bookmarkStart w:id="15" w:name="_Toc77587879"/>
    </w:p>
    <w:p w14:paraId="314138A2" w14:textId="38B201F9" w:rsidR="009627EA" w:rsidRPr="000E55C1" w:rsidRDefault="000E55C1" w:rsidP="00955BCE">
      <w:pPr>
        <w:pStyle w:val="Heading3"/>
        <w:rPr>
          <w:rStyle w:val="normaltextrun"/>
          <w:rFonts w:asciiTheme="minorHAnsi" w:hAnsiTheme="minorHAnsi" w:cstheme="minorHAnsi"/>
          <w:lang w:eastAsia="en-GB"/>
        </w:rPr>
      </w:pPr>
      <w:r w:rsidRPr="000E55C1">
        <w:rPr>
          <w:rFonts w:asciiTheme="minorHAnsi" w:hAnsiTheme="minorHAnsi" w:cstheme="minorHAnsi"/>
        </w:rPr>
        <w:lastRenderedPageBreak/>
        <w:t>4</w:t>
      </w:r>
      <w:r w:rsidR="00955BCE" w:rsidRPr="000E55C1">
        <w:rPr>
          <w:rFonts w:asciiTheme="minorHAnsi" w:hAnsiTheme="minorHAnsi" w:cstheme="minorHAnsi"/>
        </w:rPr>
        <w:t>.2</w:t>
      </w:r>
      <w:r w:rsidR="009627EA" w:rsidRPr="000E55C1">
        <w:rPr>
          <w:rFonts w:asciiTheme="minorHAnsi" w:hAnsiTheme="minorHAnsi" w:cstheme="minorHAnsi"/>
        </w:rPr>
        <w:t xml:space="preserve"> Sectoral modelling of low energy demand scenarios</w:t>
      </w:r>
      <w:bookmarkEnd w:id="15"/>
    </w:p>
    <w:p w14:paraId="2E26607D" w14:textId="6FEC434C" w:rsidR="009627EA" w:rsidRPr="000E55C1" w:rsidRDefault="009627EA" w:rsidP="009627EA">
      <w:pPr>
        <w:rPr>
          <w:rStyle w:val="normaltextrun"/>
          <w:rFonts w:cstheme="minorHAnsi"/>
          <w:b/>
          <w:bCs/>
          <w:lang w:eastAsia="en-GB"/>
        </w:rPr>
      </w:pPr>
      <w:r w:rsidRPr="000E55C1">
        <w:rPr>
          <w:rStyle w:val="normaltextrun"/>
          <w:rFonts w:eastAsia="Times New Roman" w:cstheme="minorHAnsi"/>
        </w:rPr>
        <w:t>We outline in more detail how the above underlying trends translate into the two LED scenario</w:t>
      </w:r>
      <w:r w:rsidR="000E55C1">
        <w:rPr>
          <w:rStyle w:val="normaltextrun"/>
          <w:rFonts w:eastAsia="Times New Roman" w:cstheme="minorHAnsi"/>
        </w:rPr>
        <w:t>s</w:t>
      </w:r>
      <w:r w:rsidRPr="000E55C1">
        <w:rPr>
          <w:rStyle w:val="normaltextrun"/>
          <w:rFonts w:eastAsia="Times New Roman" w:cstheme="minorHAnsi"/>
        </w:rPr>
        <w:t xml:space="preserve"> for the UK. These are labelled “Shift demand” and “Transform demand”. </w:t>
      </w:r>
      <w:r w:rsidRPr="000E55C1">
        <w:rPr>
          <w:rStyle w:val="normaltextrun"/>
          <w:rFonts w:eastAsia="Times New Roman" w:cstheme="minorHAnsi"/>
          <w:lang w:eastAsia="en-GB"/>
        </w:rPr>
        <w:t>The Shift demand scenario</w:t>
      </w:r>
      <w:r w:rsidRPr="000E55C1">
        <w:rPr>
          <w:rStyle w:val="normaltextrun"/>
          <w:rFonts w:eastAsia="Times New Roman" w:cstheme="minorHAnsi"/>
          <w:b/>
          <w:bCs/>
          <w:lang w:eastAsia="en-GB"/>
        </w:rPr>
        <w:t xml:space="preserve"> </w:t>
      </w:r>
      <w:r w:rsidRPr="000E55C1">
        <w:rPr>
          <w:rStyle w:val="normaltextrun"/>
          <w:rFonts w:eastAsia="Times New Roman" w:cstheme="minorHAnsi"/>
          <w:lang w:eastAsia="en-GB"/>
        </w:rPr>
        <w:t>describes a significant shift in the attention given to energy demand strategies providing an ambitious programme of interventions across all of our five sectors. It describes what could possibly be achieved with existing technologies and current social and political framings. At the same time the scenario still considers changing social-economic factors such as the changing nature of retail, businesses becoming increasingly accountable for their emissions, localisation and increased public acceptance to pay for environmental costs.</w:t>
      </w:r>
    </w:p>
    <w:p w14:paraId="115079C0" w14:textId="1E3F8797" w:rsidR="009627EA" w:rsidRPr="000E55C1" w:rsidRDefault="009627EA" w:rsidP="009627EA">
      <w:pPr>
        <w:rPr>
          <w:rStyle w:val="normaltextrun"/>
          <w:rFonts w:cstheme="minorHAnsi"/>
          <w:b/>
          <w:bCs/>
          <w:lang w:eastAsia="en-GB"/>
        </w:rPr>
      </w:pPr>
      <w:r w:rsidRPr="000E55C1">
        <w:rPr>
          <w:rStyle w:val="normaltextrun"/>
          <w:rFonts w:eastAsia="Times New Roman" w:cstheme="minorHAnsi"/>
          <w:lang w:eastAsia="en-GB"/>
        </w:rPr>
        <w:t>The Transform demand scenario reflects a much more transformative future, where more significant reductions are realised but under which quality of life is enhanced. To achieve substantial reductions in energy demand, decisions should be made by recognising the need for social-technical transitions. Energy efficiency alone is not the only driver available to affect energy demand. Our scenarios reinforce the CCC’s 6</w:t>
      </w:r>
      <w:r w:rsidRPr="000E55C1">
        <w:rPr>
          <w:rStyle w:val="normaltextrun"/>
          <w:rFonts w:eastAsia="Times New Roman" w:cstheme="minorHAnsi"/>
          <w:vertAlign w:val="superscript"/>
          <w:lang w:eastAsia="en-GB"/>
        </w:rPr>
        <w:t>th</w:t>
      </w:r>
      <w:r w:rsidRPr="000E55C1">
        <w:rPr>
          <w:rStyle w:val="normaltextrun"/>
          <w:rFonts w:eastAsia="Times New Roman" w:cstheme="minorHAnsi"/>
          <w:lang w:eastAsia="en-GB"/>
        </w:rPr>
        <w:t xml:space="preserve"> carbon budget, that suggests ‘behavioural’ and ‘technical’ solutions are imperative to meeting the UK’s climate ambition </w:t>
      </w:r>
      <w:r w:rsidRPr="000E55C1">
        <w:rPr>
          <w:rStyle w:val="normaltextrun"/>
          <w:rFonts w:eastAsia="Times New Roman" w:cstheme="minorHAnsi"/>
          <w:lang w:eastAsia="en-GB"/>
        </w:rPr>
        <w:fldChar w:fldCharType="begin" w:fldLock="1"/>
      </w:r>
      <w:r w:rsidR="00660864" w:rsidRPr="000E55C1">
        <w:rPr>
          <w:rStyle w:val="normaltextrun"/>
          <w:rFonts w:eastAsia="Times New Roman" w:cstheme="minorHAnsi"/>
          <w:lang w:eastAsia="en-GB"/>
        </w:rPr>
        <w:instrText>ADDIN CSL_CITATION {"citationItems":[{"id":"ITEM-1","itemData":{"author":[{"dropping-particle":"","family":"Committee on Climate Change","given":"","non-dropping-particle":"","parse-names":false,"suffix":""}],"id":"ITEM-1","issued":{"date-parts":[["2020","12"]]},"number-of-pages":"1-448","publisher-place":"London","title":"The Sixth Carbon Budget: The UK's Path to Net Zero","type":"report"},"uris":["http://www.mendeley.com/documents/?uuid=2a075e3a-2a0d-39d5-8290-44294f0a8135"]}],"mendeley":{"formattedCitation":"&lt;sup&gt;69&lt;/sup&gt;","manualFormatting":"(CCC, 2020)","plainTextFormattedCitation":"69","previouslyFormattedCitation":"&lt;sup&gt;69&lt;/sup&gt;"},"properties":{"noteIndex":0},"schema":"https://github.com/citation-style-language/schema/raw/master/csl-citation.json"}</w:instrText>
      </w:r>
      <w:r w:rsidRPr="000E55C1">
        <w:rPr>
          <w:rStyle w:val="normaltextrun"/>
          <w:rFonts w:eastAsia="Times New Roman" w:cstheme="minorHAnsi"/>
          <w:lang w:eastAsia="en-GB"/>
        </w:rPr>
        <w:fldChar w:fldCharType="separate"/>
      </w:r>
      <w:r w:rsidRPr="000E55C1">
        <w:rPr>
          <w:rStyle w:val="normaltextrun"/>
          <w:rFonts w:eastAsia="Times New Roman" w:cstheme="minorHAnsi"/>
          <w:noProof/>
          <w:lang w:eastAsia="en-GB"/>
        </w:rPr>
        <w:t>(CCC, 2020)</w:t>
      </w:r>
      <w:r w:rsidRPr="000E55C1">
        <w:rPr>
          <w:rStyle w:val="normaltextrun"/>
          <w:rFonts w:eastAsia="Times New Roman" w:cstheme="minorHAnsi"/>
          <w:lang w:eastAsia="en-GB"/>
        </w:rPr>
        <w:fldChar w:fldCharType="end"/>
      </w:r>
      <w:r w:rsidRPr="000E55C1">
        <w:rPr>
          <w:rStyle w:val="normaltextrun"/>
          <w:rFonts w:eastAsia="Times New Roman" w:cstheme="minorHAnsi"/>
          <w:lang w:eastAsia="en-GB"/>
        </w:rPr>
        <w:t>. Relying on technical solutions alone is insufficiently rapid and risky, and that policies influencing the demand for energy services (e.g. transport) should have a more prominent role.</w:t>
      </w:r>
    </w:p>
    <w:p w14:paraId="575B6229" w14:textId="56FAAA6E" w:rsidR="009627EA" w:rsidRPr="000E55C1" w:rsidRDefault="009627EA" w:rsidP="009627EA">
      <w:pPr>
        <w:rPr>
          <w:rStyle w:val="normaltextrun"/>
          <w:rFonts w:eastAsia="Times New Roman" w:cstheme="minorHAnsi"/>
          <w:lang w:eastAsia="en-GB"/>
        </w:rPr>
      </w:pPr>
      <w:r w:rsidRPr="000E55C1">
        <w:rPr>
          <w:rStyle w:val="normaltextrun"/>
          <w:rFonts w:eastAsia="Times New Roman" w:cstheme="minorHAnsi"/>
          <w:lang w:eastAsia="en-GB"/>
        </w:rPr>
        <w:t xml:space="preserve">Energy demand is shaped by cultural norms, values, preferences and structural factors </w:t>
      </w:r>
      <w:r w:rsidRPr="000E55C1">
        <w:rPr>
          <w:rStyle w:val="normaltextrun"/>
          <w:rFonts w:eastAsia="Times New Roman" w:cstheme="minorHAnsi"/>
          <w:lang w:eastAsia="en-GB"/>
        </w:rPr>
        <w:fldChar w:fldCharType="begin" w:fldLock="1"/>
      </w:r>
      <w:r w:rsidR="00A14385" w:rsidRPr="000E55C1">
        <w:rPr>
          <w:rStyle w:val="normaltextrun"/>
          <w:rFonts w:eastAsia="Times New Roman" w:cstheme="minorHAnsi"/>
          <w:lang w:eastAsia="en-GB"/>
        </w:rPr>
        <w:instrText>ADDIN CSL_CITATION {"citationItems":[{"id":"ITEM-1","itemData":{"DOI":"10.1038/s41558-018-0121-1","ISSN":"17586798","abstract":"Research on climate change mitigation tends to focus on supply-side technology solutions. A better understanding of demand-side solutions is missing. We propose a transdisciplinary approach to identify demand-side climate solutions, investigate their mitigation potential, detail policy measures and assess their implications for well-being.","author":[{"dropping-particle":"","family":"Creutzig","given":"Felix","non-dropping-particle":"","parse-names":false,"suffix":""},{"dropping-particle":"","family":"Roy","given":"Joyashree","non-dropping-particle":"","parse-names":false,"suffix":""},{"dropping-particle":"","family":"Lamb","given":"William F.","non-dropping-particle":"","parse-names":false,"suffix":""},{"dropping-particle":"","family":"Azevedo","given":"Inês M.L.","non-dropping-particle":"","parse-names":false,"suffix":""},{"dropping-particle":"","family":"Bruine De Bruin","given":"Wändi","non-dropping-particle":"","parse-names":false,"suffix":""},{"dropping-particle":"","family":"Dalkmann","given":"Holger","non-dropping-particle":"","parse-names":false,"suffix":""},{"dropping-particle":"","family":"Edelenbosch","given":"Oreane Y.","non-dropping-particle":"","parse-names":false,"suffix":""},{"dropping-particle":"","family":"Geels","given":"Frank W.","non-dropping-particle":"","parse-names":false,"suffix":""},{"dropping-particle":"","family":"Grubler","given":"Arnulf","non-dropping-particle":"","parse-names":false,"suffix":""},{"dropping-particle":"","family":"Hepburn","given":"Cameron","non-dropping-particle":"","parse-names":false,"suffix":""},{"dropping-particle":"","family":"Hertwich","given":"Edgar G.","non-dropping-particle":"","parse-names":false,"suffix":""},{"dropping-particle":"","family":"Khosla","given":"Radhika","non-dropping-particle":"","parse-names":false,"suffix":""},{"dropping-particle":"","family":"Mattauch","given":"Linus","non-dropping-particle":"","parse-names":false,"suffix":""},{"dropping-particle":"","family":"Minx","given":"Jan C.","non-dropping-particle":"","parse-names":false,"suffix":""},{"dropping-particle":"","family":"Ramakrishnan","given":"Anjali","non-dropping-particle":"","parse-names":false,"suffix":""},{"dropping-particle":"","family":"Rao","given":"Narasimha D.","non-dropping-particle":"","parse-names":false,"suffix":""},{"dropping-particle":"","family":"Steinberger","given":"Julia K.","non-dropping-particle":"","parse-names":false,"suffix":""},{"dropping-particle":"","family":"Tavoni","given":"Massimo","non-dropping-particle":"","parse-names":false,"suffix":""},{"dropping-particle":"","family":"Ürge-Vorsatz","given":"Diana","non-dropping-particle":"","parse-names":false,"suffix":""},{"dropping-particle":"","family":"Weber","given":"Elke U.","non-dropping-particle":"","parse-names":false,"suffix":""}],"container-title":"Nature Climate Change","id":"ITEM-1","issue":"4","issued":{"date-parts":[["2018","4","1"]]},"page":"268-271","publisher":"Nature Publishing Group","title":"Towards demand-side solutions for mitigating climate change","type":"article","volume":"8"},"uris":["http://www.mendeley.com/documents/?uuid=bf5266e9-1e1d-3d2c-8a61-fa480528554b"]}],"mendeley":{"formattedCitation":"&lt;sup&gt;27&lt;/sup&gt;","plainTextFormattedCitation":"27","previouslyFormattedCitation":"&lt;sup&gt;27&lt;/sup&gt;"},"properties":{"noteIndex":0},"schema":"https://github.com/citation-style-language/schema/raw/master/csl-citation.json"}</w:instrText>
      </w:r>
      <w:r w:rsidRPr="000E55C1">
        <w:rPr>
          <w:rStyle w:val="normaltextrun"/>
          <w:rFonts w:eastAsia="Times New Roman" w:cstheme="minorHAnsi"/>
          <w:vertAlign w:val="superscript"/>
          <w:lang w:eastAsia="en-GB"/>
        </w:rPr>
        <w:fldChar w:fldCharType="separate"/>
      </w:r>
      <w:r w:rsidR="00A14385" w:rsidRPr="000E55C1">
        <w:rPr>
          <w:rStyle w:val="normaltextrun"/>
          <w:rFonts w:eastAsia="Times New Roman" w:cstheme="minorHAnsi"/>
          <w:noProof/>
          <w:vertAlign w:val="superscript"/>
          <w:lang w:eastAsia="en-GB"/>
        </w:rPr>
        <w:t>27</w:t>
      </w:r>
      <w:r w:rsidRPr="000E55C1">
        <w:rPr>
          <w:rStyle w:val="normaltextrun"/>
          <w:rFonts w:eastAsia="Times New Roman" w:cstheme="minorHAnsi"/>
          <w:lang w:eastAsia="en-GB"/>
        </w:rPr>
        <w:fldChar w:fldCharType="end"/>
      </w:r>
      <w:r w:rsidRPr="000E55C1">
        <w:rPr>
          <w:rStyle w:val="normaltextrun"/>
          <w:rFonts w:eastAsia="Times New Roman" w:cstheme="minorHAnsi"/>
          <w:lang w:eastAsia="en-GB"/>
        </w:rPr>
        <w:t xml:space="preserve">. These practices are malleable and change over time leading to very different outcomes in relation to the UK’s demand for energy.  Recent shifts in attitudes related to climate change and the declaration of climate emergencies demonstrate the possibility for rapid change meaning that there is a danger that scenarios constrained by current thinking can be outdated and irrelevant. To overcome this problem, this scenario attempts to consider transformative change in technologies, social practices, infrastructure and institutions to achieve a greater level of energy demand reduction beyond the “Shift Demand” scenario. </w:t>
      </w:r>
    </w:p>
    <w:p w14:paraId="67D1AD90" w14:textId="77777777" w:rsidR="009627EA" w:rsidRPr="000E55C1" w:rsidRDefault="009627EA" w:rsidP="009627EA">
      <w:pPr>
        <w:rPr>
          <w:rStyle w:val="normaltextrun"/>
          <w:rFonts w:eastAsia="Times New Roman" w:cstheme="minorHAnsi"/>
          <w:lang w:eastAsia="en-GB"/>
        </w:rPr>
      </w:pPr>
      <w:r w:rsidRPr="000E55C1">
        <w:rPr>
          <w:rStyle w:val="normaltextrun"/>
          <w:rFonts w:eastAsia="Times New Roman" w:cstheme="minorHAnsi"/>
          <w:lang w:eastAsia="en-GB"/>
        </w:rPr>
        <w:t xml:space="preserve">A particular focus of the two LED scenarios is to consider strategies that both reduce energy demand but also maximise other social and economic benefits. These include healthy diets, active living, improved local air quality, quality housing and lowering the costs of the net-zero transition. The scenario sets outs to demonstrate the benefits of recognising the many co-benefits associated with role of energy demand reduction.       </w:t>
      </w:r>
    </w:p>
    <w:p w14:paraId="71FC5203" w14:textId="77777777" w:rsidR="009627EA" w:rsidRPr="000E55C1" w:rsidRDefault="009627EA" w:rsidP="009627EA">
      <w:pPr>
        <w:rPr>
          <w:rStyle w:val="normaltextrun"/>
          <w:rFonts w:eastAsia="Times New Roman" w:cstheme="minorHAnsi"/>
          <w:lang w:eastAsia="en-GB"/>
        </w:rPr>
      </w:pPr>
      <w:r w:rsidRPr="000E55C1">
        <w:rPr>
          <w:rStyle w:val="normaltextrun"/>
          <w:rFonts w:eastAsia="Times New Roman" w:cstheme="minorHAnsi"/>
          <w:lang w:eastAsia="en-GB"/>
        </w:rPr>
        <w:t>In the rest of this section, we outline how we have considered the different narrative drivers in both LED scenarios</w:t>
      </w:r>
      <w:r w:rsidRPr="000E55C1">
        <w:rPr>
          <w:rStyle w:val="FootnoteReference"/>
          <w:rFonts w:eastAsia="Times New Roman" w:cstheme="minorHAnsi"/>
          <w:lang w:eastAsia="en-GB"/>
        </w:rPr>
        <w:footnoteReference w:id="2"/>
      </w:r>
      <w:r w:rsidRPr="000E55C1">
        <w:rPr>
          <w:rStyle w:val="normaltextrun"/>
          <w:rFonts w:eastAsia="Times New Roman" w:cstheme="minorHAnsi"/>
          <w:lang w:eastAsia="en-GB"/>
        </w:rPr>
        <w:t>. The modelling approaches used for each of the sector analyses are listed in Table 2.</w:t>
      </w:r>
    </w:p>
    <w:p w14:paraId="5F2B17C9" w14:textId="7B7863F2" w:rsidR="009627EA" w:rsidRPr="000E55C1" w:rsidRDefault="60CEAC5D" w:rsidP="0599D675">
      <w:pPr>
        <w:rPr>
          <w:rFonts w:cstheme="minorHAnsi"/>
          <w:b/>
          <w:bCs/>
          <w:sz w:val="20"/>
          <w:szCs w:val="20"/>
        </w:rPr>
      </w:pPr>
      <w:r w:rsidRPr="000E55C1">
        <w:rPr>
          <w:rFonts w:cstheme="minorHAnsi"/>
          <w:b/>
          <w:bCs/>
          <w:sz w:val="20"/>
          <w:szCs w:val="20"/>
        </w:rPr>
        <w:t xml:space="preserve">Supplementary </w:t>
      </w:r>
      <w:r w:rsidR="009627EA" w:rsidRPr="000E55C1">
        <w:rPr>
          <w:rFonts w:cstheme="minorHAnsi"/>
          <w:b/>
          <w:bCs/>
          <w:sz w:val="20"/>
          <w:szCs w:val="20"/>
        </w:rPr>
        <w:t xml:space="preserve">Table 2. Modelling approaches used for each of the sectors </w:t>
      </w:r>
      <w:r w:rsidR="009627EA" w:rsidRPr="000E55C1">
        <w:rPr>
          <w:rFonts w:cstheme="minorHAnsi"/>
          <w:b/>
          <w:bCs/>
          <w:sz w:val="20"/>
          <w:szCs w:val="20"/>
        </w:rPr>
        <w:footnoteReference w:id="3"/>
      </w:r>
    </w:p>
    <w:tbl>
      <w:tblPr>
        <w:tblStyle w:val="TableGrid"/>
        <w:tblW w:w="9284" w:type="dxa"/>
        <w:tblLayout w:type="fixed"/>
        <w:tblLook w:val="06A0" w:firstRow="1" w:lastRow="0" w:firstColumn="1" w:lastColumn="0" w:noHBand="1" w:noVBand="1"/>
      </w:tblPr>
      <w:tblGrid>
        <w:gridCol w:w="4642"/>
        <w:gridCol w:w="4642"/>
      </w:tblGrid>
      <w:tr w:rsidR="009627EA" w:rsidRPr="000E55C1" w14:paraId="7443A1FE" w14:textId="77777777" w:rsidTr="009627EA">
        <w:tc>
          <w:tcPr>
            <w:tcW w:w="4642" w:type="dxa"/>
            <w:vAlign w:val="center"/>
          </w:tcPr>
          <w:p w14:paraId="133C68D7" w14:textId="77777777" w:rsidR="009627EA" w:rsidRPr="000E55C1" w:rsidRDefault="009627EA" w:rsidP="009627EA">
            <w:pPr>
              <w:rPr>
                <w:rStyle w:val="normaltextrun"/>
                <w:rFonts w:asciiTheme="minorHAnsi" w:hAnsiTheme="minorHAnsi" w:cstheme="minorHAnsi"/>
                <w:b/>
                <w:bCs/>
                <w:lang w:eastAsia="en-GB"/>
              </w:rPr>
            </w:pPr>
            <w:r w:rsidRPr="000E55C1">
              <w:rPr>
                <w:rStyle w:val="normaltextrun"/>
                <w:rFonts w:asciiTheme="minorHAnsi" w:hAnsiTheme="minorHAnsi" w:cstheme="minorHAnsi"/>
                <w:b/>
                <w:bCs/>
                <w:lang w:eastAsia="en-GB"/>
              </w:rPr>
              <w:t>Sector</w:t>
            </w:r>
          </w:p>
        </w:tc>
        <w:tc>
          <w:tcPr>
            <w:tcW w:w="4642" w:type="dxa"/>
            <w:vAlign w:val="center"/>
          </w:tcPr>
          <w:p w14:paraId="0F8ECC63" w14:textId="77777777" w:rsidR="009627EA" w:rsidRPr="000E55C1" w:rsidRDefault="009627EA" w:rsidP="009627EA">
            <w:pPr>
              <w:rPr>
                <w:rStyle w:val="normaltextrun"/>
                <w:rFonts w:asciiTheme="minorHAnsi" w:hAnsiTheme="minorHAnsi" w:cstheme="minorHAnsi"/>
                <w:b/>
                <w:bCs/>
                <w:lang w:eastAsia="en-GB"/>
              </w:rPr>
            </w:pPr>
            <w:r w:rsidRPr="000E55C1">
              <w:rPr>
                <w:rStyle w:val="normaltextrun"/>
                <w:rFonts w:asciiTheme="minorHAnsi" w:hAnsiTheme="minorHAnsi" w:cstheme="minorHAnsi"/>
                <w:b/>
                <w:bCs/>
                <w:lang w:eastAsia="en-GB"/>
              </w:rPr>
              <w:t>Modelling approach</w:t>
            </w:r>
          </w:p>
        </w:tc>
      </w:tr>
      <w:tr w:rsidR="009627EA" w:rsidRPr="000E55C1" w14:paraId="052C557C" w14:textId="77777777" w:rsidTr="009627EA">
        <w:tc>
          <w:tcPr>
            <w:tcW w:w="4642" w:type="dxa"/>
            <w:vAlign w:val="center"/>
          </w:tcPr>
          <w:p w14:paraId="61AA77AB" w14:textId="77777777" w:rsidR="009627EA" w:rsidRPr="000E55C1" w:rsidRDefault="009627EA" w:rsidP="009627EA">
            <w:pPr>
              <w:rPr>
                <w:rStyle w:val="normaltextrun"/>
                <w:rFonts w:asciiTheme="minorHAnsi" w:hAnsiTheme="minorHAnsi" w:cstheme="minorHAnsi"/>
                <w:lang w:eastAsia="en-GB"/>
              </w:rPr>
            </w:pPr>
            <w:r w:rsidRPr="000E55C1">
              <w:rPr>
                <w:rStyle w:val="normaltextrun"/>
                <w:rFonts w:asciiTheme="minorHAnsi" w:hAnsiTheme="minorHAnsi" w:cstheme="minorHAnsi"/>
                <w:lang w:eastAsia="en-GB"/>
              </w:rPr>
              <w:t>Mobility</w:t>
            </w:r>
          </w:p>
        </w:tc>
        <w:tc>
          <w:tcPr>
            <w:tcW w:w="4642" w:type="dxa"/>
            <w:vAlign w:val="center"/>
          </w:tcPr>
          <w:p w14:paraId="63BDD8A0" w14:textId="77777777" w:rsidR="009627EA" w:rsidRPr="000E55C1" w:rsidRDefault="009627EA" w:rsidP="009627EA">
            <w:pPr>
              <w:rPr>
                <w:rStyle w:val="normaltextrun"/>
                <w:rFonts w:asciiTheme="minorHAnsi" w:hAnsiTheme="minorHAnsi" w:cstheme="minorHAnsi"/>
                <w:lang w:eastAsia="en-GB"/>
              </w:rPr>
            </w:pPr>
            <w:r w:rsidRPr="000E55C1">
              <w:rPr>
                <w:rStyle w:val="normaltextrun"/>
                <w:rFonts w:asciiTheme="minorHAnsi" w:hAnsiTheme="minorHAnsi" w:cstheme="minorHAnsi"/>
                <w:lang w:eastAsia="en-GB"/>
              </w:rPr>
              <w:t>TEAM-UK (Transport Energy Air pollution Model for the UK)</w:t>
            </w:r>
          </w:p>
        </w:tc>
      </w:tr>
      <w:tr w:rsidR="009627EA" w:rsidRPr="000E55C1" w14:paraId="5ED4792D" w14:textId="77777777" w:rsidTr="009627EA">
        <w:tc>
          <w:tcPr>
            <w:tcW w:w="4642" w:type="dxa"/>
            <w:vAlign w:val="center"/>
          </w:tcPr>
          <w:p w14:paraId="10D823FB" w14:textId="77777777" w:rsidR="009627EA" w:rsidRPr="000E55C1" w:rsidRDefault="009627EA" w:rsidP="009627EA">
            <w:pPr>
              <w:rPr>
                <w:rStyle w:val="normaltextrun"/>
                <w:rFonts w:asciiTheme="minorHAnsi" w:hAnsiTheme="minorHAnsi" w:cstheme="minorHAnsi"/>
                <w:lang w:eastAsia="en-GB"/>
              </w:rPr>
            </w:pPr>
            <w:r w:rsidRPr="000E55C1">
              <w:rPr>
                <w:rStyle w:val="normaltextrun"/>
                <w:rFonts w:asciiTheme="minorHAnsi" w:hAnsiTheme="minorHAnsi" w:cstheme="minorHAnsi"/>
                <w:lang w:eastAsia="en-GB"/>
              </w:rPr>
              <w:t>Nutrition (incl. agriculture)</w:t>
            </w:r>
          </w:p>
        </w:tc>
        <w:tc>
          <w:tcPr>
            <w:tcW w:w="4642" w:type="dxa"/>
            <w:vAlign w:val="center"/>
          </w:tcPr>
          <w:p w14:paraId="4EE914EC" w14:textId="77777777" w:rsidR="009627EA" w:rsidRPr="000E55C1" w:rsidRDefault="009627EA" w:rsidP="009627EA">
            <w:pPr>
              <w:rPr>
                <w:rStyle w:val="normaltextrun"/>
                <w:rFonts w:asciiTheme="minorHAnsi" w:hAnsiTheme="minorHAnsi" w:cstheme="minorHAnsi"/>
                <w:lang w:eastAsia="en-GB"/>
              </w:rPr>
            </w:pPr>
            <w:r w:rsidRPr="000E55C1">
              <w:rPr>
                <w:rStyle w:val="normaltextrun"/>
                <w:rFonts w:asciiTheme="minorHAnsi" w:hAnsiTheme="minorHAnsi" w:cstheme="minorHAnsi"/>
                <w:lang w:eastAsia="en-GB"/>
              </w:rPr>
              <w:t xml:space="preserve">Hybrid UK MRIO (Multi-Regional Input Output Model) </w:t>
            </w:r>
          </w:p>
        </w:tc>
      </w:tr>
      <w:tr w:rsidR="009627EA" w:rsidRPr="000E55C1" w14:paraId="057D76FD" w14:textId="77777777" w:rsidTr="009627EA">
        <w:tc>
          <w:tcPr>
            <w:tcW w:w="4642" w:type="dxa"/>
            <w:vAlign w:val="center"/>
          </w:tcPr>
          <w:p w14:paraId="18398C37" w14:textId="77777777" w:rsidR="009627EA" w:rsidRPr="000E55C1" w:rsidRDefault="009627EA" w:rsidP="009627EA">
            <w:pPr>
              <w:rPr>
                <w:rStyle w:val="normaltextrun"/>
                <w:rFonts w:asciiTheme="minorHAnsi" w:hAnsiTheme="minorHAnsi" w:cstheme="minorHAnsi"/>
                <w:lang w:eastAsia="en-GB"/>
              </w:rPr>
            </w:pPr>
            <w:r w:rsidRPr="000E55C1">
              <w:rPr>
                <w:rStyle w:val="normaltextrun"/>
                <w:rFonts w:asciiTheme="minorHAnsi" w:hAnsiTheme="minorHAnsi" w:cstheme="minorHAnsi"/>
                <w:lang w:eastAsia="en-GB"/>
              </w:rPr>
              <w:t>Shelter (domestic buildings)</w:t>
            </w:r>
          </w:p>
        </w:tc>
        <w:tc>
          <w:tcPr>
            <w:tcW w:w="4642" w:type="dxa"/>
            <w:vAlign w:val="center"/>
          </w:tcPr>
          <w:p w14:paraId="72C4DDCA" w14:textId="77777777" w:rsidR="009627EA" w:rsidRPr="000E55C1" w:rsidRDefault="009627EA" w:rsidP="009627EA">
            <w:pPr>
              <w:rPr>
                <w:rStyle w:val="normaltextrun"/>
                <w:rFonts w:asciiTheme="minorHAnsi" w:hAnsiTheme="minorHAnsi" w:cstheme="minorHAnsi"/>
                <w:lang w:eastAsia="en-GB"/>
              </w:rPr>
            </w:pPr>
            <w:r w:rsidRPr="000E55C1">
              <w:rPr>
                <w:rStyle w:val="normaltextrun"/>
                <w:rFonts w:asciiTheme="minorHAnsi" w:eastAsia="Corbel" w:hAnsiTheme="minorHAnsi" w:cstheme="minorHAnsi"/>
                <w:lang w:eastAsia="en-GB"/>
              </w:rPr>
              <w:t>UK National Household Model (NHM)</w:t>
            </w:r>
          </w:p>
        </w:tc>
      </w:tr>
      <w:tr w:rsidR="009627EA" w:rsidRPr="000E55C1" w14:paraId="07C184AA" w14:textId="77777777" w:rsidTr="009627EA">
        <w:tc>
          <w:tcPr>
            <w:tcW w:w="4642" w:type="dxa"/>
            <w:vAlign w:val="center"/>
          </w:tcPr>
          <w:p w14:paraId="394A6AE7" w14:textId="77777777" w:rsidR="009627EA" w:rsidRPr="000E55C1" w:rsidRDefault="009627EA" w:rsidP="009627EA">
            <w:pPr>
              <w:rPr>
                <w:rStyle w:val="normaltextrun"/>
                <w:rFonts w:asciiTheme="minorHAnsi" w:hAnsiTheme="minorHAnsi" w:cstheme="minorHAnsi"/>
                <w:lang w:eastAsia="en-GB"/>
              </w:rPr>
            </w:pPr>
            <w:r w:rsidRPr="000E55C1">
              <w:rPr>
                <w:rStyle w:val="normaltextrun"/>
                <w:rFonts w:asciiTheme="minorHAnsi" w:hAnsiTheme="minorHAnsi" w:cstheme="minorHAnsi"/>
                <w:lang w:eastAsia="en-GB"/>
              </w:rPr>
              <w:t>Non-domestic buildings</w:t>
            </w:r>
          </w:p>
        </w:tc>
        <w:tc>
          <w:tcPr>
            <w:tcW w:w="4642" w:type="dxa"/>
            <w:vAlign w:val="center"/>
          </w:tcPr>
          <w:p w14:paraId="76F3F316" w14:textId="77777777" w:rsidR="009627EA" w:rsidRPr="000E55C1" w:rsidRDefault="009627EA" w:rsidP="009627EA">
            <w:pPr>
              <w:rPr>
                <w:rStyle w:val="normaltextrun"/>
                <w:rFonts w:asciiTheme="minorHAnsi" w:hAnsiTheme="minorHAnsi" w:cstheme="minorHAnsi"/>
                <w:lang w:eastAsia="en-GB"/>
              </w:rPr>
            </w:pPr>
            <w:r w:rsidRPr="000E55C1">
              <w:rPr>
                <w:rStyle w:val="normaltextrun"/>
                <w:rFonts w:asciiTheme="minorHAnsi" w:hAnsiTheme="minorHAnsi" w:cstheme="minorHAnsi"/>
                <w:lang w:eastAsia="en-GB"/>
              </w:rPr>
              <w:t>Bespoke Model</w:t>
            </w:r>
          </w:p>
        </w:tc>
      </w:tr>
      <w:tr w:rsidR="009627EA" w:rsidRPr="000E55C1" w14:paraId="509BCE21" w14:textId="77777777" w:rsidTr="009627EA">
        <w:tc>
          <w:tcPr>
            <w:tcW w:w="4642" w:type="dxa"/>
            <w:vAlign w:val="center"/>
          </w:tcPr>
          <w:p w14:paraId="260B1001" w14:textId="77777777" w:rsidR="009627EA" w:rsidRPr="000E55C1" w:rsidRDefault="009627EA" w:rsidP="009627EA">
            <w:pPr>
              <w:rPr>
                <w:rStyle w:val="normaltextrun"/>
                <w:rFonts w:asciiTheme="minorHAnsi" w:hAnsiTheme="minorHAnsi" w:cstheme="minorHAnsi"/>
                <w:lang w:eastAsia="en-GB"/>
              </w:rPr>
            </w:pPr>
            <w:r w:rsidRPr="000E55C1">
              <w:rPr>
                <w:rStyle w:val="normaltextrun"/>
                <w:rFonts w:asciiTheme="minorHAnsi" w:hAnsiTheme="minorHAnsi" w:cstheme="minorHAnsi"/>
                <w:lang w:eastAsia="en-GB"/>
              </w:rPr>
              <w:t>Materials and products (industry)</w:t>
            </w:r>
          </w:p>
        </w:tc>
        <w:tc>
          <w:tcPr>
            <w:tcW w:w="4642" w:type="dxa"/>
            <w:vAlign w:val="center"/>
          </w:tcPr>
          <w:p w14:paraId="1171AA38" w14:textId="77777777" w:rsidR="009627EA" w:rsidRPr="000E55C1" w:rsidRDefault="009627EA" w:rsidP="009627EA">
            <w:pPr>
              <w:rPr>
                <w:rStyle w:val="normaltextrun"/>
                <w:rFonts w:asciiTheme="minorHAnsi" w:hAnsiTheme="minorHAnsi" w:cstheme="minorHAnsi"/>
                <w:lang w:eastAsia="en-GB"/>
              </w:rPr>
            </w:pPr>
            <w:r w:rsidRPr="000E55C1">
              <w:rPr>
                <w:rStyle w:val="normaltextrun"/>
                <w:rFonts w:asciiTheme="minorHAnsi" w:hAnsiTheme="minorHAnsi" w:cstheme="minorHAnsi"/>
                <w:lang w:eastAsia="en-GB"/>
              </w:rPr>
              <w:t>Hybrid UK MRIO (Multi-Regional Input Output Model)</w:t>
            </w:r>
          </w:p>
        </w:tc>
      </w:tr>
    </w:tbl>
    <w:p w14:paraId="043FB324" w14:textId="77777777" w:rsidR="009627EA" w:rsidRPr="000E55C1" w:rsidRDefault="009627EA" w:rsidP="009627EA">
      <w:pPr>
        <w:rPr>
          <w:rFonts w:cstheme="minorHAnsi"/>
          <w:highlight w:val="yellow"/>
          <w:lang w:eastAsia="en-GB"/>
        </w:rPr>
      </w:pPr>
    </w:p>
    <w:p w14:paraId="08F9AD13" w14:textId="3DCE6C9E" w:rsidR="009627EA" w:rsidRPr="000E55C1" w:rsidRDefault="000E55C1" w:rsidP="00955BCE">
      <w:pPr>
        <w:pStyle w:val="Heading3"/>
        <w:rPr>
          <w:rStyle w:val="normaltextrun"/>
          <w:rFonts w:asciiTheme="minorHAnsi" w:hAnsiTheme="minorHAnsi" w:cstheme="minorHAnsi"/>
        </w:rPr>
      </w:pPr>
      <w:bookmarkStart w:id="16" w:name="_Toc77587880"/>
      <w:r w:rsidRPr="000E55C1">
        <w:rPr>
          <w:rFonts w:asciiTheme="minorHAnsi" w:hAnsiTheme="minorHAnsi" w:cstheme="minorHAnsi"/>
        </w:rPr>
        <w:t>4</w:t>
      </w:r>
      <w:r w:rsidR="00955BCE" w:rsidRPr="000E55C1">
        <w:rPr>
          <w:rFonts w:asciiTheme="minorHAnsi" w:hAnsiTheme="minorHAnsi" w:cstheme="minorHAnsi"/>
        </w:rPr>
        <w:t>.3</w:t>
      </w:r>
      <w:r w:rsidR="009627EA" w:rsidRPr="000E55C1">
        <w:rPr>
          <w:rFonts w:asciiTheme="minorHAnsi" w:hAnsiTheme="minorHAnsi" w:cstheme="minorHAnsi"/>
        </w:rPr>
        <w:t xml:space="preserve"> Mobility</w:t>
      </w:r>
      <w:bookmarkEnd w:id="16"/>
    </w:p>
    <w:p w14:paraId="6D716394" w14:textId="77777777" w:rsidR="009627EA" w:rsidRPr="000E55C1" w:rsidRDefault="009627EA" w:rsidP="009627EA">
      <w:pPr>
        <w:rPr>
          <w:rFonts w:cstheme="minorHAnsi"/>
          <w:lang w:eastAsia="en-GB"/>
        </w:rPr>
      </w:pPr>
      <w:r w:rsidRPr="000E55C1">
        <w:rPr>
          <w:rFonts w:cstheme="minorHAnsi"/>
          <w:lang w:eastAsia="en-GB"/>
        </w:rPr>
        <w:t>In the UK, road transport accounted for just under three quarters of transport energy consumption in the UK in 2019, with the remainder almost entirely from air travel (24%). Energy use in railways (2%) and shipping (2%) were relatively minor. Of the road component, energy use from cars accounts for more than half (61%), with most of the remainder coming from ‘light duty vehicles’ (vans) (17%), heavy goods vehicles (HGVs) (18%) and buses (3%). Energy use from transport has increased by 16% since 1990 (6% since 2013) against a UK economy-wide decrease of 4% and remains 98% dependent on fossil fuels.</w:t>
      </w:r>
    </w:p>
    <w:p w14:paraId="32060F04" w14:textId="77777777" w:rsidR="009627EA" w:rsidRPr="000E55C1" w:rsidRDefault="009627EA" w:rsidP="009627EA">
      <w:pPr>
        <w:rPr>
          <w:rFonts w:cstheme="minorHAnsi"/>
          <w:lang w:eastAsia="en-GB"/>
        </w:rPr>
      </w:pPr>
      <w:r w:rsidRPr="000E55C1">
        <w:rPr>
          <w:rFonts w:cstheme="minorHAnsi"/>
          <w:lang w:eastAsia="en-GB"/>
        </w:rPr>
        <w:t>There has been little to no focus on reducing distance travelled; instead the focus has been first to Ultra Low Emission Vehicles (ULEVs), and then to zero-emission vehicles (ZEVs), primarily through electrification. However, the energy efficiency improvements have been more than lost mainly due to a continued swing towards larger passenger cars. This almost universal focus on improving energy consumption per passenger-km or tonne-km travelled ignores the other two core elements of the Avoid-Shift-Improve hierarchy.</w:t>
      </w:r>
    </w:p>
    <w:p w14:paraId="2D7AD5CF" w14:textId="7437804B" w:rsidR="009627EA" w:rsidRPr="000E55C1" w:rsidRDefault="009627EA" w:rsidP="009627EA">
      <w:pPr>
        <w:rPr>
          <w:rFonts w:cstheme="minorHAnsi"/>
          <w:lang w:eastAsia="en-GB"/>
        </w:rPr>
      </w:pPr>
      <w:r w:rsidRPr="000E55C1">
        <w:rPr>
          <w:rFonts w:cstheme="minorHAnsi"/>
          <w:lang w:eastAsia="en-GB"/>
        </w:rPr>
        <w:t xml:space="preserve">The focus of the LED scenarios is to reduce energy demand for transport. This will be achieved through the 3-pronged approach of reducing the need for energy services at the same time as improving efficiency (e.g. speed limits, EVs) and using efficient decarbonised supply of energy. The need to travel will be reduced through better land-use planning, restrictions on car use in central, residential, and environmentally sensitive locations, and facilitating transfer of car trips to public transport, walking and cycling by reallocation of expenditures, street design, pricing and regulation. This allows for a policy perspective where reduced energy use does not run counter to quality of life but arises from measures designed to enhance it. Evidence suggests a lower rate of demand for passenger mobility is a necessary and a credible future, but that this would require a different policy package to ‘scale up’ and ‘lock in’ the new demand patterns, alongside new vehicle technology </w:t>
      </w:r>
      <w:r w:rsidRPr="000E55C1">
        <w:rPr>
          <w:rFonts w:cstheme="minorHAnsi"/>
          <w:lang w:eastAsia="en-GB"/>
        </w:rPr>
        <w:fldChar w:fldCharType="begin" w:fldLock="1"/>
      </w:r>
      <w:r w:rsidR="00A14385" w:rsidRPr="000E55C1">
        <w:rPr>
          <w:rFonts w:cstheme="minorHAnsi"/>
          <w:lang w:eastAsia="en-GB"/>
        </w:rPr>
        <w:instrText>ADDIN CSL_CITATION {"citationItems":[{"id":"ITEM-1","itemData":{"DOI":"10.1007/s12053-018-9678-9","ISSN":"15706478","abstract":"It is well-known that societal energy consumption and pollutant emissions from transport are influenced not only by technical efficiency, mode choice and the carbon/pollutant content of energy but also by lifestyle choices and socio-cultural factors. However, only a few attempts have been made to integrate all of these insights into systems models of future transport energy demand or even scenario analysis. This paper addresses this gap in research and practice by presenting the development and use of quantitative scenarios using an integrated transport-energy-environment systems model to explore four contrasting futures for Scotland that compare transport-related ‘lifestyle’ changes and socio-cultural factors against a transition pathway focussing on transport electrification and the phasing out of conventionally fuelled vehicles using a socio-technical approach. We found that radical demand and supply strategies can have important synergies and trade-offs between reducing life cycle greenhouse gas and air quality emissions. Lifestyle change alone can have a comparable and earlier effect on transport carbon and air quality emissions than a transition to EVs with no lifestyle change. Yet, the detailed modelling of four contrasting futures suggests that both strategies have limits to meeting legislated carbon budgets, which may only be achieved with a combined strategy of radical change in travel patterns, mode and vehicle choice, vehicle occupancy and on-road driving behaviour with high electrification and phasing out of conventional petrol and diesel road vehicles. The newfound urgency of ‘cleaning up our act’ since the Paris Agreement and Dieselgate scandal suggests that we cannot just wait for the ‘technology fix’.","author":[{"dropping-particle":"","family":"Brand","given":"Christian","non-dropping-particle":"","parse-names":false,"suffix":""},{"dropping-particle":"","family":"Anable","given":"Jillian","non-dropping-particle":"","parse-names":false,"suffix":""},{"dropping-particle":"","family":"Morton","given":"Craig","non-dropping-particle":"","parse-names":false,"suffix":""}],"container-title":"Energy Efficiency","id":"ITEM-1","issue":"1","issued":{"date-parts":[["2019","1","3"]]},"page":"187-207","publisher":"Springer Netherlands","title":"Lifestyle, efficiency and limits: modelling transport energy and emissions using a socio-technical approach","type":"article-journal","volume":"12"},"uris":["http://www.mendeley.com/documents/?uuid=fc5145db-1d47-36bf-825f-a313e9553e2b"]}],"mendeley":{"formattedCitation":"&lt;sup&gt;23&lt;/sup&gt;","manualFormatting":"(Brand et al., 2019)","plainTextFormattedCitation":"23","previouslyFormattedCitation":"&lt;sup&gt;23&lt;/sup&gt;"},"properties":{"noteIndex":0},"schema":"https://github.com/citation-style-language/schema/raw/master/csl-citation.json"}</w:instrText>
      </w:r>
      <w:r w:rsidRPr="000E55C1">
        <w:rPr>
          <w:rFonts w:cstheme="minorHAnsi"/>
          <w:lang w:eastAsia="en-GB"/>
        </w:rPr>
        <w:fldChar w:fldCharType="separate"/>
      </w:r>
      <w:r w:rsidRPr="000E55C1">
        <w:rPr>
          <w:rFonts w:cstheme="minorHAnsi"/>
          <w:noProof/>
          <w:lang w:eastAsia="en-GB"/>
        </w:rPr>
        <w:t>(Brand et al., 2019)</w:t>
      </w:r>
      <w:r w:rsidRPr="000E55C1">
        <w:rPr>
          <w:rFonts w:cstheme="minorHAnsi"/>
          <w:lang w:eastAsia="en-GB"/>
        </w:rPr>
        <w:fldChar w:fldCharType="end"/>
      </w:r>
      <w:r w:rsidRPr="000E55C1">
        <w:rPr>
          <w:rFonts w:cstheme="minorHAnsi"/>
          <w:lang w:eastAsia="en-GB"/>
        </w:rPr>
        <w:t xml:space="preserve">. </w:t>
      </w:r>
    </w:p>
    <w:p w14:paraId="4BCABCD0" w14:textId="393CF754" w:rsidR="009627EA" w:rsidRPr="000E55C1" w:rsidRDefault="009627EA" w:rsidP="009627EA">
      <w:pPr>
        <w:rPr>
          <w:rFonts w:cstheme="minorHAnsi"/>
          <w:lang w:eastAsia="en-GB"/>
        </w:rPr>
      </w:pPr>
      <w:r w:rsidRPr="000E55C1">
        <w:rPr>
          <w:rFonts w:cstheme="minorHAnsi"/>
          <w:lang w:eastAsia="en-GB"/>
        </w:rPr>
        <w:t>Key assumptions for both LED scenarios include</w:t>
      </w:r>
      <w:r w:rsidR="000E55C1">
        <w:rPr>
          <w:rFonts w:cstheme="minorHAnsi"/>
          <w:lang w:eastAsia="en-GB"/>
        </w:rPr>
        <w:t>:</w:t>
      </w:r>
    </w:p>
    <w:p w14:paraId="3BBA6675" w14:textId="77777777" w:rsidR="009627EA" w:rsidRPr="000E55C1" w:rsidRDefault="009627EA" w:rsidP="009627EA">
      <w:pPr>
        <w:pStyle w:val="ListParagraph"/>
        <w:numPr>
          <w:ilvl w:val="0"/>
          <w:numId w:val="10"/>
        </w:numPr>
        <w:rPr>
          <w:rFonts w:asciiTheme="minorHAnsi" w:hAnsiTheme="minorHAnsi" w:cstheme="minorHAnsi"/>
          <w:sz w:val="22"/>
          <w:szCs w:val="22"/>
          <w:lang w:val="en-GB" w:eastAsia="en-GB"/>
        </w:rPr>
      </w:pPr>
      <w:r w:rsidRPr="000E55C1">
        <w:rPr>
          <w:rFonts w:asciiTheme="minorHAnsi" w:hAnsiTheme="minorHAnsi" w:cstheme="minorHAnsi"/>
          <w:sz w:val="22"/>
          <w:szCs w:val="22"/>
          <w:lang w:val="en-GB" w:eastAsia="en-GB"/>
        </w:rPr>
        <w:t xml:space="preserve">No more substantial new road building or airport capacity expansion; some roads repurposed for shared, public and active mobility. No more development on greenfield sites </w:t>
      </w:r>
    </w:p>
    <w:p w14:paraId="78F969BF" w14:textId="77777777" w:rsidR="009627EA" w:rsidRPr="000E55C1" w:rsidRDefault="009627EA" w:rsidP="009627EA">
      <w:pPr>
        <w:pStyle w:val="ListParagraph"/>
        <w:numPr>
          <w:ilvl w:val="0"/>
          <w:numId w:val="10"/>
        </w:numPr>
        <w:rPr>
          <w:rFonts w:asciiTheme="minorHAnsi" w:hAnsiTheme="minorHAnsi" w:cstheme="minorHAnsi"/>
          <w:sz w:val="22"/>
          <w:szCs w:val="22"/>
          <w:lang w:val="en-GB" w:eastAsia="en-GB"/>
        </w:rPr>
      </w:pPr>
      <w:r w:rsidRPr="000E55C1">
        <w:rPr>
          <w:rFonts w:asciiTheme="minorHAnsi" w:hAnsiTheme="minorHAnsi" w:cstheme="minorHAnsi"/>
          <w:sz w:val="22"/>
          <w:szCs w:val="22"/>
          <w:lang w:val="en-GB" w:eastAsia="en-GB"/>
        </w:rPr>
        <w:t>Integrated transport authorities in all urban/city regions (One network; One timetable; One ticket)</w:t>
      </w:r>
    </w:p>
    <w:p w14:paraId="135ABD06" w14:textId="77777777" w:rsidR="009627EA" w:rsidRPr="000E55C1" w:rsidRDefault="009627EA" w:rsidP="009627EA">
      <w:pPr>
        <w:pStyle w:val="ListParagraph"/>
        <w:numPr>
          <w:ilvl w:val="0"/>
          <w:numId w:val="10"/>
        </w:numPr>
        <w:rPr>
          <w:rFonts w:asciiTheme="minorHAnsi" w:hAnsiTheme="minorHAnsi" w:cstheme="minorHAnsi"/>
          <w:sz w:val="22"/>
          <w:szCs w:val="22"/>
          <w:lang w:val="en-GB" w:eastAsia="en-GB"/>
        </w:rPr>
      </w:pPr>
      <w:r w:rsidRPr="000E55C1">
        <w:rPr>
          <w:rFonts w:asciiTheme="minorHAnsi" w:hAnsiTheme="minorHAnsi" w:cstheme="minorHAnsi"/>
          <w:sz w:val="22"/>
          <w:szCs w:val="22"/>
          <w:lang w:val="en-GB" w:eastAsia="en-GB"/>
        </w:rPr>
        <w:t xml:space="preserve">Doubling investment in public transport, walking and cycling with the construction of high-quality cycling networks of segregated </w:t>
      </w:r>
      <w:proofErr w:type="spellStart"/>
      <w:r w:rsidRPr="000E55C1">
        <w:rPr>
          <w:rFonts w:asciiTheme="minorHAnsi" w:hAnsiTheme="minorHAnsi" w:cstheme="minorHAnsi"/>
          <w:sz w:val="22"/>
          <w:szCs w:val="22"/>
          <w:lang w:val="en-GB" w:eastAsia="en-GB"/>
        </w:rPr>
        <w:t>cycleways</w:t>
      </w:r>
      <w:proofErr w:type="spellEnd"/>
      <w:r w:rsidRPr="000E55C1">
        <w:rPr>
          <w:rFonts w:asciiTheme="minorHAnsi" w:hAnsiTheme="minorHAnsi" w:cstheme="minorHAnsi"/>
          <w:sz w:val="22"/>
          <w:szCs w:val="22"/>
          <w:lang w:val="en-GB" w:eastAsia="en-GB"/>
        </w:rPr>
        <w:t xml:space="preserve"> in all urban areas </w:t>
      </w:r>
    </w:p>
    <w:p w14:paraId="1B1253BE" w14:textId="77777777" w:rsidR="009627EA" w:rsidRPr="000E55C1" w:rsidRDefault="009627EA" w:rsidP="009627EA">
      <w:pPr>
        <w:pStyle w:val="ListParagraph"/>
        <w:numPr>
          <w:ilvl w:val="0"/>
          <w:numId w:val="10"/>
        </w:numPr>
        <w:rPr>
          <w:rFonts w:asciiTheme="minorHAnsi" w:hAnsiTheme="minorHAnsi" w:cstheme="minorHAnsi"/>
          <w:sz w:val="22"/>
          <w:szCs w:val="22"/>
          <w:lang w:val="en-GB" w:eastAsia="en-GB"/>
        </w:rPr>
      </w:pPr>
      <w:r w:rsidRPr="000E55C1">
        <w:rPr>
          <w:rFonts w:asciiTheme="minorHAnsi" w:hAnsiTheme="minorHAnsi" w:cstheme="minorHAnsi"/>
          <w:sz w:val="22"/>
          <w:szCs w:val="22"/>
          <w:lang w:val="en-GB" w:eastAsia="en-GB"/>
        </w:rPr>
        <w:t>Single occupancy car use becoming socially unacceptable and parking charges and infrastructure designed to encourage vehicle sharing. High taxation on more than one car per household</w:t>
      </w:r>
    </w:p>
    <w:p w14:paraId="29235B38" w14:textId="77777777" w:rsidR="009627EA" w:rsidRPr="000E55C1" w:rsidRDefault="009627EA" w:rsidP="009627EA">
      <w:pPr>
        <w:pStyle w:val="ListParagraph"/>
        <w:numPr>
          <w:ilvl w:val="0"/>
          <w:numId w:val="10"/>
        </w:numPr>
        <w:rPr>
          <w:rFonts w:asciiTheme="minorHAnsi" w:hAnsiTheme="minorHAnsi" w:cstheme="minorHAnsi"/>
          <w:sz w:val="22"/>
          <w:szCs w:val="22"/>
          <w:lang w:val="en-GB" w:eastAsia="en-GB"/>
        </w:rPr>
      </w:pPr>
      <w:r w:rsidRPr="000E55C1">
        <w:rPr>
          <w:rFonts w:asciiTheme="minorHAnsi" w:hAnsiTheme="minorHAnsi" w:cstheme="minorHAnsi"/>
          <w:sz w:val="22"/>
          <w:szCs w:val="22"/>
          <w:lang w:val="en-GB" w:eastAsia="en-GB"/>
        </w:rPr>
        <w:t>Eco-levy applied to the whole system – the more you travel and the more polluting modes you use, the more you pay – includes air travel (frequent flier levy)</w:t>
      </w:r>
    </w:p>
    <w:p w14:paraId="4C6F39DA" w14:textId="65D84C75" w:rsidR="009627EA" w:rsidRPr="000E55C1" w:rsidRDefault="009627EA" w:rsidP="009627EA">
      <w:pPr>
        <w:pStyle w:val="ListParagraph"/>
        <w:numPr>
          <w:ilvl w:val="0"/>
          <w:numId w:val="10"/>
        </w:numPr>
        <w:rPr>
          <w:rFonts w:asciiTheme="minorHAnsi" w:hAnsiTheme="minorHAnsi" w:cstheme="minorHAnsi"/>
          <w:sz w:val="22"/>
          <w:szCs w:val="22"/>
          <w:lang w:val="en-GB" w:eastAsia="en-GB"/>
        </w:rPr>
      </w:pPr>
      <w:r w:rsidRPr="000E55C1">
        <w:rPr>
          <w:rFonts w:asciiTheme="minorHAnsi" w:hAnsiTheme="minorHAnsi" w:cstheme="minorHAnsi"/>
          <w:sz w:val="22"/>
          <w:szCs w:val="22"/>
          <w:lang w:val="en-GB" w:eastAsia="en-GB"/>
        </w:rPr>
        <w:t xml:space="preserve">Car fleet is reduced substantially as driving licence uptake </w:t>
      </w:r>
      <w:r w:rsidR="00955BCE" w:rsidRPr="000E55C1">
        <w:rPr>
          <w:rFonts w:asciiTheme="minorHAnsi" w:hAnsiTheme="minorHAnsi" w:cstheme="minorHAnsi"/>
          <w:sz w:val="22"/>
          <w:szCs w:val="22"/>
          <w:lang w:val="en-GB" w:eastAsia="en-GB"/>
        </w:rPr>
        <w:t xml:space="preserve">is down with transition to ‘car </w:t>
      </w:r>
      <w:proofErr w:type="spellStart"/>
      <w:r w:rsidRPr="000E55C1">
        <w:rPr>
          <w:rFonts w:asciiTheme="minorHAnsi" w:hAnsiTheme="minorHAnsi" w:cstheme="minorHAnsi"/>
          <w:sz w:val="22"/>
          <w:szCs w:val="22"/>
          <w:lang w:val="en-GB" w:eastAsia="en-GB"/>
        </w:rPr>
        <w:t>usership</w:t>
      </w:r>
      <w:proofErr w:type="spellEnd"/>
      <w:r w:rsidRPr="000E55C1">
        <w:rPr>
          <w:rFonts w:asciiTheme="minorHAnsi" w:hAnsiTheme="minorHAnsi" w:cstheme="minorHAnsi"/>
          <w:sz w:val="22"/>
          <w:szCs w:val="22"/>
          <w:lang w:val="en-GB" w:eastAsia="en-GB"/>
        </w:rPr>
        <w:t>’</w:t>
      </w:r>
    </w:p>
    <w:p w14:paraId="620B371C" w14:textId="77777777" w:rsidR="009627EA" w:rsidRPr="000E55C1" w:rsidRDefault="009627EA" w:rsidP="009627EA">
      <w:pPr>
        <w:pStyle w:val="ListParagraph"/>
        <w:numPr>
          <w:ilvl w:val="0"/>
          <w:numId w:val="10"/>
        </w:numPr>
        <w:rPr>
          <w:rFonts w:asciiTheme="minorHAnsi" w:hAnsiTheme="minorHAnsi" w:cstheme="minorHAnsi"/>
          <w:sz w:val="22"/>
          <w:szCs w:val="22"/>
          <w:lang w:val="en-GB" w:eastAsia="en-GB"/>
        </w:rPr>
      </w:pPr>
      <w:r w:rsidRPr="000E55C1">
        <w:rPr>
          <w:rFonts w:asciiTheme="minorHAnsi" w:hAnsiTheme="minorHAnsi" w:cstheme="minorHAnsi"/>
          <w:sz w:val="22"/>
          <w:szCs w:val="22"/>
          <w:lang w:val="en-GB" w:eastAsia="en-GB"/>
        </w:rPr>
        <w:t>But taxi and shared fleets increase – all electric by 2030</w:t>
      </w:r>
    </w:p>
    <w:p w14:paraId="634E21FC" w14:textId="77777777" w:rsidR="009627EA" w:rsidRPr="000E55C1" w:rsidRDefault="009627EA" w:rsidP="009627EA">
      <w:pPr>
        <w:pStyle w:val="ListParagraph"/>
        <w:numPr>
          <w:ilvl w:val="0"/>
          <w:numId w:val="10"/>
        </w:numPr>
        <w:rPr>
          <w:rFonts w:asciiTheme="minorHAnsi" w:hAnsiTheme="minorHAnsi" w:cstheme="minorHAnsi"/>
          <w:sz w:val="22"/>
          <w:szCs w:val="22"/>
          <w:lang w:val="en-GB" w:eastAsia="en-GB"/>
        </w:rPr>
      </w:pPr>
      <w:r w:rsidRPr="000E55C1">
        <w:rPr>
          <w:rFonts w:asciiTheme="minorHAnsi" w:hAnsiTheme="minorHAnsi" w:cstheme="minorHAnsi"/>
          <w:sz w:val="22"/>
          <w:szCs w:val="22"/>
          <w:lang w:val="en-GB" w:eastAsia="en-GB"/>
        </w:rPr>
        <w:t>Increase in LCV (van) fleet due to more online shopping – electric only sold from 2030</w:t>
      </w:r>
    </w:p>
    <w:p w14:paraId="477AA134" w14:textId="77777777" w:rsidR="009627EA" w:rsidRPr="000E55C1" w:rsidRDefault="009627EA" w:rsidP="009627EA">
      <w:pPr>
        <w:pStyle w:val="ListParagraph"/>
        <w:numPr>
          <w:ilvl w:val="0"/>
          <w:numId w:val="10"/>
        </w:numPr>
        <w:rPr>
          <w:rFonts w:asciiTheme="minorHAnsi" w:hAnsiTheme="minorHAnsi" w:cstheme="minorHAnsi"/>
          <w:sz w:val="22"/>
          <w:szCs w:val="22"/>
          <w:lang w:val="en-GB" w:eastAsia="en-GB"/>
        </w:rPr>
      </w:pPr>
      <w:r w:rsidRPr="000E55C1">
        <w:rPr>
          <w:rFonts w:asciiTheme="minorHAnsi" w:hAnsiTheme="minorHAnsi" w:cstheme="minorHAnsi"/>
          <w:sz w:val="22"/>
          <w:szCs w:val="22"/>
          <w:lang w:val="en-GB" w:eastAsia="en-GB"/>
        </w:rPr>
        <w:lastRenderedPageBreak/>
        <w:t>Large and heavy ICE, PHEV and HEV cars gradually phased out by 2030 and a substantially expanded bus fleet will be largely electric.  Big investment in and standardisation of charging infrastructure across the nation</w:t>
      </w:r>
    </w:p>
    <w:p w14:paraId="46872DDE" w14:textId="77777777" w:rsidR="009627EA" w:rsidRPr="000E55C1" w:rsidRDefault="009627EA" w:rsidP="009627EA">
      <w:pPr>
        <w:pStyle w:val="ListParagraph"/>
        <w:numPr>
          <w:ilvl w:val="0"/>
          <w:numId w:val="10"/>
        </w:numPr>
        <w:rPr>
          <w:rFonts w:asciiTheme="minorHAnsi" w:hAnsiTheme="minorHAnsi" w:cstheme="minorHAnsi"/>
          <w:sz w:val="22"/>
          <w:szCs w:val="22"/>
          <w:lang w:val="en-GB" w:eastAsia="en-GB"/>
        </w:rPr>
      </w:pPr>
      <w:r w:rsidRPr="000E55C1">
        <w:rPr>
          <w:rFonts w:asciiTheme="minorHAnsi" w:hAnsiTheme="minorHAnsi" w:cstheme="minorHAnsi"/>
          <w:sz w:val="22"/>
          <w:szCs w:val="22"/>
          <w:lang w:val="en-GB" w:eastAsia="en-GB"/>
        </w:rPr>
        <w:t>HGV – renewed push for consolidation centres around big cities and towns – reduced miles travelled</w:t>
      </w:r>
    </w:p>
    <w:p w14:paraId="4AF77FA8" w14:textId="77777777" w:rsidR="009627EA" w:rsidRPr="000E55C1" w:rsidRDefault="009627EA" w:rsidP="009627EA">
      <w:pPr>
        <w:pStyle w:val="ListParagraph"/>
        <w:numPr>
          <w:ilvl w:val="0"/>
          <w:numId w:val="10"/>
        </w:numPr>
        <w:rPr>
          <w:rFonts w:asciiTheme="minorHAnsi" w:hAnsiTheme="minorHAnsi" w:cstheme="minorHAnsi"/>
          <w:sz w:val="22"/>
          <w:szCs w:val="22"/>
          <w:lang w:val="en-GB" w:eastAsia="en-GB"/>
        </w:rPr>
      </w:pPr>
      <w:r w:rsidRPr="000E55C1">
        <w:rPr>
          <w:rFonts w:asciiTheme="minorHAnsi" w:hAnsiTheme="minorHAnsi" w:cstheme="minorHAnsi"/>
          <w:sz w:val="22"/>
          <w:szCs w:val="22"/>
          <w:lang w:val="en-GB" w:eastAsia="en-GB"/>
        </w:rPr>
        <w:t>Road freight – much improved logistics, vertical integration e.g. Amazon – improves load factors for long and medium distance freight</w:t>
      </w:r>
    </w:p>
    <w:p w14:paraId="13E919FD" w14:textId="77777777" w:rsidR="009627EA" w:rsidRPr="000E55C1" w:rsidRDefault="009627EA" w:rsidP="009627EA">
      <w:pPr>
        <w:pStyle w:val="ListParagraph"/>
        <w:numPr>
          <w:ilvl w:val="0"/>
          <w:numId w:val="10"/>
        </w:numPr>
        <w:rPr>
          <w:rFonts w:asciiTheme="minorHAnsi" w:hAnsiTheme="minorHAnsi" w:cstheme="minorHAnsi"/>
          <w:sz w:val="22"/>
          <w:szCs w:val="22"/>
          <w:lang w:val="en-GB" w:eastAsia="en-GB"/>
        </w:rPr>
      </w:pPr>
      <w:r w:rsidRPr="000E55C1">
        <w:rPr>
          <w:rFonts w:asciiTheme="minorHAnsi" w:hAnsiTheme="minorHAnsi" w:cstheme="minorHAnsi"/>
          <w:sz w:val="22"/>
          <w:szCs w:val="22"/>
          <w:lang w:val="en-GB" w:eastAsia="en-GB"/>
        </w:rPr>
        <w:t>No significant shift from road to rail freight as rail capacity is largely taken up by net passenger rail increases (leisure up more than commuting and business down)</w:t>
      </w:r>
    </w:p>
    <w:p w14:paraId="7096BD19" w14:textId="038EA1E9" w:rsidR="009627EA" w:rsidRPr="000E55C1" w:rsidRDefault="009627EA" w:rsidP="009627EA">
      <w:pPr>
        <w:rPr>
          <w:rFonts w:cstheme="minorHAnsi"/>
          <w:lang w:eastAsia="en-GB"/>
        </w:rPr>
      </w:pPr>
      <w:r w:rsidRPr="000E55C1">
        <w:rPr>
          <w:rFonts w:cstheme="minorHAnsi"/>
          <w:lang w:eastAsia="en-GB"/>
        </w:rPr>
        <w:t>Additional assumptions specific to the Transform demand scenario include:</w:t>
      </w:r>
    </w:p>
    <w:p w14:paraId="61E15F24" w14:textId="77777777" w:rsidR="009627EA" w:rsidRPr="000E55C1" w:rsidRDefault="009627EA" w:rsidP="009627EA">
      <w:pPr>
        <w:pStyle w:val="ListParagraph"/>
        <w:numPr>
          <w:ilvl w:val="0"/>
          <w:numId w:val="10"/>
        </w:numPr>
        <w:rPr>
          <w:rFonts w:asciiTheme="minorHAnsi" w:hAnsiTheme="minorHAnsi" w:cstheme="minorHAnsi"/>
          <w:sz w:val="22"/>
          <w:szCs w:val="22"/>
          <w:lang w:val="en-GB" w:eastAsia="en-GB"/>
        </w:rPr>
      </w:pPr>
      <w:r w:rsidRPr="000E55C1">
        <w:rPr>
          <w:rFonts w:asciiTheme="minorHAnsi" w:hAnsiTheme="minorHAnsi" w:cstheme="minorHAnsi"/>
          <w:sz w:val="22"/>
          <w:szCs w:val="22"/>
          <w:lang w:val="en-GB" w:eastAsia="en-GB"/>
        </w:rPr>
        <w:t>The phase out of ICE, PHEV and HEV cars is brought forward to 2025.</w:t>
      </w:r>
    </w:p>
    <w:p w14:paraId="1E0BDA0C" w14:textId="77777777" w:rsidR="009627EA" w:rsidRPr="000E55C1" w:rsidRDefault="009627EA" w:rsidP="009627EA">
      <w:pPr>
        <w:pStyle w:val="ListParagraph"/>
        <w:numPr>
          <w:ilvl w:val="0"/>
          <w:numId w:val="10"/>
        </w:numPr>
        <w:rPr>
          <w:rFonts w:asciiTheme="minorHAnsi" w:hAnsiTheme="minorHAnsi" w:cstheme="minorHAnsi"/>
          <w:sz w:val="22"/>
          <w:szCs w:val="22"/>
          <w:lang w:val="en-GB" w:eastAsia="en-GB"/>
        </w:rPr>
      </w:pPr>
      <w:r w:rsidRPr="000E55C1">
        <w:rPr>
          <w:rFonts w:asciiTheme="minorHAnsi" w:hAnsiTheme="minorHAnsi" w:cstheme="minorHAnsi"/>
          <w:sz w:val="22"/>
          <w:szCs w:val="22"/>
          <w:lang w:val="en-GB" w:eastAsia="en-GB"/>
        </w:rPr>
        <w:t>Less demand for aviation driven by an increased public awareness of the environmental damage, higher costs for frequent flying, and increased fuel costs through taxation.</w:t>
      </w:r>
    </w:p>
    <w:p w14:paraId="47B8BC66" w14:textId="77777777" w:rsidR="009627EA" w:rsidRPr="000E55C1" w:rsidRDefault="009627EA" w:rsidP="009627EA">
      <w:pPr>
        <w:pStyle w:val="ListParagraph"/>
        <w:numPr>
          <w:ilvl w:val="0"/>
          <w:numId w:val="10"/>
        </w:numPr>
        <w:rPr>
          <w:rFonts w:asciiTheme="minorHAnsi" w:hAnsiTheme="minorHAnsi" w:cstheme="minorHAnsi"/>
          <w:sz w:val="22"/>
          <w:szCs w:val="22"/>
          <w:lang w:val="en-GB" w:eastAsia="en-GB"/>
        </w:rPr>
      </w:pPr>
      <w:r w:rsidRPr="000E55C1">
        <w:rPr>
          <w:rFonts w:asciiTheme="minorHAnsi" w:hAnsiTheme="minorHAnsi" w:cstheme="minorHAnsi"/>
          <w:sz w:val="22"/>
          <w:szCs w:val="22"/>
          <w:lang w:val="en-GB" w:eastAsia="en-GB"/>
        </w:rPr>
        <w:t>Introduction of a four-day working week due to a greater focus on quality of life resulting in a 10% reduction in commuting trips per person by 2030 and further reductions by 2050</w:t>
      </w:r>
    </w:p>
    <w:p w14:paraId="15207E2F" w14:textId="77777777" w:rsidR="009627EA" w:rsidRPr="000E55C1" w:rsidRDefault="009627EA" w:rsidP="009627EA">
      <w:pPr>
        <w:pStyle w:val="ListParagraph"/>
        <w:numPr>
          <w:ilvl w:val="0"/>
          <w:numId w:val="10"/>
        </w:numPr>
        <w:rPr>
          <w:rFonts w:asciiTheme="minorHAnsi" w:hAnsiTheme="minorHAnsi" w:cstheme="minorHAnsi"/>
          <w:sz w:val="22"/>
          <w:szCs w:val="22"/>
          <w:lang w:val="en-GB" w:eastAsia="en-GB"/>
        </w:rPr>
      </w:pPr>
      <w:r w:rsidRPr="000E55C1">
        <w:rPr>
          <w:rFonts w:asciiTheme="minorHAnsi" w:hAnsiTheme="minorHAnsi" w:cstheme="minorHAnsi"/>
          <w:sz w:val="22"/>
          <w:szCs w:val="22"/>
          <w:lang w:val="en-GB" w:eastAsia="en-GB"/>
        </w:rPr>
        <w:t>Increased reduction in commuting due to working at home or teleworking where industrial restructuring allows greater flexibility</w:t>
      </w:r>
    </w:p>
    <w:p w14:paraId="1A957E7C" w14:textId="77777777" w:rsidR="009627EA" w:rsidRPr="000E55C1" w:rsidRDefault="009627EA" w:rsidP="009627EA">
      <w:pPr>
        <w:pStyle w:val="ListParagraph"/>
        <w:numPr>
          <w:ilvl w:val="0"/>
          <w:numId w:val="10"/>
        </w:numPr>
        <w:rPr>
          <w:rFonts w:asciiTheme="minorHAnsi" w:hAnsiTheme="minorHAnsi" w:cstheme="minorHAnsi"/>
          <w:sz w:val="22"/>
          <w:szCs w:val="22"/>
          <w:lang w:val="en-GB" w:eastAsia="en-GB"/>
        </w:rPr>
      </w:pPr>
      <w:r w:rsidRPr="000E55C1">
        <w:rPr>
          <w:rFonts w:asciiTheme="minorHAnsi" w:hAnsiTheme="minorHAnsi" w:cstheme="minorHAnsi"/>
          <w:sz w:val="22"/>
          <w:szCs w:val="22"/>
          <w:lang w:val="en-GB" w:eastAsia="en-GB"/>
        </w:rPr>
        <w:t>Greater reliance on video-conferencing in businesses improving work-life balance</w:t>
      </w:r>
    </w:p>
    <w:p w14:paraId="7422115E" w14:textId="77777777" w:rsidR="009627EA" w:rsidRPr="000E55C1" w:rsidRDefault="009627EA" w:rsidP="009627EA">
      <w:pPr>
        <w:pStyle w:val="ListParagraph"/>
        <w:numPr>
          <w:ilvl w:val="0"/>
          <w:numId w:val="10"/>
        </w:numPr>
        <w:rPr>
          <w:rFonts w:asciiTheme="minorHAnsi" w:hAnsiTheme="minorHAnsi" w:cstheme="minorHAnsi"/>
          <w:sz w:val="22"/>
          <w:szCs w:val="22"/>
          <w:lang w:val="en-GB" w:eastAsia="en-GB"/>
        </w:rPr>
      </w:pPr>
      <w:r w:rsidRPr="000E55C1">
        <w:rPr>
          <w:rFonts w:asciiTheme="minorHAnsi" w:hAnsiTheme="minorHAnsi" w:cstheme="minorHAnsi"/>
          <w:sz w:val="22"/>
          <w:szCs w:val="22"/>
          <w:lang w:val="en-GB" w:eastAsia="en-GB"/>
        </w:rPr>
        <w:t>Lower car ownership levels, particularly in urban areas, in line with the “mobility” assumptions reducing the need to travel and a shift towards public transport, e-micro mobility and shared mobility</w:t>
      </w:r>
    </w:p>
    <w:p w14:paraId="5A013770" w14:textId="77777777" w:rsidR="009627EA" w:rsidRPr="000E55C1" w:rsidRDefault="009627EA" w:rsidP="009627EA">
      <w:pPr>
        <w:rPr>
          <w:rStyle w:val="normaltextrun"/>
          <w:rFonts w:eastAsia="Times New Roman" w:cstheme="minorHAnsi"/>
          <w:b/>
          <w:bCs/>
          <w:iCs/>
          <w:color w:val="262626"/>
          <w:lang w:eastAsia="en-GB"/>
        </w:rPr>
      </w:pPr>
      <w:r w:rsidRPr="000E55C1">
        <w:rPr>
          <w:rStyle w:val="normaltextrun"/>
          <w:rFonts w:eastAsia="Times New Roman" w:cstheme="minorHAnsi"/>
          <w:lang w:eastAsia="en-GB"/>
        </w:rPr>
        <w:br w:type="page"/>
      </w:r>
    </w:p>
    <w:p w14:paraId="7BB899ED" w14:textId="643D23B8" w:rsidR="009627EA" w:rsidRPr="000E55C1" w:rsidRDefault="000E55C1" w:rsidP="009627EA">
      <w:pPr>
        <w:pStyle w:val="Heading3"/>
        <w:rPr>
          <w:rStyle w:val="normaltextrun"/>
          <w:rFonts w:asciiTheme="minorHAnsi" w:hAnsiTheme="minorHAnsi" w:cstheme="minorHAnsi"/>
          <w:iCs/>
          <w:sz w:val="22"/>
          <w:szCs w:val="22"/>
          <w:lang w:eastAsia="en-GB"/>
        </w:rPr>
      </w:pPr>
      <w:bookmarkStart w:id="17" w:name="_Toc77587881"/>
      <w:r>
        <w:rPr>
          <w:rFonts w:asciiTheme="minorHAnsi" w:hAnsiTheme="minorHAnsi" w:cstheme="minorHAnsi"/>
        </w:rPr>
        <w:lastRenderedPageBreak/>
        <w:t>4</w:t>
      </w:r>
      <w:r w:rsidR="00955BCE" w:rsidRPr="000E55C1">
        <w:rPr>
          <w:rFonts w:asciiTheme="minorHAnsi" w:hAnsiTheme="minorHAnsi" w:cstheme="minorHAnsi"/>
        </w:rPr>
        <w:t>.4</w:t>
      </w:r>
      <w:r w:rsidR="009627EA" w:rsidRPr="000E55C1">
        <w:rPr>
          <w:rFonts w:asciiTheme="minorHAnsi" w:hAnsiTheme="minorHAnsi" w:cstheme="minorHAnsi"/>
        </w:rPr>
        <w:t xml:space="preserve"> Nutrition</w:t>
      </w:r>
      <w:bookmarkEnd w:id="17"/>
    </w:p>
    <w:p w14:paraId="73F61BEB" w14:textId="6DB1FFAF" w:rsidR="009627EA" w:rsidRPr="000E55C1" w:rsidRDefault="009627EA" w:rsidP="009627EA">
      <w:pPr>
        <w:rPr>
          <w:rStyle w:val="normaltextrun"/>
          <w:rFonts w:eastAsia="Times New Roman" w:cstheme="minorHAnsi"/>
          <w:lang w:eastAsia="en-GB"/>
        </w:rPr>
      </w:pPr>
      <w:r w:rsidRPr="000E55C1">
        <w:rPr>
          <w:rStyle w:val="normaltextrun"/>
          <w:rFonts w:eastAsia="Times New Roman" w:cstheme="minorHAnsi"/>
          <w:lang w:eastAsia="en-GB"/>
        </w:rPr>
        <w:t xml:space="preserve">The CCC estimates that 11% of UK GHG emissions are attributable to agriculture and land use, and predict that the sector will become a major emitter in 2050 </w:t>
      </w:r>
      <w:r w:rsidRPr="000E55C1">
        <w:rPr>
          <w:rStyle w:val="normaltextrun"/>
          <w:rFonts w:eastAsia="Times New Roman" w:cstheme="minorHAnsi"/>
          <w:lang w:eastAsia="en-GB"/>
        </w:rPr>
        <w:fldChar w:fldCharType="begin" w:fldLock="1"/>
      </w:r>
      <w:r w:rsidR="00660864" w:rsidRPr="000E55C1">
        <w:rPr>
          <w:rStyle w:val="normaltextrun"/>
          <w:rFonts w:eastAsia="Times New Roman" w:cstheme="minorHAnsi"/>
          <w:lang w:eastAsia="en-GB"/>
        </w:rPr>
        <w:instrText>ADDIN CSL_CITATION {"citationItems":[{"id":"ITEM-1","itemData":{"author":[{"dropping-particle":"","family":"CCC","given":"","non-dropping-particle":"","parse-names":false,"suffix":""}],"id":"ITEM-1","issued":{"date-parts":[["2018"]]},"title":"Land use: Reducing emissions and preparing for climate change - Climate Change Committee","type":"report"},"uris":["http://www.mendeley.com/documents/?uuid=604bb74f-6321-3659-be4e-7ba50d28294e"]}],"mendeley":{"formattedCitation":"&lt;sup&gt;70&lt;/sup&gt;","plainTextFormattedCitation":"70","previouslyFormattedCitation":"&lt;sup&gt;70&lt;/sup&gt;"},"properties":{"noteIndex":0},"schema":"https://github.com/citation-style-language/schema/raw/master/csl-citation.json"}</w:instrText>
      </w:r>
      <w:r w:rsidRPr="000E55C1">
        <w:rPr>
          <w:rStyle w:val="normaltextrun"/>
          <w:rFonts w:eastAsia="Times New Roman" w:cstheme="minorHAnsi"/>
          <w:vertAlign w:val="superscript"/>
          <w:lang w:eastAsia="en-GB"/>
        </w:rPr>
        <w:fldChar w:fldCharType="separate"/>
      </w:r>
      <w:r w:rsidR="00660864" w:rsidRPr="000E55C1">
        <w:rPr>
          <w:rStyle w:val="normaltextrun"/>
          <w:rFonts w:eastAsia="Times New Roman" w:cstheme="minorHAnsi"/>
          <w:noProof/>
          <w:vertAlign w:val="superscript"/>
          <w:lang w:eastAsia="en-GB"/>
        </w:rPr>
        <w:t>70</w:t>
      </w:r>
      <w:r w:rsidRPr="000E55C1">
        <w:rPr>
          <w:rStyle w:val="normaltextrun"/>
          <w:rFonts w:eastAsia="Times New Roman" w:cstheme="minorHAnsi"/>
          <w:lang w:eastAsia="en-GB"/>
        </w:rPr>
        <w:fldChar w:fldCharType="end"/>
      </w:r>
      <w:r w:rsidRPr="000E55C1">
        <w:rPr>
          <w:rStyle w:val="normaltextrun"/>
          <w:rFonts w:eastAsia="Times New Roman" w:cstheme="minorHAnsi"/>
          <w:lang w:eastAsia="en-GB"/>
        </w:rPr>
        <w:t xml:space="preserve">. The food and drink industry also represents 7% of the UK’s industrial GHG emissions </w:t>
      </w:r>
      <w:r w:rsidRPr="000E55C1">
        <w:rPr>
          <w:rStyle w:val="normaltextrun"/>
          <w:rFonts w:eastAsia="Times New Roman" w:cstheme="minorHAnsi"/>
          <w:lang w:eastAsia="en-GB"/>
        </w:rPr>
        <w:fldChar w:fldCharType="begin" w:fldLock="1"/>
      </w:r>
      <w:r w:rsidR="00660864" w:rsidRPr="000E55C1">
        <w:rPr>
          <w:rStyle w:val="normaltextrun"/>
          <w:rFonts w:eastAsia="Times New Roman" w:cstheme="minorHAnsi"/>
          <w:lang w:eastAsia="en-GB"/>
        </w:rPr>
        <w:instrText>ADDIN CSL_CITATION {"citationItems":[{"id":"ITEM-1","itemData":{"abstract":"Main findings » Reducing industrial energy demand could make a substantial contribution towards the UK Government's goal of significant (80%) decarbonisation by 2050, whilst simultaneously improving productivity and creating employment opportunities. » The industrial sector in the UK accounts for some 21% of total delivered energy and 29% of CO 2 emissions. Three sectors make up 50% of industrial emissions; Steel, Chemicals, and Cement. » Efficiency gains can be readily secured in industry, including those associated with the use of heat and with improvements in processing. » A set of selected 'technology roadmaps' have been developed in order to evaluate the potential deployment of the identified enabling technologies for the UK energy-intensive industries out to 2050. Figure 1. Final UK energy demand by industrial sub-sector and end-use.","author":[{"dropping-particle":"","family":"Hammond","given":"G","non-dropping-particle":"","parse-names":false,"suffix":""}],"id":"ITEM-1","issued":{"date-parts":[["2018"]]},"number-of-pages":"1-4","title":"Sector analysis of Industrial Energy","type":"report"},"uris":["http://www.mendeley.com/documents/?uuid=78cece3c-7179-3751-a61e-86ffa9f76794"]}],"mendeley":{"formattedCitation":"&lt;sup&gt;71&lt;/sup&gt;","plainTextFormattedCitation":"71","previouslyFormattedCitation":"&lt;sup&gt;71&lt;/sup&gt;"},"properties":{"noteIndex":0},"schema":"https://github.com/citation-style-language/schema/raw/master/csl-citation.json"}</w:instrText>
      </w:r>
      <w:r w:rsidRPr="000E55C1">
        <w:rPr>
          <w:rStyle w:val="normaltextrun"/>
          <w:rFonts w:eastAsia="Times New Roman" w:cstheme="minorHAnsi"/>
          <w:lang w:eastAsia="en-GB"/>
        </w:rPr>
        <w:fldChar w:fldCharType="separate"/>
      </w:r>
      <w:r w:rsidR="00660864" w:rsidRPr="000E55C1">
        <w:rPr>
          <w:rStyle w:val="normaltextrun"/>
          <w:rFonts w:eastAsia="Times New Roman" w:cstheme="minorHAnsi"/>
          <w:noProof/>
          <w:vertAlign w:val="superscript"/>
          <w:lang w:eastAsia="en-GB"/>
        </w:rPr>
        <w:t>71</w:t>
      </w:r>
      <w:r w:rsidRPr="000E55C1">
        <w:rPr>
          <w:rStyle w:val="normaltextrun"/>
          <w:rFonts w:eastAsia="Times New Roman" w:cstheme="minorHAnsi"/>
          <w:lang w:eastAsia="en-GB"/>
        </w:rPr>
        <w:fldChar w:fldCharType="end"/>
      </w:r>
      <w:r w:rsidRPr="000E55C1">
        <w:rPr>
          <w:rStyle w:val="normaltextrun"/>
          <w:rFonts w:eastAsia="Times New Roman" w:cstheme="minorHAnsi"/>
          <w:lang w:eastAsia="en-GB"/>
        </w:rPr>
        <w:t>. As the ultimate driver of agricultural and related emissions, we consider how changes to the quantity and type of food demand could contribute to a UK low energy demand pathway by 2050.</w:t>
      </w:r>
    </w:p>
    <w:p w14:paraId="439A0C45" w14:textId="77777777" w:rsidR="009627EA" w:rsidRPr="000E55C1" w:rsidRDefault="009627EA" w:rsidP="009627EA">
      <w:pPr>
        <w:rPr>
          <w:rStyle w:val="normaltextrun"/>
          <w:rFonts w:eastAsia="Times New Roman" w:cstheme="minorHAnsi"/>
          <w:lang w:eastAsia="en-GB"/>
        </w:rPr>
      </w:pPr>
      <w:r w:rsidRPr="000E55C1">
        <w:rPr>
          <w:rStyle w:val="normaltextrun"/>
          <w:rFonts w:eastAsia="Times New Roman" w:cstheme="minorHAnsi"/>
          <w:lang w:eastAsia="en-GB"/>
        </w:rPr>
        <w:t>We consider 3 key options for constraining energy demand in the sector, which cover each stage of the UK food system, and address the major current sources of inefficiency and emissions-intensity. The food system presents particular challenges in considering energy demand, given that non-energy emissions relating to land use change (LUC) and livestock (ruminant enteric fermentation) are more significant in the sector.</w:t>
      </w:r>
    </w:p>
    <w:p w14:paraId="07D57D53" w14:textId="3CC55205" w:rsidR="009627EA" w:rsidRPr="000E55C1" w:rsidRDefault="009627EA" w:rsidP="009627EA">
      <w:pPr>
        <w:rPr>
          <w:rStyle w:val="normaltextrun"/>
          <w:rFonts w:eastAsia="Times New Roman" w:cstheme="minorHAnsi"/>
          <w:lang w:eastAsia="en-GB"/>
        </w:rPr>
      </w:pPr>
      <w:r w:rsidRPr="000E55C1">
        <w:rPr>
          <w:rStyle w:val="normaltextrun"/>
          <w:rFonts w:eastAsia="Times New Roman" w:cstheme="minorHAnsi"/>
          <w:lang w:eastAsia="en-GB"/>
        </w:rPr>
        <w:t xml:space="preserve">We consider the effect of calorific intakes being brought in line with Government Dietary Recommendations (i.e. healthy levels), and in reducing supply chain food waste. Calorific intake is the determinant of the volume of food demand per capita. The UK is challenged by overconsumption, with approximately 65% of the population of England estimated to be in ‘overweight’ or ‘obese’ BMI groups as of 2017 </w:t>
      </w:r>
      <w:r w:rsidRPr="000E55C1">
        <w:rPr>
          <w:rStyle w:val="normaltextrun"/>
          <w:rFonts w:eastAsia="Times New Roman" w:cstheme="minorHAnsi"/>
          <w:lang w:eastAsia="en-GB"/>
        </w:rPr>
        <w:fldChar w:fldCharType="begin" w:fldLock="1"/>
      </w:r>
      <w:r w:rsidR="00660864" w:rsidRPr="000E55C1">
        <w:rPr>
          <w:rStyle w:val="normaltextrun"/>
          <w:rFonts w:eastAsia="Times New Roman" w:cstheme="minorHAnsi"/>
          <w:lang w:eastAsia="en-GB"/>
        </w:rPr>
        <w:instrText>ADDIN CSL_CITATION {"citationItems":[{"id":"ITEM-1","itemData":{"URL":"https://digital.nhs.uk/data-and-information/publications/statistical/health-survey-for-england/2017","accessed":{"date-parts":[["2021","6","10"]]},"author":[{"dropping-particle":"","family":"NHS Digital","given":"","non-dropping-particle":"","parse-names":false,"suffix":""}],"id":"ITEM-1","issued":{"date-parts":[["2017"]]},"title":"Health Survey for England 2017","type":"webpage"},"uris":["http://www.mendeley.com/documents/?uuid=d65dc91e-53ac-39f6-adb2-a1898c16db2c"]}],"mendeley":{"formattedCitation":"&lt;sup&gt;72&lt;/sup&gt;","plainTextFormattedCitation":"72","previouslyFormattedCitation":"&lt;sup&gt;72&lt;/sup&gt;"},"properties":{"noteIndex":0},"schema":"https://github.com/citation-style-language/schema/raw/master/csl-citation.json"}</w:instrText>
      </w:r>
      <w:r w:rsidRPr="000E55C1">
        <w:rPr>
          <w:rStyle w:val="normaltextrun"/>
          <w:rFonts w:eastAsia="Times New Roman" w:cstheme="minorHAnsi"/>
          <w:vertAlign w:val="superscript"/>
          <w:lang w:eastAsia="en-GB"/>
        </w:rPr>
        <w:fldChar w:fldCharType="separate"/>
      </w:r>
      <w:r w:rsidR="00660864" w:rsidRPr="000E55C1">
        <w:rPr>
          <w:rStyle w:val="normaltextrun"/>
          <w:rFonts w:eastAsia="Times New Roman" w:cstheme="minorHAnsi"/>
          <w:noProof/>
          <w:vertAlign w:val="superscript"/>
          <w:lang w:eastAsia="en-GB"/>
        </w:rPr>
        <w:t>72</w:t>
      </w:r>
      <w:r w:rsidRPr="000E55C1">
        <w:rPr>
          <w:rStyle w:val="normaltextrun"/>
          <w:rFonts w:eastAsia="Times New Roman" w:cstheme="minorHAnsi"/>
          <w:lang w:eastAsia="en-GB"/>
        </w:rPr>
        <w:fldChar w:fldCharType="end"/>
      </w:r>
      <w:r w:rsidRPr="000E55C1">
        <w:rPr>
          <w:rStyle w:val="normaltextrun"/>
          <w:rFonts w:eastAsia="Times New Roman" w:cstheme="minorHAnsi"/>
          <w:lang w:eastAsia="en-GB"/>
        </w:rPr>
        <w:t xml:space="preserve">. </w:t>
      </w:r>
    </w:p>
    <w:p w14:paraId="24358CDB" w14:textId="3348BF78" w:rsidR="009627EA" w:rsidRPr="000E55C1" w:rsidRDefault="009627EA" w:rsidP="009627EA">
      <w:pPr>
        <w:rPr>
          <w:rStyle w:val="normaltextrun"/>
          <w:rFonts w:eastAsia="Times New Roman" w:cstheme="minorHAnsi"/>
          <w:lang w:eastAsia="en-GB"/>
        </w:rPr>
      </w:pPr>
      <w:r w:rsidRPr="000E55C1">
        <w:rPr>
          <w:rStyle w:val="normaltextrun"/>
          <w:rFonts w:eastAsia="Times New Roman" w:cstheme="minorHAnsi"/>
          <w:lang w:eastAsia="en-GB"/>
        </w:rPr>
        <w:t>We also consider the role of reducing food waste and losses across the supply chain; this is a key public policy target, as cited in the recent Resources and Waste Strategy</w:t>
      </w:r>
      <w:r w:rsidRPr="000E55C1">
        <w:rPr>
          <w:rStyle w:val="normaltextrun"/>
          <w:rFonts w:eastAsia="Times New Roman" w:cstheme="minorHAnsi"/>
          <w:lang w:eastAsia="en-GB"/>
        </w:rPr>
        <w:fldChar w:fldCharType="begin" w:fldLock="1"/>
      </w:r>
      <w:r w:rsidR="00660864" w:rsidRPr="000E55C1">
        <w:rPr>
          <w:rStyle w:val="normaltextrun"/>
          <w:rFonts w:eastAsia="Times New Roman" w:cstheme="minorHAnsi"/>
          <w:lang w:eastAsia="en-GB"/>
        </w:rPr>
        <w:instrText>ADDIN CSL_CITATION {"citationItems":[{"id":"ITEM-1","itemData":{"author":[{"dropping-particle":"","family":"HM Government","given":"","non-dropping-particle":"","parse-names":false,"suffix":""}],"id":"ITEM-1","issued":{"date-parts":[["2018"]]},"title":"OUR WASTE, OUR RESOURCES: A STRATEGY FOR ENGLAND OUR RESOURCES: A STRATEGY FOR ENGLAND OUR WASTE, OUR RESOURCES: A STRATEGY FOR ENGLAND 2","type":"report"},"uris":["http://www.mendeley.com/documents/?uuid=271720fc-bf7f-31c9-a0c7-e9d343808bdb"]}],"mendeley":{"formattedCitation":"&lt;sup&gt;73&lt;/sup&gt;","plainTextFormattedCitation":"73","previouslyFormattedCitation":"&lt;sup&gt;73&lt;/sup&gt;"},"properties":{"noteIndex":0},"schema":"https://github.com/citation-style-language/schema/raw/master/csl-citation.json"}</w:instrText>
      </w:r>
      <w:r w:rsidRPr="000E55C1">
        <w:rPr>
          <w:rStyle w:val="normaltextrun"/>
          <w:rFonts w:eastAsia="Times New Roman" w:cstheme="minorHAnsi"/>
          <w:vertAlign w:val="superscript"/>
          <w:lang w:eastAsia="en-GB"/>
        </w:rPr>
        <w:fldChar w:fldCharType="separate"/>
      </w:r>
      <w:r w:rsidR="00660864" w:rsidRPr="000E55C1">
        <w:rPr>
          <w:rStyle w:val="normaltextrun"/>
          <w:rFonts w:eastAsia="Times New Roman" w:cstheme="minorHAnsi"/>
          <w:noProof/>
          <w:vertAlign w:val="superscript"/>
          <w:lang w:eastAsia="en-GB"/>
        </w:rPr>
        <w:t>73</w:t>
      </w:r>
      <w:r w:rsidRPr="000E55C1">
        <w:rPr>
          <w:rStyle w:val="normaltextrun"/>
          <w:rFonts w:eastAsia="Times New Roman" w:cstheme="minorHAnsi"/>
          <w:lang w:eastAsia="en-GB"/>
        </w:rPr>
        <w:fldChar w:fldCharType="end"/>
      </w:r>
      <w:r w:rsidRPr="000E55C1">
        <w:rPr>
          <w:rStyle w:val="normaltextrun"/>
          <w:rFonts w:eastAsia="Times New Roman" w:cstheme="minorHAnsi"/>
          <w:lang w:eastAsia="en-GB"/>
        </w:rPr>
        <w:t>. It is also a means of avoiding additional food demand, by making more efficient use of the food that is currently delivered through the UK food system. As indicated by</w:t>
      </w:r>
      <w:r w:rsidR="000E55C1">
        <w:rPr>
          <w:rStyle w:val="normaltextrun"/>
          <w:rFonts w:eastAsia="Times New Roman" w:cstheme="minorHAnsi"/>
          <w:lang w:eastAsia="en-GB"/>
        </w:rPr>
        <w:t xml:space="preserve"> </w:t>
      </w:r>
      <w:r w:rsidR="000E55C1" w:rsidRPr="000E55C1">
        <w:rPr>
          <w:rStyle w:val="normaltextrun"/>
          <w:rFonts w:eastAsia="Times New Roman" w:cstheme="minorHAnsi"/>
          <w:noProof/>
          <w:lang w:eastAsia="en-GB"/>
        </w:rPr>
        <w:t>Bajželj et al.</w:t>
      </w:r>
      <w:r w:rsidR="000E55C1">
        <w:rPr>
          <w:rStyle w:val="normaltextrun"/>
          <w:rFonts w:eastAsia="Times New Roman" w:cstheme="minorHAnsi"/>
          <w:noProof/>
          <w:lang w:eastAsia="en-GB"/>
        </w:rPr>
        <w:fldChar w:fldCharType="begin" w:fldLock="1"/>
      </w:r>
      <w:r w:rsidR="000E55C1">
        <w:rPr>
          <w:rStyle w:val="normaltextrun"/>
          <w:rFonts w:eastAsia="Times New Roman" w:cstheme="minorHAnsi"/>
          <w:noProof/>
          <w:lang w:eastAsia="en-GB"/>
        </w:rPr>
        <w:instrText>ADDIN CSL_CITATION {"citationItems":[{"id":"ITEM-1","itemData":{"DOI":"10.1038/nclimate2353","ISSN":"17586798","abstract":"Recent studies show that current trends in yield improvement will not be su cientto meet projected global food demand in 2050, and suggest that a further expansion of agricultural area will be required. However, agriculture is the main driver of losses of biodiversity and a major contributor to climate change and pollution, and so further expansion is undesirable. The usual proposed alternative-intensification with increased resource use-also has negative effects. It is therefore imperative to find ways to achieve global food security without expanding crop or pastureland and without increasing greenhouse gas emissions. Some authors have emphasized a role for sustainable intensification in closing global 'yield gaps' between the currently realized and potentially achievable yields. However, in this paper we use a transparent, data-driven model, to show that even if yield gaps are closed, the projected demand will drive further agricultural expansion. There are, however, options for reduction on the demand side that are rarely considered. In the second part of this paper we quantify the potential for demand-side mitigation options, and show that improved diets and decreases in food waste are essential to deliver emissions reductions, and to provide global food security in 2050.","author":[{"dropping-particle":"","family":"Bajželj","given":"Bojana","non-dropping-particle":"","parse-names":false,"suffix":""},{"dropping-particle":"","family":"Richards","given":"Keith S.","non-dropping-particle":"","parse-names":false,"suffix":""},{"dropping-particle":"","family":"Allwood","given":"Julian M.","non-dropping-particle":"","parse-names":false,"suffix":""},{"dropping-particle":"","family":"Smith","given":"Pete","non-dropping-particle":"","parse-names":false,"suffix":""},{"dropping-particle":"","family":"Dennis","given":"John S.","non-dropping-particle":"","parse-names":false,"suffix":""},{"dropping-particle":"","family":"Curmi","given":"Elizabeth","non-dropping-particle":"","parse-names":false,"suffix":""},{"dropping-particle":"","family":"Gilligan","given":"Christopher A.","non-dropping-particle":"","parse-names":false,"suffix":""}],"container-title":"Nature Climate Change","id":"ITEM-1","issue":"10","issued":{"date-parts":[["2014","1","1"]]},"page":"924-929","publisher":"Nature Publishing Group","title":"Importance of food-demand management for climate mitigation","type":"article-journal","volume":"4"},"uris":["http://www.mendeley.com/documents/?uuid=d3ea6146-6e47-321a-b0c0-e82fbc8bfee1"]}],"mendeley":{"formattedCitation":"&lt;sup&gt;74&lt;/sup&gt;","plainTextFormattedCitation":"74","previouslyFormattedCitation":"&lt;sup&gt;74&lt;/sup&gt;"},"properties":{"noteIndex":0},"schema":"https://github.com/citation-style-language/schema/raw/master/csl-citation.json"}</w:instrText>
      </w:r>
      <w:r w:rsidR="000E55C1">
        <w:rPr>
          <w:rStyle w:val="normaltextrun"/>
          <w:rFonts w:eastAsia="Times New Roman" w:cstheme="minorHAnsi"/>
          <w:noProof/>
          <w:lang w:eastAsia="en-GB"/>
        </w:rPr>
        <w:fldChar w:fldCharType="separate"/>
      </w:r>
      <w:r w:rsidR="000E55C1" w:rsidRPr="000E55C1">
        <w:rPr>
          <w:rStyle w:val="normaltextrun"/>
          <w:rFonts w:eastAsia="Times New Roman" w:cstheme="minorHAnsi"/>
          <w:noProof/>
          <w:vertAlign w:val="superscript"/>
          <w:lang w:eastAsia="en-GB"/>
        </w:rPr>
        <w:t>74</w:t>
      </w:r>
      <w:r w:rsidR="000E55C1">
        <w:rPr>
          <w:rStyle w:val="normaltextrun"/>
          <w:rFonts w:eastAsia="Times New Roman" w:cstheme="minorHAnsi"/>
          <w:noProof/>
          <w:lang w:eastAsia="en-GB"/>
        </w:rPr>
        <w:fldChar w:fldCharType="end"/>
      </w:r>
      <w:r w:rsidRPr="000E55C1">
        <w:rPr>
          <w:rStyle w:val="normaltextrun"/>
          <w:rFonts w:eastAsia="Times New Roman" w:cstheme="minorHAnsi"/>
          <w:lang w:eastAsia="en-GB"/>
        </w:rPr>
        <w:t>, food waste reduction is more effective downstream (i.e. closer to households) given the embodied energy demand of the product by that stage. This is therefore one of our core energy demand reduction strategies in the analysis.</w:t>
      </w:r>
    </w:p>
    <w:p w14:paraId="28A511F5" w14:textId="62BC61A4" w:rsidR="009627EA" w:rsidRPr="000E55C1" w:rsidRDefault="009627EA" w:rsidP="00955BCE">
      <w:pPr>
        <w:pStyle w:val="CommentText"/>
        <w:spacing w:line="276" w:lineRule="auto"/>
        <w:rPr>
          <w:rStyle w:val="normaltextrun"/>
          <w:rFonts w:asciiTheme="minorHAnsi" w:hAnsiTheme="minorHAnsi" w:cstheme="minorHAnsi"/>
          <w:sz w:val="24"/>
          <w:szCs w:val="24"/>
        </w:rPr>
      </w:pPr>
      <w:r w:rsidRPr="000E55C1">
        <w:rPr>
          <w:rStyle w:val="normaltextrun"/>
          <w:rFonts w:asciiTheme="minorHAnsi" w:eastAsia="Times New Roman" w:hAnsiTheme="minorHAnsi" w:cstheme="minorHAnsi"/>
          <w:sz w:val="22"/>
          <w:szCs w:val="22"/>
          <w:lang w:val="en-GB" w:eastAsia="en-GB"/>
        </w:rPr>
        <w:t xml:space="preserve">We consider the role of dietary transitions to more sustainable food products. Approximately 18% of global GHG emissions are attributable to livestock production, with ruminants posing the largest single anthropogenic methane source, and occupying 25% of global land for grazing </w:t>
      </w:r>
      <w:r w:rsidRPr="000E55C1">
        <w:rPr>
          <w:rFonts w:asciiTheme="minorHAnsi" w:hAnsiTheme="minorHAnsi" w:cstheme="minorHAnsi"/>
          <w:sz w:val="22"/>
          <w:szCs w:val="22"/>
        </w:rPr>
        <w:fldChar w:fldCharType="begin" w:fldLock="1"/>
      </w:r>
      <w:r w:rsidR="00660864" w:rsidRPr="000E55C1">
        <w:rPr>
          <w:rFonts w:asciiTheme="minorHAnsi" w:hAnsiTheme="minorHAnsi" w:cstheme="minorHAnsi"/>
          <w:sz w:val="22"/>
          <w:szCs w:val="22"/>
        </w:rPr>
        <w:instrText>ADDIN CSL_CITATION {"citationItems":[{"id":"ITEM-1","itemData":{"DOI":"10.1007/S10584-008-9534-6","ISSN":"1573-1480","abstract":"Climate change mitigation policies tend to focus on the energy sector, while the livestock sector receives surprisingly little attention, despite the fact that it accounts for 18% of the greenhouse gas emissions and for 80% of total anthropogenic land use. From a dietary perspective, new insights in the adverse health effects of beef and pork have lead to a revision of meat consumption recommendations. Here, we explored the potential impact of dietary changes on achieving ambitious climate stabilization levels. By using an integrated assessment model, we found a global food transition to less meat, or even a complete switch to plant-based protein food to have a dramatic effect on land use. Up to 2,700 Mha of pasture and 100 Mha of cropland could be abandoned, resulting in a large carbon uptake from regrowing vegetation. Additionally, methane and nitrous oxide emission would be reduced substantially. A global transition to a low meat-diet as recommended for health reasons would reduce the mitigation costs to achieve a 450 ppm CO2-eq. stabilisation target by about 50% in 2050 compared to the reference case. Dietary changes could therefore not only create substantial benefits for human health and global land use, but can also play an important role in future climate change mitigation policies.","author":[{"dropping-particle":"","family":"Stehfest","given":"Elke","non-dropping-particle":"","parse-names":false,"suffix":""},{"dropping-particle":"","family":"Bouwman","given":"Lex","non-dropping-particle":"","parse-names":false,"suffix":""},{"dropping-particle":"van","family":"Vuuren","given":"Detlef P.","non-dropping-particle":"","parse-names":false,"suffix":""},{"dropping-particle":"den","family":"Elzen","given":"Michel G. J.","non-dropping-particle":"","parse-names":false,"suffix":""},{"dropping-particle":"","family":"Eickhout","given":"Bas","non-dropping-particle":"","parse-names":false,"suffix":""},{"dropping-particle":"","family":"Kabat","given":"Pavel","non-dropping-particle":"","parse-names":false,"suffix":""}],"container-title":"Climatic Change 2009 95:1","id":"ITEM-1","issue":"1","issued":{"date-parts":[["2009","2","4"]]},"page":"83-102","publisher":"Springer","title":"Climate benefits of changing diet","type":"article-journal","volume":"95"},"uris":["http://www.mendeley.com/documents/?uuid=4b7e59b9-cb3c-3459-9cc5-41079deb1396"]}],"mendeley":{"formattedCitation":"&lt;sup&gt;75&lt;/sup&gt;","plainTextFormattedCitation":"75","previouslyFormattedCitation":"&lt;sup&gt;75&lt;/sup&gt;"},"properties":{"noteIndex":0},"schema":"https://github.com/citation-style-language/schema/raw/master/csl-citation.json"}</w:instrText>
      </w:r>
      <w:r w:rsidRPr="000E55C1">
        <w:rPr>
          <w:rFonts w:asciiTheme="minorHAnsi" w:hAnsiTheme="minorHAnsi" w:cstheme="minorHAnsi"/>
          <w:sz w:val="22"/>
          <w:szCs w:val="22"/>
          <w:vertAlign w:val="superscript"/>
        </w:rPr>
        <w:fldChar w:fldCharType="separate"/>
      </w:r>
      <w:r w:rsidR="00660864" w:rsidRPr="000E55C1">
        <w:rPr>
          <w:rFonts w:asciiTheme="minorHAnsi" w:hAnsiTheme="minorHAnsi" w:cstheme="minorHAnsi"/>
          <w:noProof/>
          <w:sz w:val="22"/>
          <w:szCs w:val="22"/>
          <w:vertAlign w:val="superscript"/>
        </w:rPr>
        <w:t>75</w:t>
      </w:r>
      <w:r w:rsidRPr="000E55C1">
        <w:rPr>
          <w:rFonts w:asciiTheme="minorHAnsi" w:hAnsiTheme="minorHAnsi" w:cstheme="minorHAnsi"/>
          <w:sz w:val="22"/>
          <w:szCs w:val="22"/>
        </w:rPr>
        <w:fldChar w:fldCharType="end"/>
      </w:r>
      <w:r w:rsidRPr="000E55C1">
        <w:rPr>
          <w:rStyle w:val="normaltextrun"/>
          <w:rFonts w:asciiTheme="minorHAnsi" w:eastAsia="Times New Roman" w:hAnsiTheme="minorHAnsi" w:cstheme="minorHAnsi"/>
          <w:sz w:val="22"/>
          <w:szCs w:val="22"/>
          <w:lang w:val="en-GB" w:eastAsia="en-GB"/>
        </w:rPr>
        <w:t>. This scenario envisages a shift to plant-based diets as an extension of the recent trend for reduced meat consumption. From 2014 to 2018, the number of vegans in the UK is reported to have increased by 450,000</w:t>
      </w:r>
      <w:r w:rsidR="000E55C1">
        <w:rPr>
          <w:rStyle w:val="normaltextrun"/>
          <w:rFonts w:asciiTheme="minorHAnsi" w:eastAsia="Times New Roman" w:hAnsiTheme="minorHAnsi" w:cstheme="minorHAnsi"/>
          <w:sz w:val="22"/>
          <w:szCs w:val="22"/>
          <w:lang w:val="en-GB" w:eastAsia="en-GB"/>
        </w:rPr>
        <w:fldChar w:fldCharType="begin" w:fldLock="1"/>
      </w:r>
      <w:r w:rsidR="000E55C1">
        <w:rPr>
          <w:rStyle w:val="normaltextrun"/>
          <w:rFonts w:asciiTheme="minorHAnsi" w:eastAsia="Times New Roman" w:hAnsiTheme="minorHAnsi" w:cstheme="minorHAnsi"/>
          <w:sz w:val="22"/>
          <w:szCs w:val="22"/>
          <w:lang w:val="en-GB" w:eastAsia="en-GB"/>
        </w:rPr>
        <w:instrText>ADDIN CSL_CITATION {"citationItems":[{"id":"ITEM-1","itemData":{"URL":"https://www.vegansociety.com/news/media/statistics.","accessed":{"date-parts":[["2019","9","16"]]},"author":[{"dropping-particle":"","family":"Society","given":"The Vegan","non-dropping-particle":"","parse-names":false,"suffix":""}],"id":"ITEM-1","issued":{"date-parts":[["2019"]]},"title":"Statistics - The Vegan Society","type":"webpage"},"uris":["http://www.mendeley.com/documents/?uuid=8164cae3-c4b8-4adb-b1d7-6e101ca3fea5"]}],"mendeley":{"formattedCitation":"&lt;sup&gt;76&lt;/sup&gt;","plainTextFormattedCitation":"76","previouslyFormattedCitation":"&lt;sup&gt;76&lt;/sup&gt;"},"properties":{"noteIndex":0},"schema":"https://github.com/citation-style-language/schema/raw/master/csl-citation.json"}</w:instrText>
      </w:r>
      <w:r w:rsidR="000E55C1">
        <w:rPr>
          <w:rStyle w:val="normaltextrun"/>
          <w:rFonts w:asciiTheme="minorHAnsi" w:eastAsia="Times New Roman" w:hAnsiTheme="minorHAnsi" w:cstheme="minorHAnsi"/>
          <w:sz w:val="22"/>
          <w:szCs w:val="22"/>
          <w:lang w:val="en-GB" w:eastAsia="en-GB"/>
        </w:rPr>
        <w:fldChar w:fldCharType="separate"/>
      </w:r>
      <w:r w:rsidR="000E55C1" w:rsidRPr="000E55C1">
        <w:rPr>
          <w:rStyle w:val="normaltextrun"/>
          <w:rFonts w:asciiTheme="minorHAnsi" w:eastAsia="Times New Roman" w:hAnsiTheme="minorHAnsi" w:cstheme="minorHAnsi"/>
          <w:noProof/>
          <w:sz w:val="22"/>
          <w:szCs w:val="22"/>
          <w:vertAlign w:val="superscript"/>
          <w:lang w:val="en-GB" w:eastAsia="en-GB"/>
        </w:rPr>
        <w:t>76</w:t>
      </w:r>
      <w:r w:rsidR="000E55C1">
        <w:rPr>
          <w:rStyle w:val="normaltextrun"/>
          <w:rFonts w:asciiTheme="minorHAnsi" w:eastAsia="Times New Roman" w:hAnsiTheme="minorHAnsi" w:cstheme="minorHAnsi"/>
          <w:sz w:val="22"/>
          <w:szCs w:val="22"/>
          <w:lang w:val="en-GB" w:eastAsia="en-GB"/>
        </w:rPr>
        <w:fldChar w:fldCharType="end"/>
      </w:r>
      <w:r w:rsidRPr="000E55C1">
        <w:rPr>
          <w:rStyle w:val="normaltextrun"/>
          <w:rFonts w:asciiTheme="minorHAnsi" w:eastAsia="Times New Roman" w:hAnsiTheme="minorHAnsi" w:cstheme="minorHAnsi"/>
          <w:sz w:val="22"/>
          <w:szCs w:val="22"/>
          <w:lang w:val="en-GB" w:eastAsia="en-GB"/>
        </w:rPr>
        <w:t>. Of this number, 42% of vegans were reported to have switched to this diet during 2018 (ibid). Finally, we consider the potential for greater agricultural and industrial efficiency, primarily through new or best practice technologies.</w:t>
      </w:r>
    </w:p>
    <w:p w14:paraId="5FAEB35A" w14:textId="6D7D7BD7" w:rsidR="009627EA" w:rsidRPr="000E55C1" w:rsidRDefault="009627EA" w:rsidP="009627EA">
      <w:pPr>
        <w:pStyle w:val="ListParagraph"/>
        <w:numPr>
          <w:ilvl w:val="0"/>
          <w:numId w:val="0"/>
        </w:numPr>
        <w:jc w:val="both"/>
        <w:rPr>
          <w:rStyle w:val="normaltextrun"/>
          <w:rFonts w:asciiTheme="minorHAnsi" w:eastAsia="Times New Roman" w:hAnsiTheme="minorHAnsi" w:cstheme="minorHAnsi"/>
          <w:color w:val="auto"/>
          <w:sz w:val="22"/>
          <w:szCs w:val="22"/>
          <w:lang w:val="en-GB" w:eastAsia="en-GB"/>
        </w:rPr>
      </w:pPr>
      <w:r w:rsidRPr="000E55C1">
        <w:rPr>
          <w:rStyle w:val="normaltextrun"/>
          <w:rFonts w:asciiTheme="minorHAnsi" w:eastAsia="Times New Roman" w:hAnsiTheme="minorHAnsi" w:cstheme="minorHAnsi"/>
          <w:color w:val="auto"/>
          <w:sz w:val="22"/>
          <w:szCs w:val="22"/>
          <w:lang w:val="en-GB" w:eastAsia="en-GB"/>
        </w:rPr>
        <w:t xml:space="preserve">Our analysis is based on the detailed assessment </w:t>
      </w:r>
      <w:r w:rsidR="00955BCE" w:rsidRPr="000E55C1">
        <w:rPr>
          <w:rStyle w:val="normaltextrun"/>
          <w:rFonts w:asciiTheme="minorHAnsi" w:eastAsia="Times New Roman" w:hAnsiTheme="minorHAnsi" w:cstheme="minorHAnsi"/>
          <w:color w:val="auto"/>
          <w:sz w:val="22"/>
          <w:szCs w:val="22"/>
          <w:lang w:val="en-GB" w:eastAsia="en-GB"/>
        </w:rPr>
        <w:t>provided by Garvey et al</w:t>
      </w:r>
      <w:r w:rsidR="000E55C1">
        <w:rPr>
          <w:rStyle w:val="normaltextrun"/>
          <w:rFonts w:asciiTheme="minorHAnsi" w:eastAsia="Times New Roman" w:hAnsiTheme="minorHAnsi" w:cstheme="minorHAnsi"/>
          <w:color w:val="auto"/>
          <w:sz w:val="22"/>
          <w:szCs w:val="22"/>
          <w:lang w:val="en-GB" w:eastAsia="en-GB"/>
        </w:rPr>
        <w:fldChar w:fldCharType="begin" w:fldLock="1"/>
      </w:r>
      <w:r w:rsidR="000E55C1">
        <w:rPr>
          <w:rStyle w:val="normaltextrun"/>
          <w:rFonts w:asciiTheme="minorHAnsi" w:eastAsia="Times New Roman" w:hAnsiTheme="minorHAnsi" w:cstheme="minorHAnsi"/>
          <w:color w:val="auto"/>
          <w:sz w:val="22"/>
          <w:szCs w:val="22"/>
          <w:lang w:val="en-GB" w:eastAsia="en-GB"/>
        </w:rPr>
        <w:instrText>ADDIN CSL_CITATION {"citationItems":[{"id":"ITEM-1","itemData":{"DOI":"10.1016/j.jclepro.2020.125672","ISSN":"09596526","abstract":"The UK has committed to achieving net zero emissions by 2050, and the food system is increasingly recognised as a critical part of realising this scale of mitigation. Food-related emissions are ultimately driven by demand. We therefore present a scenario analysis of the mitigation potential from transformative demand-side interventions in the UK food system. We construct a hybrid physical input-output food system model, evaluating the effect on emissions of moderating calorific intake to that in the UK Government Dietary Recommendations, modal shifts in diets towards plant-derived proteins, and of reducing consumer food waste. We conclude that the UK could reduce absolute annual territorial Greenhouse Gas (GHG) emissions by 52% (from 2017 to 2050) in the most ambitious scenario, where dietary transitions are the single most effective measure with reductions of 22–44%. Demand-side mitigation is also well positioned to address the UK's consumption-based food emissions, which are approximately 52% higher than current territorial emissions emitted in the UK. Well-designed and equitable policy is required to realise the full mitigation potential of these options, and to navigate multiple structural issues including food poverty and carbon leakage. However, the current culture of acceptability around pro-environmental dietary change in the UK has arguably created greater space for policy intervention on the demand-side. Novelties of the analysis include modelling a range of demand-side options using territorial and consumption-based emissions accounting, designing scenarios of dietary change which reflect recent trends towards sustainable consumption, and proposing up-to-date policy interventions. The implications of the analysis are highly transferable to other developed nations. A demand-side mitigation approach could feasibly implement the identified emissions savings whilst working towards a more environmentally, socially and economically sustainable food system.","author":[{"dropping-particle":"","family":"Garvey","given":"Alice","non-dropping-particle":"","parse-names":false,"suffix":""},{"dropping-particle":"","family":"Norman","given":"Jonathan B.","non-dropping-particle":"","parse-names":false,"suffix":""},{"dropping-particle":"","family":"Owen","given":"Anne","non-dropping-particle":"","parse-names":false,"suffix":""},{"dropping-particle":"","family":"Barrett","given":"John","non-dropping-particle":"","parse-names":false,"suffix":""}],"container-title":"Journal of Cleaner Production","id":"ITEM-1","issued":{"date-parts":[["2021","3","25"]]},"page":"125672","publisher":"Elsevier Ltd","title":"Towards net zero nutrition: The contribution of demand-side change to mitigating UK food emissions","type":"article-journal","volume":"290"},"uris":["http://www.mendeley.com/documents/?uuid=77aceaec-ad73-4ff3-8b67-12b518956349"]}],"mendeley":{"formattedCitation":"&lt;sup&gt;21&lt;/sup&gt;","plainTextFormattedCitation":"21","previouslyFormattedCitation":"&lt;sup&gt;21&lt;/sup&gt;"},"properties":{"noteIndex":0},"schema":"https://github.com/citation-style-language/schema/raw/master/csl-citation.json"}</w:instrText>
      </w:r>
      <w:r w:rsidR="000E55C1">
        <w:rPr>
          <w:rStyle w:val="normaltextrun"/>
          <w:rFonts w:asciiTheme="minorHAnsi" w:eastAsia="Times New Roman" w:hAnsiTheme="minorHAnsi" w:cstheme="minorHAnsi"/>
          <w:color w:val="auto"/>
          <w:sz w:val="22"/>
          <w:szCs w:val="22"/>
          <w:lang w:val="en-GB" w:eastAsia="en-GB"/>
        </w:rPr>
        <w:fldChar w:fldCharType="separate"/>
      </w:r>
      <w:r w:rsidR="000E55C1" w:rsidRPr="000E55C1">
        <w:rPr>
          <w:rStyle w:val="normaltextrun"/>
          <w:rFonts w:asciiTheme="minorHAnsi" w:eastAsia="Times New Roman" w:hAnsiTheme="minorHAnsi" w:cstheme="minorHAnsi"/>
          <w:noProof/>
          <w:color w:val="auto"/>
          <w:sz w:val="22"/>
          <w:szCs w:val="22"/>
          <w:vertAlign w:val="superscript"/>
          <w:lang w:val="en-GB" w:eastAsia="en-GB"/>
        </w:rPr>
        <w:t>21</w:t>
      </w:r>
      <w:r w:rsidR="000E55C1">
        <w:rPr>
          <w:rStyle w:val="normaltextrun"/>
          <w:rFonts w:asciiTheme="minorHAnsi" w:eastAsia="Times New Roman" w:hAnsiTheme="minorHAnsi" w:cstheme="minorHAnsi"/>
          <w:color w:val="auto"/>
          <w:sz w:val="22"/>
          <w:szCs w:val="22"/>
          <w:lang w:val="en-GB" w:eastAsia="en-GB"/>
        </w:rPr>
        <w:fldChar w:fldCharType="end"/>
      </w:r>
      <w:r w:rsidR="00955BCE" w:rsidRPr="000E55C1">
        <w:rPr>
          <w:rStyle w:val="normaltextrun"/>
          <w:rFonts w:asciiTheme="minorHAnsi" w:eastAsia="Times New Roman" w:hAnsiTheme="minorHAnsi" w:cstheme="minorHAnsi"/>
          <w:color w:val="auto"/>
          <w:sz w:val="22"/>
          <w:szCs w:val="22"/>
          <w:lang w:val="en-GB" w:eastAsia="en-GB"/>
        </w:rPr>
        <w:t>.</w:t>
      </w:r>
    </w:p>
    <w:p w14:paraId="4C236B3F" w14:textId="77777777" w:rsidR="009627EA" w:rsidRPr="000E55C1" w:rsidRDefault="009627EA" w:rsidP="009627EA">
      <w:pPr>
        <w:spacing w:after="0" w:line="240" w:lineRule="auto"/>
        <w:rPr>
          <w:rStyle w:val="normaltextrun"/>
          <w:rFonts w:eastAsia="Times New Roman" w:cstheme="minorHAnsi"/>
          <w:lang w:eastAsia="en-GB"/>
        </w:rPr>
      </w:pPr>
      <w:r w:rsidRPr="000E55C1">
        <w:rPr>
          <w:rStyle w:val="normaltextrun"/>
          <w:rFonts w:eastAsia="Times New Roman" w:cstheme="minorHAnsi"/>
          <w:lang w:eastAsia="en-GB"/>
        </w:rPr>
        <w:br w:type="page"/>
      </w:r>
    </w:p>
    <w:p w14:paraId="05D62AC7" w14:textId="77777777" w:rsidR="009627EA" w:rsidRPr="000E55C1" w:rsidRDefault="009627EA" w:rsidP="009627EA">
      <w:pPr>
        <w:rPr>
          <w:rStyle w:val="normaltextrun"/>
          <w:rFonts w:eastAsia="Times New Roman" w:cstheme="minorHAnsi"/>
          <w:lang w:eastAsia="en-GB"/>
        </w:rPr>
      </w:pPr>
      <w:r w:rsidRPr="000E55C1">
        <w:rPr>
          <w:rStyle w:val="normaltextrun"/>
          <w:rFonts w:eastAsia="Times New Roman" w:cstheme="minorHAnsi"/>
          <w:lang w:eastAsia="en-GB"/>
        </w:rPr>
        <w:lastRenderedPageBreak/>
        <w:t xml:space="preserve">Key assumptions for the Shift </w:t>
      </w:r>
      <w:r w:rsidRPr="000E55C1">
        <w:rPr>
          <w:rFonts w:cstheme="minorHAnsi"/>
          <w:lang w:eastAsia="en-GB"/>
        </w:rPr>
        <w:t xml:space="preserve">demand </w:t>
      </w:r>
      <w:r w:rsidRPr="000E55C1">
        <w:rPr>
          <w:rStyle w:val="normaltextrun"/>
          <w:rFonts w:eastAsia="Times New Roman" w:cstheme="minorHAnsi"/>
          <w:lang w:eastAsia="en-GB"/>
        </w:rPr>
        <w:t>scenario include:</w:t>
      </w:r>
    </w:p>
    <w:p w14:paraId="0433D470" w14:textId="77777777" w:rsidR="009627EA" w:rsidRPr="000E55C1" w:rsidRDefault="009627EA" w:rsidP="009627EA">
      <w:pPr>
        <w:pStyle w:val="ListParagraph"/>
        <w:numPr>
          <w:ilvl w:val="0"/>
          <w:numId w:val="7"/>
        </w:numPr>
        <w:rPr>
          <w:rStyle w:val="normaltextrun"/>
          <w:rFonts w:asciiTheme="minorHAnsi" w:eastAsia="Times New Roman" w:hAnsiTheme="minorHAnsi" w:cstheme="minorHAnsi"/>
          <w:sz w:val="22"/>
          <w:szCs w:val="22"/>
          <w:lang w:val="en-GB" w:eastAsia="en-GB"/>
        </w:rPr>
      </w:pPr>
      <w:r w:rsidRPr="000E55C1">
        <w:rPr>
          <w:rStyle w:val="normaltextrun"/>
          <w:rFonts w:asciiTheme="minorHAnsi" w:eastAsia="Times New Roman" w:hAnsiTheme="minorHAnsi" w:cstheme="minorHAnsi"/>
          <w:sz w:val="22"/>
          <w:szCs w:val="22"/>
          <w:lang w:val="en-GB" w:eastAsia="en-GB"/>
        </w:rPr>
        <w:t>Calorific intake reduces from the current average of 3,154 calories for a UK adult to 2686 calories by 2050 thus improving health related issues associated with obesity.</w:t>
      </w:r>
    </w:p>
    <w:p w14:paraId="53696C62" w14:textId="77777777" w:rsidR="009627EA" w:rsidRPr="000E55C1" w:rsidRDefault="009627EA" w:rsidP="009627EA">
      <w:pPr>
        <w:pStyle w:val="ListParagraph"/>
        <w:numPr>
          <w:ilvl w:val="0"/>
          <w:numId w:val="7"/>
        </w:numPr>
        <w:rPr>
          <w:rStyle w:val="normaltextrun"/>
          <w:rFonts w:asciiTheme="minorHAnsi" w:eastAsia="Times New Roman" w:hAnsiTheme="minorHAnsi" w:cstheme="minorHAnsi"/>
          <w:sz w:val="22"/>
          <w:szCs w:val="22"/>
          <w:lang w:val="en-GB" w:eastAsia="en-GB"/>
        </w:rPr>
      </w:pPr>
      <w:r w:rsidRPr="000E55C1">
        <w:rPr>
          <w:rStyle w:val="normaltextrun"/>
          <w:rFonts w:asciiTheme="minorHAnsi" w:eastAsia="Times New Roman" w:hAnsiTheme="minorHAnsi" w:cstheme="minorHAnsi"/>
          <w:sz w:val="22"/>
          <w:szCs w:val="22"/>
          <w:lang w:val="en-GB" w:eastAsia="en-GB"/>
        </w:rPr>
        <w:t>A reduction in the number of omnivores in the UK population from 66.5% today to 17% by 2050</w:t>
      </w:r>
    </w:p>
    <w:p w14:paraId="0E6FBF13" w14:textId="486114B9" w:rsidR="009627EA" w:rsidRPr="000E55C1" w:rsidRDefault="009627EA" w:rsidP="009627EA">
      <w:pPr>
        <w:pStyle w:val="ListParagraph"/>
        <w:numPr>
          <w:ilvl w:val="0"/>
          <w:numId w:val="7"/>
        </w:numPr>
        <w:rPr>
          <w:rStyle w:val="normaltextrun"/>
          <w:rFonts w:asciiTheme="minorHAnsi" w:eastAsia="Times New Roman" w:hAnsiTheme="minorHAnsi" w:cstheme="minorHAnsi"/>
          <w:sz w:val="22"/>
          <w:szCs w:val="22"/>
          <w:lang w:val="en-GB" w:eastAsia="en-GB"/>
        </w:rPr>
      </w:pPr>
      <w:r w:rsidRPr="000E55C1">
        <w:rPr>
          <w:rStyle w:val="normaltextrun"/>
          <w:rFonts w:asciiTheme="minorHAnsi" w:eastAsia="Times New Roman" w:hAnsiTheme="minorHAnsi" w:cstheme="minorHAnsi"/>
          <w:sz w:val="22"/>
          <w:szCs w:val="22"/>
          <w:lang w:val="en-GB" w:eastAsia="en-GB"/>
        </w:rPr>
        <w:t>An increase in the number of peo</w:t>
      </w:r>
      <w:r w:rsidR="000E55C1">
        <w:rPr>
          <w:rStyle w:val="normaltextrun"/>
          <w:rFonts w:asciiTheme="minorHAnsi" w:eastAsia="Times New Roman" w:hAnsiTheme="minorHAnsi" w:cstheme="minorHAnsi"/>
          <w:sz w:val="22"/>
          <w:szCs w:val="22"/>
          <w:lang w:val="en-GB" w:eastAsia="en-GB"/>
        </w:rPr>
        <w:t>ple adopting our “healthy diet”</w:t>
      </w:r>
      <w:r w:rsidR="000E55C1">
        <w:rPr>
          <w:rStyle w:val="normaltextrun"/>
          <w:rFonts w:asciiTheme="minorHAnsi" w:eastAsia="Times New Roman" w:hAnsiTheme="minorHAnsi" w:cstheme="minorHAnsi"/>
          <w:sz w:val="22"/>
          <w:szCs w:val="22"/>
          <w:lang w:val="en-GB" w:eastAsia="en-GB"/>
        </w:rPr>
        <w:fldChar w:fldCharType="begin" w:fldLock="1"/>
      </w:r>
      <w:r w:rsidR="000E55C1">
        <w:rPr>
          <w:rStyle w:val="normaltextrun"/>
          <w:rFonts w:asciiTheme="minorHAnsi" w:eastAsia="Times New Roman" w:hAnsiTheme="minorHAnsi" w:cstheme="minorHAnsi"/>
          <w:sz w:val="22"/>
          <w:szCs w:val="22"/>
          <w:lang w:val="en-GB" w:eastAsia="en-GB"/>
        </w:rPr>
        <w:instrText>ADDIN CSL_CITATION {"citationItems":[{"id":"ITEM-1","itemData":{"DOI":"10.1016/j.jclepro.2020.125672","ISSN":"09596526","abstract":"The UK has committed to achieving net zero emissions by 2050, and the food system is increasingly recognised as a critical part of realising this scale of mitigation. Food-related emissions are ultimately driven by demand. We therefore present a scenario analysis of the mitigation potential from transformative demand-side interventions in the UK food system. We construct a hybrid physical input-output food system model, evaluating the effect on emissions of moderating calorific intake to that in the UK Government Dietary Recommendations, modal shifts in diets towards plant-derived proteins, and of reducing consumer food waste. We conclude that the UK could reduce absolute annual territorial Greenhouse Gas (GHG) emissions by 52% (from 2017 to 2050) in the most ambitious scenario, where dietary transitions are the single most effective measure with reductions of 22–44%. Demand-side mitigation is also well positioned to address the UK's consumption-based food emissions, which are approximately 52% higher than current territorial emissions emitted in the UK. Well-designed and equitable policy is required to realise the full mitigation potential of these options, and to navigate multiple structural issues including food poverty and carbon leakage. However, the current culture of acceptability around pro-environmental dietary change in the UK has arguably created greater space for policy intervention on the demand-side. Novelties of the analysis include modelling a range of demand-side options using territorial and consumption-based emissions accounting, designing scenarios of dietary change which reflect recent trends towards sustainable consumption, and proposing up-to-date policy interventions. The implications of the analysis are highly transferable to other developed nations. A demand-side mitigation approach could feasibly implement the identified emissions savings whilst working towards a more environmentally, socially and economically sustainable food system.","author":[{"dropping-particle":"","family":"Garvey","given":"Alice","non-dropping-particle":"","parse-names":false,"suffix":""},{"dropping-particle":"","family":"Norman","given":"Jonathan B.","non-dropping-particle":"","parse-names":false,"suffix":""},{"dropping-particle":"","family":"Owen","given":"Anne","non-dropping-particle":"","parse-names":false,"suffix":""},{"dropping-particle":"","family":"Barrett","given":"John","non-dropping-particle":"","parse-names":false,"suffix":""}],"container-title":"Journal of Cleaner Production","id":"ITEM-1","issued":{"date-parts":[["2021","3","25"]]},"page":"125672","publisher":"Elsevier Ltd","title":"Towards net zero nutrition: The contribution of demand-side change to mitigating UK food emissions","type":"article-journal","volume":"290"},"uris":["http://www.mendeley.com/documents/?uuid=77aceaec-ad73-4ff3-8b67-12b518956349"]}],"mendeley":{"formattedCitation":"&lt;sup&gt;21&lt;/sup&gt;","plainTextFormattedCitation":"21","previouslyFormattedCitation":"&lt;sup&gt;21&lt;/sup&gt;"},"properties":{"noteIndex":0},"schema":"https://github.com/citation-style-language/schema/raw/master/csl-citation.json"}</w:instrText>
      </w:r>
      <w:r w:rsidR="000E55C1">
        <w:rPr>
          <w:rStyle w:val="normaltextrun"/>
          <w:rFonts w:asciiTheme="minorHAnsi" w:eastAsia="Times New Roman" w:hAnsiTheme="minorHAnsi" w:cstheme="minorHAnsi"/>
          <w:sz w:val="22"/>
          <w:szCs w:val="22"/>
          <w:lang w:val="en-GB" w:eastAsia="en-GB"/>
        </w:rPr>
        <w:fldChar w:fldCharType="separate"/>
      </w:r>
      <w:r w:rsidR="000E55C1" w:rsidRPr="000E55C1">
        <w:rPr>
          <w:rStyle w:val="normaltextrun"/>
          <w:rFonts w:asciiTheme="minorHAnsi" w:eastAsia="Times New Roman" w:hAnsiTheme="minorHAnsi" w:cstheme="minorHAnsi"/>
          <w:noProof/>
          <w:sz w:val="22"/>
          <w:szCs w:val="22"/>
          <w:vertAlign w:val="superscript"/>
          <w:lang w:val="en-GB" w:eastAsia="en-GB"/>
        </w:rPr>
        <w:t>21</w:t>
      </w:r>
      <w:r w:rsidR="000E55C1">
        <w:rPr>
          <w:rStyle w:val="normaltextrun"/>
          <w:rFonts w:asciiTheme="minorHAnsi" w:eastAsia="Times New Roman" w:hAnsiTheme="minorHAnsi" w:cstheme="minorHAnsi"/>
          <w:sz w:val="22"/>
          <w:szCs w:val="22"/>
          <w:lang w:val="en-GB" w:eastAsia="en-GB"/>
        </w:rPr>
        <w:fldChar w:fldCharType="end"/>
      </w:r>
      <w:r w:rsidR="000E55C1">
        <w:rPr>
          <w:rStyle w:val="normaltextrun"/>
          <w:rFonts w:asciiTheme="minorHAnsi" w:eastAsia="Times New Roman" w:hAnsiTheme="minorHAnsi" w:cstheme="minorHAnsi"/>
          <w:sz w:val="22"/>
          <w:szCs w:val="22"/>
          <w:lang w:val="en-GB" w:eastAsia="en-GB"/>
        </w:rPr>
        <w:t xml:space="preserve"> </w:t>
      </w:r>
      <w:r w:rsidRPr="000E55C1">
        <w:rPr>
          <w:rStyle w:val="normaltextrun"/>
          <w:rFonts w:asciiTheme="minorHAnsi" w:eastAsia="Times New Roman" w:hAnsiTheme="minorHAnsi" w:cstheme="minorHAnsi"/>
          <w:sz w:val="22"/>
          <w:szCs w:val="22"/>
          <w:lang w:val="en-GB" w:eastAsia="en-GB"/>
        </w:rPr>
        <w:t>from 21% to 27% of the UK population</w:t>
      </w:r>
    </w:p>
    <w:p w14:paraId="7001FCB6" w14:textId="77777777" w:rsidR="009627EA" w:rsidRPr="000E55C1" w:rsidRDefault="009627EA" w:rsidP="009627EA">
      <w:pPr>
        <w:pStyle w:val="ListParagraph"/>
        <w:numPr>
          <w:ilvl w:val="0"/>
          <w:numId w:val="7"/>
        </w:numPr>
        <w:rPr>
          <w:rStyle w:val="normaltextrun"/>
          <w:rFonts w:asciiTheme="minorHAnsi" w:eastAsia="Times New Roman" w:hAnsiTheme="minorHAnsi" w:cstheme="minorHAnsi"/>
          <w:sz w:val="22"/>
          <w:szCs w:val="22"/>
          <w:lang w:val="en-GB" w:eastAsia="en-GB"/>
        </w:rPr>
      </w:pPr>
      <w:r w:rsidRPr="000E55C1">
        <w:rPr>
          <w:rStyle w:val="normaltextrun"/>
          <w:rFonts w:asciiTheme="minorHAnsi" w:eastAsia="Times New Roman" w:hAnsiTheme="minorHAnsi" w:cstheme="minorHAnsi"/>
          <w:sz w:val="22"/>
          <w:szCs w:val="22"/>
          <w:lang w:val="en-GB" w:eastAsia="en-GB"/>
        </w:rPr>
        <w:t>Percentage of vegetarians increases from 9.5% today to 36% by 2050</w:t>
      </w:r>
    </w:p>
    <w:p w14:paraId="1748D6E5" w14:textId="77777777" w:rsidR="009627EA" w:rsidRPr="000E55C1" w:rsidRDefault="009627EA" w:rsidP="009627EA">
      <w:pPr>
        <w:pStyle w:val="ListParagraph"/>
        <w:numPr>
          <w:ilvl w:val="0"/>
          <w:numId w:val="7"/>
        </w:numPr>
        <w:rPr>
          <w:rStyle w:val="normaltextrun"/>
          <w:rFonts w:asciiTheme="minorHAnsi" w:eastAsia="Times New Roman" w:hAnsiTheme="minorHAnsi" w:cstheme="minorHAnsi"/>
          <w:sz w:val="22"/>
          <w:szCs w:val="22"/>
          <w:lang w:val="en-GB" w:eastAsia="en-GB"/>
        </w:rPr>
      </w:pPr>
      <w:r w:rsidRPr="000E55C1">
        <w:rPr>
          <w:rStyle w:val="normaltextrun"/>
          <w:rFonts w:asciiTheme="minorHAnsi" w:eastAsia="Times New Roman" w:hAnsiTheme="minorHAnsi" w:cstheme="minorHAnsi"/>
          <w:sz w:val="22"/>
          <w:szCs w:val="22"/>
          <w:lang w:val="en-GB" w:eastAsia="en-GB"/>
        </w:rPr>
        <w:t>Percentage of the UK population adopting a plant-based diet increases from 3% to 20%</w:t>
      </w:r>
    </w:p>
    <w:p w14:paraId="6068BD92" w14:textId="77777777" w:rsidR="009627EA" w:rsidRPr="000E55C1" w:rsidRDefault="009627EA" w:rsidP="009627EA">
      <w:pPr>
        <w:pStyle w:val="ListParagraph"/>
        <w:numPr>
          <w:ilvl w:val="0"/>
          <w:numId w:val="7"/>
        </w:numPr>
        <w:rPr>
          <w:rStyle w:val="normaltextrun"/>
          <w:rFonts w:asciiTheme="minorHAnsi" w:eastAsia="Times New Roman" w:hAnsiTheme="minorHAnsi" w:cstheme="minorHAnsi"/>
          <w:sz w:val="22"/>
          <w:szCs w:val="22"/>
          <w:lang w:val="en-GB" w:eastAsia="en-GB"/>
        </w:rPr>
      </w:pPr>
      <w:r w:rsidRPr="000E55C1">
        <w:rPr>
          <w:rStyle w:val="normaltextrun"/>
          <w:rFonts w:asciiTheme="minorHAnsi" w:eastAsia="Times New Roman" w:hAnsiTheme="minorHAnsi" w:cstheme="minorHAnsi"/>
          <w:sz w:val="22"/>
          <w:szCs w:val="22"/>
          <w:lang w:val="en-GB" w:eastAsia="en-GB"/>
        </w:rPr>
        <w:t>An annual reduction in avoidable food waste of 2.5% a year up to 2050</w:t>
      </w:r>
    </w:p>
    <w:p w14:paraId="2D3D7497" w14:textId="77777777" w:rsidR="009627EA" w:rsidRPr="000E55C1" w:rsidRDefault="009627EA" w:rsidP="009627EA">
      <w:pPr>
        <w:spacing w:before="40" w:after="40"/>
        <w:rPr>
          <w:rStyle w:val="normaltextrun"/>
          <w:rFonts w:eastAsia="Times New Roman" w:cstheme="minorHAnsi"/>
          <w:lang w:eastAsia="en-GB"/>
        </w:rPr>
      </w:pPr>
      <w:r w:rsidRPr="000E55C1">
        <w:rPr>
          <w:rStyle w:val="normaltextrun"/>
          <w:rFonts w:eastAsia="Times New Roman" w:cstheme="minorHAnsi"/>
          <w:lang w:eastAsia="en-GB"/>
        </w:rPr>
        <w:t xml:space="preserve">Additional assumptions specific to the </w:t>
      </w:r>
      <w:r w:rsidRPr="000E55C1">
        <w:rPr>
          <w:rFonts w:cstheme="minorHAnsi"/>
          <w:lang w:eastAsia="en-GB"/>
        </w:rPr>
        <w:t xml:space="preserve">Transform demand </w:t>
      </w:r>
      <w:r w:rsidRPr="000E55C1">
        <w:rPr>
          <w:rStyle w:val="normaltextrun"/>
          <w:rFonts w:eastAsia="Times New Roman" w:cstheme="minorHAnsi"/>
          <w:lang w:eastAsia="en-GB"/>
        </w:rPr>
        <w:t>scenario include:</w:t>
      </w:r>
    </w:p>
    <w:p w14:paraId="29AE8392" w14:textId="77777777" w:rsidR="009627EA" w:rsidRPr="000E55C1" w:rsidRDefault="009627EA" w:rsidP="009627EA">
      <w:pPr>
        <w:pStyle w:val="ListParagraph"/>
        <w:numPr>
          <w:ilvl w:val="0"/>
          <w:numId w:val="7"/>
        </w:numPr>
        <w:rPr>
          <w:rStyle w:val="normaltextrun"/>
          <w:rFonts w:asciiTheme="minorHAnsi" w:eastAsia="Times New Roman" w:hAnsiTheme="minorHAnsi" w:cstheme="minorHAnsi"/>
          <w:sz w:val="22"/>
          <w:szCs w:val="22"/>
          <w:lang w:val="en-GB" w:eastAsia="en-GB"/>
        </w:rPr>
      </w:pPr>
      <w:r w:rsidRPr="000E55C1">
        <w:rPr>
          <w:rStyle w:val="normaltextrun"/>
          <w:rFonts w:asciiTheme="minorHAnsi" w:eastAsia="Times New Roman" w:hAnsiTheme="minorHAnsi" w:cstheme="minorHAnsi"/>
          <w:sz w:val="22"/>
          <w:szCs w:val="22"/>
          <w:lang w:val="en-GB" w:eastAsia="en-GB"/>
        </w:rPr>
        <w:t>Further reduction in calorific intake to ensure that a healthy diet is taken up by all UK adults giving an average daily calorific intake of 2,500 calories as recommend by Public Health England</w:t>
      </w:r>
    </w:p>
    <w:p w14:paraId="26FA5327" w14:textId="77777777" w:rsidR="009627EA" w:rsidRPr="000E55C1" w:rsidRDefault="009627EA" w:rsidP="009627EA">
      <w:pPr>
        <w:pStyle w:val="ListParagraph"/>
        <w:numPr>
          <w:ilvl w:val="0"/>
          <w:numId w:val="7"/>
        </w:numPr>
        <w:rPr>
          <w:rStyle w:val="normaltextrun"/>
          <w:rFonts w:asciiTheme="minorHAnsi" w:eastAsia="Times New Roman" w:hAnsiTheme="minorHAnsi" w:cstheme="minorHAnsi"/>
          <w:sz w:val="22"/>
          <w:szCs w:val="22"/>
          <w:lang w:val="en-GB" w:eastAsia="en-GB"/>
        </w:rPr>
      </w:pPr>
      <w:r w:rsidRPr="000E55C1">
        <w:rPr>
          <w:rStyle w:val="normaltextrun"/>
          <w:rFonts w:asciiTheme="minorHAnsi" w:eastAsia="Times New Roman" w:hAnsiTheme="minorHAnsi" w:cstheme="minorHAnsi"/>
          <w:sz w:val="22"/>
          <w:szCs w:val="22"/>
          <w:lang w:val="en-GB" w:eastAsia="en-GB"/>
        </w:rPr>
        <w:t>An increase in vegetarians by 2050 where they represent 42% of the UK population.</w:t>
      </w:r>
    </w:p>
    <w:p w14:paraId="6C54D436" w14:textId="77777777" w:rsidR="009627EA" w:rsidRPr="000E55C1" w:rsidRDefault="009627EA" w:rsidP="009627EA">
      <w:pPr>
        <w:pStyle w:val="ListParagraph"/>
        <w:numPr>
          <w:ilvl w:val="0"/>
          <w:numId w:val="7"/>
        </w:numPr>
        <w:rPr>
          <w:rStyle w:val="normaltextrun"/>
          <w:rFonts w:asciiTheme="minorHAnsi" w:eastAsia="Times New Roman" w:hAnsiTheme="minorHAnsi" w:cstheme="minorHAnsi"/>
          <w:sz w:val="22"/>
          <w:szCs w:val="22"/>
          <w:lang w:val="en-GB" w:eastAsia="en-GB"/>
        </w:rPr>
      </w:pPr>
      <w:r w:rsidRPr="000E55C1">
        <w:rPr>
          <w:rStyle w:val="normaltextrun"/>
          <w:rFonts w:asciiTheme="minorHAnsi" w:eastAsia="Times New Roman" w:hAnsiTheme="minorHAnsi" w:cstheme="minorHAnsi"/>
          <w:sz w:val="22"/>
          <w:szCs w:val="22"/>
          <w:lang w:val="en-GB" w:eastAsia="en-GB"/>
        </w:rPr>
        <w:t>An increase in plant-based diets by 2050 where they represent 25% of the UK population</w:t>
      </w:r>
    </w:p>
    <w:p w14:paraId="0D5DFBAE" w14:textId="77777777" w:rsidR="009627EA" w:rsidRPr="000E55C1" w:rsidRDefault="009627EA" w:rsidP="009627EA">
      <w:pPr>
        <w:pStyle w:val="ListParagraph"/>
        <w:numPr>
          <w:ilvl w:val="0"/>
          <w:numId w:val="7"/>
        </w:numPr>
        <w:rPr>
          <w:rStyle w:val="normaltextrun"/>
          <w:rFonts w:asciiTheme="minorHAnsi" w:eastAsia="Times New Roman" w:hAnsiTheme="minorHAnsi" w:cstheme="minorHAnsi"/>
          <w:sz w:val="22"/>
          <w:szCs w:val="22"/>
          <w:lang w:val="en-GB" w:eastAsia="en-GB"/>
        </w:rPr>
      </w:pPr>
      <w:r w:rsidRPr="000E55C1">
        <w:rPr>
          <w:rStyle w:val="normaltextrun"/>
          <w:rFonts w:asciiTheme="minorHAnsi" w:eastAsia="Times New Roman" w:hAnsiTheme="minorHAnsi" w:cstheme="minorHAnsi"/>
          <w:sz w:val="22"/>
          <w:szCs w:val="22"/>
          <w:lang w:val="en-GB" w:eastAsia="en-GB"/>
        </w:rPr>
        <w:t>An increase in the annual reduction of food waste to 3.33% per annum</w:t>
      </w:r>
    </w:p>
    <w:p w14:paraId="698CF097" w14:textId="77777777" w:rsidR="009627EA" w:rsidRPr="000E55C1" w:rsidRDefault="009627EA" w:rsidP="009627EA">
      <w:pPr>
        <w:rPr>
          <w:rStyle w:val="normaltextrun"/>
          <w:rFonts w:eastAsia="Times New Roman" w:cstheme="minorHAnsi"/>
          <w:lang w:eastAsia="en-GB"/>
        </w:rPr>
      </w:pPr>
      <w:r w:rsidRPr="000E55C1">
        <w:rPr>
          <w:rStyle w:val="normaltextrun"/>
          <w:rFonts w:eastAsia="Times New Roman" w:cstheme="minorHAnsi"/>
          <w:lang w:eastAsia="en-GB"/>
        </w:rPr>
        <w:t>Key drivers of these scenarios:</w:t>
      </w:r>
    </w:p>
    <w:p w14:paraId="5EF6BB67" w14:textId="77777777" w:rsidR="009627EA" w:rsidRPr="000E55C1" w:rsidRDefault="009627EA" w:rsidP="009627EA">
      <w:pPr>
        <w:pStyle w:val="ListParagraph"/>
        <w:numPr>
          <w:ilvl w:val="0"/>
          <w:numId w:val="7"/>
        </w:numPr>
        <w:rPr>
          <w:rStyle w:val="normaltextrun"/>
          <w:rFonts w:asciiTheme="minorHAnsi" w:eastAsia="Times New Roman" w:hAnsiTheme="minorHAnsi" w:cstheme="minorHAnsi"/>
          <w:sz w:val="22"/>
          <w:szCs w:val="22"/>
          <w:lang w:val="en-GB" w:eastAsia="en-GB"/>
        </w:rPr>
      </w:pPr>
      <w:r w:rsidRPr="000E55C1">
        <w:rPr>
          <w:rStyle w:val="normaltextrun"/>
          <w:rFonts w:asciiTheme="minorHAnsi" w:eastAsia="Times New Roman" w:hAnsiTheme="minorHAnsi" w:cstheme="minorHAnsi"/>
          <w:sz w:val="22"/>
          <w:szCs w:val="22"/>
          <w:lang w:val="en-GB" w:eastAsia="en-GB"/>
        </w:rPr>
        <w:t>New technologies would allow optimisation within the UK food supply chain to reduce food waste and deliver goods more efficiently. Trends towards centralised retail and distribution (i.e. warehouse retailing and home delivery, without supermarkets) could contribute to energy demand reduction in the food sector, whilst creating new business structures for food retail.</w:t>
      </w:r>
    </w:p>
    <w:p w14:paraId="3A80437F" w14:textId="77777777" w:rsidR="009627EA" w:rsidRPr="000E55C1" w:rsidRDefault="009627EA" w:rsidP="009627EA">
      <w:pPr>
        <w:pStyle w:val="ListParagraph"/>
        <w:numPr>
          <w:ilvl w:val="0"/>
          <w:numId w:val="7"/>
        </w:numPr>
        <w:rPr>
          <w:rStyle w:val="normaltextrun"/>
          <w:rFonts w:asciiTheme="minorHAnsi" w:eastAsia="Times New Roman" w:hAnsiTheme="minorHAnsi" w:cstheme="minorHAnsi"/>
          <w:sz w:val="22"/>
          <w:szCs w:val="22"/>
          <w:lang w:val="en-GB" w:eastAsia="en-GB"/>
        </w:rPr>
      </w:pPr>
      <w:r w:rsidRPr="000E55C1">
        <w:rPr>
          <w:rStyle w:val="normaltextrun"/>
          <w:rFonts w:asciiTheme="minorHAnsi" w:eastAsia="Times New Roman" w:hAnsiTheme="minorHAnsi" w:cstheme="minorHAnsi"/>
          <w:sz w:val="22"/>
          <w:szCs w:val="22"/>
          <w:lang w:val="en-GB" w:eastAsia="en-GB"/>
        </w:rPr>
        <w:t>Nutrition tracking technologies at the consumer end also have a role in moderating calorie intake and promoting healthier diets. Information provision around embodied energy/emissions in food could also stimulate behaviour change in food buying.</w:t>
      </w:r>
    </w:p>
    <w:p w14:paraId="65AA3A3F" w14:textId="77777777" w:rsidR="009627EA" w:rsidRPr="000E55C1" w:rsidRDefault="009627EA" w:rsidP="009627EA">
      <w:pPr>
        <w:pStyle w:val="ListParagraph"/>
        <w:numPr>
          <w:ilvl w:val="0"/>
          <w:numId w:val="7"/>
        </w:numPr>
        <w:rPr>
          <w:rStyle w:val="normaltextrun"/>
          <w:rFonts w:asciiTheme="minorHAnsi" w:eastAsia="Times New Roman" w:hAnsiTheme="minorHAnsi" w:cstheme="minorHAnsi"/>
          <w:sz w:val="22"/>
          <w:szCs w:val="22"/>
          <w:lang w:val="en-GB" w:eastAsia="en-GB"/>
        </w:rPr>
      </w:pPr>
      <w:r w:rsidRPr="000E55C1">
        <w:rPr>
          <w:rStyle w:val="normaltextrun"/>
          <w:rFonts w:asciiTheme="minorHAnsi" w:eastAsia="Times New Roman" w:hAnsiTheme="minorHAnsi" w:cstheme="minorHAnsi"/>
          <w:sz w:val="22"/>
          <w:szCs w:val="22"/>
          <w:lang w:val="en-GB" w:eastAsia="en-GB"/>
        </w:rPr>
        <w:t>Apps and other IT-enabled services currently allow redistribution of excess food, reducing food waste.</w:t>
      </w:r>
    </w:p>
    <w:p w14:paraId="4E897E4B" w14:textId="77777777" w:rsidR="009627EA" w:rsidRPr="000E55C1" w:rsidRDefault="009627EA" w:rsidP="009627EA">
      <w:pPr>
        <w:pStyle w:val="ListParagraph"/>
        <w:numPr>
          <w:ilvl w:val="0"/>
          <w:numId w:val="7"/>
        </w:numPr>
        <w:rPr>
          <w:rStyle w:val="normaltextrun"/>
          <w:rFonts w:asciiTheme="minorHAnsi" w:eastAsia="Times New Roman" w:hAnsiTheme="minorHAnsi" w:cstheme="minorHAnsi"/>
          <w:sz w:val="22"/>
          <w:szCs w:val="22"/>
          <w:lang w:val="en-GB" w:eastAsia="en-GB"/>
        </w:rPr>
      </w:pPr>
      <w:r w:rsidRPr="000E55C1">
        <w:rPr>
          <w:rStyle w:val="normaltextrun"/>
          <w:rFonts w:asciiTheme="minorHAnsi" w:eastAsia="Times New Roman" w:hAnsiTheme="minorHAnsi" w:cstheme="minorHAnsi"/>
          <w:sz w:val="22"/>
          <w:szCs w:val="22"/>
          <w:lang w:val="en-GB" w:eastAsia="en-GB"/>
        </w:rPr>
        <w:t>Greater demand for plant-based goods and vegetable proteins would create a market space and potential lower price for such products</w:t>
      </w:r>
    </w:p>
    <w:p w14:paraId="0BBEE34F" w14:textId="77777777" w:rsidR="009627EA" w:rsidRPr="000E55C1" w:rsidRDefault="009627EA" w:rsidP="009627EA">
      <w:pPr>
        <w:pStyle w:val="ListParagraph"/>
        <w:numPr>
          <w:ilvl w:val="0"/>
          <w:numId w:val="7"/>
        </w:numPr>
        <w:spacing w:after="0" w:line="240" w:lineRule="auto"/>
        <w:rPr>
          <w:rStyle w:val="normaltextrun"/>
          <w:rFonts w:asciiTheme="minorHAnsi" w:eastAsia="Times New Roman" w:hAnsiTheme="minorHAnsi" w:cstheme="minorHAnsi"/>
          <w:sz w:val="22"/>
          <w:szCs w:val="22"/>
          <w:lang w:val="en-GB" w:eastAsia="en-GB"/>
        </w:rPr>
      </w:pPr>
      <w:r w:rsidRPr="000E55C1">
        <w:rPr>
          <w:rStyle w:val="normaltextrun"/>
          <w:rFonts w:asciiTheme="minorHAnsi" w:eastAsia="Times New Roman" w:hAnsiTheme="minorHAnsi" w:cstheme="minorHAnsi"/>
          <w:sz w:val="22"/>
          <w:szCs w:val="22"/>
          <w:lang w:val="en-GB" w:eastAsia="en-GB"/>
        </w:rPr>
        <w:br w:type="page"/>
      </w:r>
    </w:p>
    <w:p w14:paraId="3522FBEE" w14:textId="22470E98" w:rsidR="009627EA" w:rsidRPr="000E55C1" w:rsidRDefault="000E55C1" w:rsidP="009627EA">
      <w:pPr>
        <w:pStyle w:val="Heading3"/>
        <w:rPr>
          <w:rStyle w:val="normaltextrun"/>
          <w:rFonts w:asciiTheme="minorHAnsi" w:hAnsiTheme="minorHAnsi" w:cstheme="minorHAnsi"/>
          <w:b/>
          <w:bCs/>
          <w:sz w:val="22"/>
          <w:szCs w:val="22"/>
          <w:lang w:eastAsia="en-GB"/>
        </w:rPr>
      </w:pPr>
      <w:bookmarkStart w:id="18" w:name="_Toc77587882"/>
      <w:r>
        <w:rPr>
          <w:rFonts w:asciiTheme="minorHAnsi" w:hAnsiTheme="minorHAnsi" w:cstheme="minorHAnsi"/>
        </w:rPr>
        <w:lastRenderedPageBreak/>
        <w:t>4</w:t>
      </w:r>
      <w:r w:rsidR="00955BCE" w:rsidRPr="000E55C1">
        <w:rPr>
          <w:rFonts w:asciiTheme="minorHAnsi" w:hAnsiTheme="minorHAnsi" w:cstheme="minorHAnsi"/>
        </w:rPr>
        <w:t>.5</w:t>
      </w:r>
      <w:r w:rsidR="009627EA" w:rsidRPr="000E55C1">
        <w:rPr>
          <w:rFonts w:asciiTheme="minorHAnsi" w:hAnsiTheme="minorHAnsi" w:cstheme="minorHAnsi"/>
        </w:rPr>
        <w:t xml:space="preserve"> Heat in Domestic Buildings</w:t>
      </w:r>
      <w:bookmarkEnd w:id="18"/>
    </w:p>
    <w:p w14:paraId="1A27B613" w14:textId="4248E61B" w:rsidR="009627EA" w:rsidRPr="000E55C1" w:rsidRDefault="009627EA" w:rsidP="009627EA">
      <w:pPr>
        <w:rPr>
          <w:rStyle w:val="normaltextrun"/>
          <w:rFonts w:eastAsia="Times New Roman" w:cstheme="minorHAnsi"/>
          <w:lang w:eastAsia="en-GB"/>
        </w:rPr>
      </w:pPr>
      <w:r w:rsidRPr="000E55C1">
        <w:rPr>
          <w:rStyle w:val="normaltextrun"/>
          <w:rFonts w:eastAsia="Times New Roman" w:cstheme="minorHAnsi"/>
          <w:lang w:eastAsia="en-GB"/>
        </w:rPr>
        <w:t xml:space="preserve">Residential buildings in the UK rely predominantly on heat produced from burning natural gas in boiler-based systems that are popular because they are well-known, considered responsive, reliable quiet and relatively cheap. As a result, in 2019, this sector was responsible for 69.2 Mt of direct carbon dioxide emissions </w:t>
      </w:r>
      <w:r w:rsidRPr="000E55C1">
        <w:rPr>
          <w:rStyle w:val="normaltextrun"/>
          <w:rFonts w:eastAsia="Times New Roman" w:cstheme="minorHAnsi"/>
          <w:lang w:eastAsia="en-GB"/>
        </w:rPr>
        <w:fldChar w:fldCharType="begin" w:fldLock="1"/>
      </w:r>
      <w:r w:rsidR="00660864" w:rsidRPr="000E55C1">
        <w:rPr>
          <w:rStyle w:val="normaltextrun"/>
          <w:rFonts w:eastAsia="Times New Roman" w:cstheme="minorHAnsi"/>
          <w:lang w:eastAsia="en-GB"/>
        </w:rPr>
        <w:instrText>ADDIN CSL_CITATION {"citationItems":[{"id":"ITEM-1","itemData":{"author":[{"dropping-particle":"","family":"BEIS","given":"","non-dropping-particle":"","parse-names":false,"suffix":""}],"id":"ITEM-1","issued":{"date-parts":[["2020"]]},"publisher-place":"London","title":"DIGEST OF UNITED KINGDOM ENERGY STATISTICS 2020","type":"report"},"uris":["http://www.mendeley.com/documents/?uuid=8736d444-3593-3353-9279-f475a0ea291a"]}],"mendeley":{"formattedCitation":"&lt;sup&gt;77&lt;/sup&gt;","plainTextFormattedCitation":"77","previouslyFormattedCitation":"&lt;sup&gt;77&lt;/sup&gt;"},"properties":{"noteIndex":0},"schema":"https://github.com/citation-style-language/schema/raw/master/csl-citation.json"}</w:instrText>
      </w:r>
      <w:r w:rsidRPr="000E55C1">
        <w:rPr>
          <w:rStyle w:val="normaltextrun"/>
          <w:rFonts w:eastAsia="Times New Roman" w:cstheme="minorHAnsi"/>
          <w:vertAlign w:val="superscript"/>
          <w:lang w:eastAsia="en-GB"/>
        </w:rPr>
        <w:fldChar w:fldCharType="separate"/>
      </w:r>
      <w:r w:rsidR="00660864" w:rsidRPr="000E55C1">
        <w:rPr>
          <w:rStyle w:val="normaltextrun"/>
          <w:rFonts w:eastAsia="Times New Roman" w:cstheme="minorHAnsi"/>
          <w:noProof/>
          <w:vertAlign w:val="superscript"/>
          <w:lang w:eastAsia="en-GB"/>
        </w:rPr>
        <w:t>77</w:t>
      </w:r>
      <w:r w:rsidRPr="000E55C1">
        <w:rPr>
          <w:rStyle w:val="normaltextrun"/>
          <w:rFonts w:eastAsia="Times New Roman" w:cstheme="minorHAnsi"/>
          <w:lang w:eastAsia="en-GB"/>
        </w:rPr>
        <w:fldChar w:fldCharType="end"/>
      </w:r>
      <w:r w:rsidRPr="000E55C1">
        <w:rPr>
          <w:rStyle w:val="normaltextrun"/>
          <w:rFonts w:eastAsia="Times New Roman" w:cstheme="minorHAnsi"/>
          <w:lang w:eastAsia="en-GB"/>
        </w:rPr>
        <w:t>. This represented 15.2% of total national GHG emissions in that year, a share which has been increasing steadily since the 1990s – a relative increase due largely to the faster rates of decarbonisation seen in the power and industrial sectors as compared to residential buildings.</w:t>
      </w:r>
    </w:p>
    <w:p w14:paraId="0080BDDD" w14:textId="7609CDA2" w:rsidR="009627EA" w:rsidRPr="000E55C1" w:rsidRDefault="009627EA" w:rsidP="009627EA">
      <w:pPr>
        <w:rPr>
          <w:rStyle w:val="normaltextrun"/>
          <w:rFonts w:eastAsia="Times New Roman" w:cstheme="minorHAnsi"/>
          <w:lang w:eastAsia="en-GB"/>
        </w:rPr>
      </w:pPr>
      <w:r w:rsidRPr="000E55C1">
        <w:rPr>
          <w:rStyle w:val="normaltextrun"/>
          <w:rFonts w:eastAsia="Times New Roman" w:cstheme="minorHAnsi"/>
          <w:lang w:eastAsia="en-GB"/>
        </w:rPr>
        <w:t xml:space="preserve">In parallel, the relatively poor thermal state of the housing stock in the UK has been the focus of frequent commentary with some stating that the country houses some of the worst performing buildings in Europe in efficiency terms </w:t>
      </w:r>
      <w:r w:rsidRPr="000E55C1">
        <w:rPr>
          <w:rStyle w:val="normaltextrun"/>
          <w:rFonts w:eastAsia="Times New Roman" w:cstheme="minorHAnsi"/>
          <w:lang w:eastAsia="en-GB"/>
        </w:rPr>
        <w:fldChar w:fldCharType="begin" w:fldLock="1"/>
      </w:r>
      <w:r w:rsidR="00660864" w:rsidRPr="000E55C1">
        <w:rPr>
          <w:rStyle w:val="normaltextrun"/>
          <w:rFonts w:eastAsia="Times New Roman" w:cstheme="minorHAnsi"/>
          <w:lang w:eastAsia="en-GB"/>
        </w:rPr>
        <w:instrText>ADDIN CSL_CITATION {"citationItems":[{"id":"ITEM-1","itemData":{"author":[{"dropping-particle":"","family":"Maclean","given":"Keith","non-dropping-particle":"","parse-names":false,"suffix":""},{"dropping-particle":"","family":"Sansom","given":"Robert","non-dropping-particle":"","parse-names":false,"suffix":""},{"dropping-particle":"","family":"Watson","given":"Tom","non-dropping-particle":"","parse-names":false,"suffix":""},{"dropping-particle":"","family":"Gross","given":"Rob","non-dropping-particle":"","parse-names":false,"suffix":""}],"id":"ITEM-1","issued":{"date-parts":[["2016"]]},"number-of-pages":"1- 62","title":"Managing Heat System Decarbonisation: Comparing the impacts and costs of transitions in heat infrastructure Final Report Acknowledgment","type":"report"},"uris":["http://www.mendeley.com/documents/?uuid=cbf1eb34-2af4-337f-b4ce-023d0aa93513"]}],"mendeley":{"formattedCitation":"&lt;sup&gt;78&lt;/sup&gt;","plainTextFormattedCitation":"78","previouslyFormattedCitation":"&lt;sup&gt;78&lt;/sup&gt;"},"properties":{"noteIndex":0},"schema":"https://github.com/citation-style-language/schema/raw/master/csl-citation.json"}</w:instrText>
      </w:r>
      <w:r w:rsidRPr="000E55C1">
        <w:rPr>
          <w:rStyle w:val="normaltextrun"/>
          <w:rFonts w:eastAsia="Times New Roman" w:cstheme="minorHAnsi"/>
          <w:vertAlign w:val="superscript"/>
          <w:lang w:eastAsia="en-GB"/>
        </w:rPr>
        <w:fldChar w:fldCharType="separate"/>
      </w:r>
      <w:r w:rsidR="00660864" w:rsidRPr="000E55C1">
        <w:rPr>
          <w:rStyle w:val="normaltextrun"/>
          <w:rFonts w:eastAsia="Times New Roman" w:cstheme="minorHAnsi"/>
          <w:noProof/>
          <w:vertAlign w:val="superscript"/>
          <w:lang w:eastAsia="en-GB"/>
        </w:rPr>
        <w:t>78</w:t>
      </w:r>
      <w:r w:rsidRPr="000E55C1">
        <w:rPr>
          <w:rStyle w:val="normaltextrun"/>
          <w:rFonts w:eastAsia="Times New Roman" w:cstheme="minorHAnsi"/>
          <w:lang w:eastAsia="en-GB"/>
        </w:rPr>
        <w:fldChar w:fldCharType="end"/>
      </w:r>
      <w:r w:rsidRPr="000E55C1">
        <w:rPr>
          <w:rStyle w:val="normaltextrun"/>
          <w:rFonts w:eastAsia="Times New Roman" w:cstheme="minorHAnsi"/>
          <w:lang w:eastAsia="en-GB"/>
        </w:rPr>
        <w:t>. As a result, 84% of all the energy used in the residential sector goes to producing space and water heat, a share which has only decreased by two percent points since 1990 in part because the level and volume of homes heated has increased. Three quarters of this energy is used for space heating alone.</w:t>
      </w:r>
    </w:p>
    <w:p w14:paraId="66007B49" w14:textId="57E384B8" w:rsidR="009627EA" w:rsidRPr="000E55C1" w:rsidRDefault="009627EA" w:rsidP="009627EA">
      <w:pPr>
        <w:rPr>
          <w:rStyle w:val="normaltextrun"/>
          <w:rFonts w:eastAsia="Times New Roman" w:cstheme="minorHAnsi"/>
          <w:lang w:eastAsia="en-GB"/>
        </w:rPr>
      </w:pPr>
      <w:r w:rsidRPr="000E55C1">
        <w:rPr>
          <w:rStyle w:val="normaltextrun"/>
          <w:rFonts w:eastAsia="Times New Roman" w:cstheme="minorHAnsi"/>
          <w:lang w:eastAsia="en-GB"/>
        </w:rPr>
        <w:t xml:space="preserve">Reducing energy use in this sector has been the focus of national policy since 1970.  Successful strategies have included regulating the use of efficient boilers and windows as well as new buildings, incentivising cavity and roof insulation, and efficient appliances (particularly lighting) plus rolling out supplier obligations to reduce the carbon content of services delivered, particularly to vulnerable households. While these have incentivised energy efficiency, the rate has not always kept pace with increased demand for domestic energy services in part because this sector has been particularly impacted by stop-start policies which have demotivated the domestic energy efficiency refurbishment sector and not encouraged economies of scale. A recent report by the UK Energy Research Centre (UKERC) put this in starker terms noting that the UK needed to upgrade around 19 thousand homes per week, compared to 3.8 thousand seen in 2018/19; at current rates, this report suggests that the target, set out by the CCC, would take more than 700 years to reach. </w:t>
      </w:r>
      <w:r w:rsidRPr="000E55C1">
        <w:rPr>
          <w:rStyle w:val="normaltextrun"/>
          <w:rFonts w:eastAsia="Times New Roman" w:cstheme="minorHAnsi"/>
          <w:lang w:eastAsia="en-GB"/>
        </w:rPr>
        <w:fldChar w:fldCharType="begin" w:fldLock="1"/>
      </w:r>
      <w:r w:rsidR="00660864" w:rsidRPr="000E55C1">
        <w:rPr>
          <w:rStyle w:val="normaltextrun"/>
          <w:rFonts w:eastAsia="Times New Roman" w:cstheme="minorHAnsi"/>
          <w:lang w:eastAsia="en-GB"/>
        </w:rPr>
        <w:instrText>ADDIN CSL_CITATION {"citationItems":[{"id":"ITEM-1","itemData":{"DOI":"10.5286/ukerc.edc.000941","abstract":"• Current progress on heat decarbonisation is not commensurate with the rate of change required for net zero by 2050. • A combination of energy efficiency, heat pumps and district heating is the least-cost technology pathway for heat decarbonisation in the next 10 years. • The scale and speed of the transition means that decarbonisation progress for areas currently on the gas grid will be required before more about hydrogen is known. • The electricity system impacts of heat electrification can be reduced by smart operation of heating systems in well-insulated buildings.","author":[{"dropping-particle":"","family":"Rosenow","given":"Jan","non-dropping-particle":"","parse-names":false,"suffix":""},{"dropping-particle":"","family":"Lowes","given":"Richard","non-dropping-particle":"","parse-names":false,"suffix":""},{"dropping-particle":"","family":"Broad","given":"Oliver","non-dropping-particle":"","parse-names":false,"suffix":""},{"dropping-particle":"","family":"Hawker","given":"Graeme","non-dropping-particle":"","parse-names":false,"suffix":""},{"dropping-particle":"","family":"Wu","given":"Jianzhong","non-dropping-particle":"","parse-names":false,"suffix":""},{"dropping-particle":"","family":"Qadrdan","given":"Meysam","non-dropping-particle":"","parse-names":false,"suffix":""},{"dropping-particle":"","family":"Gross","given":"Robert","non-dropping-particle":"","parse-names":false,"suffix":""}],"container-title":"A UKERC policy brief ","id":"ITEM-1","issued":{"date-parts":[["2019"]]},"page":"1-11","title":"The pathway to net zero heating in the UK","type":"article-journal"},"uris":["http://www.mendeley.com/documents/?uuid=d711ff8e-c700-3497-bf9d-6d8aeb77708f"]}],"mendeley":{"formattedCitation":"&lt;sup&gt;79&lt;/sup&gt;","plainTextFormattedCitation":"79","previouslyFormattedCitation":"&lt;sup&gt;79&lt;/sup&gt;"},"properties":{"noteIndex":0},"schema":"https://github.com/citation-style-language/schema/raw/master/csl-citation.json"}</w:instrText>
      </w:r>
      <w:r w:rsidRPr="000E55C1">
        <w:rPr>
          <w:rStyle w:val="normaltextrun"/>
          <w:rFonts w:eastAsia="Times New Roman" w:cstheme="minorHAnsi"/>
          <w:vertAlign w:val="superscript"/>
          <w:lang w:eastAsia="en-GB"/>
        </w:rPr>
        <w:fldChar w:fldCharType="separate"/>
      </w:r>
      <w:r w:rsidR="00660864" w:rsidRPr="000E55C1">
        <w:rPr>
          <w:rStyle w:val="normaltextrun"/>
          <w:rFonts w:eastAsia="Times New Roman" w:cstheme="minorHAnsi"/>
          <w:noProof/>
          <w:vertAlign w:val="superscript"/>
          <w:lang w:eastAsia="en-GB"/>
        </w:rPr>
        <w:t>79</w:t>
      </w:r>
      <w:r w:rsidRPr="000E55C1">
        <w:rPr>
          <w:rStyle w:val="normaltextrun"/>
          <w:rFonts w:eastAsia="Times New Roman" w:cstheme="minorHAnsi"/>
          <w:lang w:eastAsia="en-GB"/>
        </w:rPr>
        <w:fldChar w:fldCharType="end"/>
      </w:r>
      <w:r w:rsidRPr="000E55C1">
        <w:rPr>
          <w:rStyle w:val="normaltextrun"/>
          <w:rFonts w:eastAsia="Times New Roman" w:cstheme="minorHAnsi"/>
          <w:lang w:eastAsia="en-GB"/>
        </w:rPr>
        <w:t>. The UK government has set a goal of installing 600,000 heat pumps per annum by 2028 from the current base of 30,000</w:t>
      </w:r>
      <w:r w:rsidR="000E55C1">
        <w:rPr>
          <w:rStyle w:val="normaltextrun"/>
          <w:rFonts w:eastAsia="Times New Roman" w:cstheme="minorHAnsi"/>
          <w:lang w:eastAsia="en-GB"/>
        </w:rPr>
        <w:fldChar w:fldCharType="begin" w:fldLock="1"/>
      </w:r>
      <w:r w:rsidR="00270777">
        <w:rPr>
          <w:rStyle w:val="normaltextrun"/>
          <w:rFonts w:eastAsia="Times New Roman" w:cstheme="minorHAnsi"/>
          <w:lang w:eastAsia="en-GB"/>
        </w:rPr>
        <w:instrText>ADDIN CSL_CITATION {"citationItems":[{"id":"ITEM-1","itemData":{"ISBN":"9781528629386","author":[{"dropping-particle":"","family":"HM Government","given":"","non-dropping-particle":"","parse-names":false,"suffix":""}],"id":"ITEM-1","issued":{"date-parts":[["2021"]]},"number-of-pages":"1-367","publisher-place":"London","title":"Net Zero Strategy: Build Back Greener - October 2021","type":"report"},"uris":["http://www.mendeley.com/documents/?uuid=7123053f-5b02-3edc-a7e3-ab61ccd7dc9c"]}],"mendeley":{"formattedCitation":"&lt;sup&gt;80&lt;/sup&gt;","plainTextFormattedCitation":"80","previouslyFormattedCitation":"&lt;sup&gt;80&lt;/sup&gt;"},"properties":{"noteIndex":0},"schema":"https://github.com/citation-style-language/schema/raw/master/csl-citation.json"}</w:instrText>
      </w:r>
      <w:r w:rsidR="000E55C1">
        <w:rPr>
          <w:rStyle w:val="normaltextrun"/>
          <w:rFonts w:eastAsia="Times New Roman" w:cstheme="minorHAnsi"/>
          <w:lang w:eastAsia="en-GB"/>
        </w:rPr>
        <w:fldChar w:fldCharType="separate"/>
      </w:r>
      <w:r w:rsidR="000E55C1" w:rsidRPr="000E55C1">
        <w:rPr>
          <w:rStyle w:val="normaltextrun"/>
          <w:rFonts w:eastAsia="Times New Roman" w:cstheme="minorHAnsi"/>
          <w:noProof/>
          <w:vertAlign w:val="superscript"/>
          <w:lang w:eastAsia="en-GB"/>
        </w:rPr>
        <w:t>80</w:t>
      </w:r>
      <w:r w:rsidR="000E55C1">
        <w:rPr>
          <w:rStyle w:val="normaltextrun"/>
          <w:rFonts w:eastAsia="Times New Roman" w:cstheme="minorHAnsi"/>
          <w:lang w:eastAsia="en-GB"/>
        </w:rPr>
        <w:fldChar w:fldCharType="end"/>
      </w:r>
      <w:r w:rsidRPr="000E55C1">
        <w:rPr>
          <w:rStyle w:val="normaltextrun"/>
          <w:rFonts w:eastAsia="Times New Roman" w:cstheme="minorHAnsi"/>
          <w:lang w:eastAsia="en-GB"/>
        </w:rPr>
        <w:t>. However, the policy instruments to deliver this have yet to be defined.</w:t>
      </w:r>
    </w:p>
    <w:p w14:paraId="3B867B9C" w14:textId="77777777" w:rsidR="009627EA" w:rsidRPr="000E55C1" w:rsidRDefault="009627EA" w:rsidP="009627EA">
      <w:pPr>
        <w:rPr>
          <w:rStyle w:val="normaltextrun"/>
          <w:rFonts w:eastAsia="Corbel" w:cstheme="minorHAnsi"/>
          <w:lang w:eastAsia="en-GB"/>
        </w:rPr>
      </w:pPr>
      <w:r w:rsidRPr="000E55C1">
        <w:rPr>
          <w:rStyle w:val="normaltextrun"/>
          <w:rFonts w:eastAsia="Corbel" w:cstheme="minorHAnsi"/>
          <w:lang w:eastAsia="en-GB"/>
        </w:rPr>
        <w:t>To include the residential sector, the LED scenarios use the UK National Household Model (NHM) to develop a detailed analysis of how the current and future housing stock can develop and what they can achieve. The NHM was developed and is currently still run by the Department for Business, Energy and Industrial Strategy (BEIS) and is an open- source housing stock model that simulates the energy performance of buildings under different sets of technical and building use assumptions.</w:t>
      </w:r>
    </w:p>
    <w:p w14:paraId="3140D7AE" w14:textId="77777777" w:rsidR="009627EA" w:rsidRPr="000E55C1" w:rsidRDefault="009627EA" w:rsidP="009627EA">
      <w:pPr>
        <w:rPr>
          <w:rStyle w:val="normaltextrun"/>
          <w:rFonts w:eastAsia="Corbel" w:cstheme="minorHAnsi"/>
          <w:lang w:eastAsia="en-GB"/>
        </w:rPr>
      </w:pPr>
      <w:r w:rsidRPr="000E55C1">
        <w:rPr>
          <w:rStyle w:val="normaltextrun"/>
          <w:rFonts w:eastAsia="Corbel" w:cstheme="minorHAnsi"/>
          <w:color w:val="000000" w:themeColor="text1"/>
          <w:lang w:eastAsia="en-GB"/>
        </w:rPr>
        <w:t>The measures included in each of the LED scenarios explore incremental levels of technical ambition applied across the housing stock. They look at faster, deeper, and more widespread roll-out of building fabric retrofits; consider more ambitious heat pump, hybrid heat, and solar hot water programmes; and assume different requirement levels for new build housing apply as energy and infrastructure use in other sectors change.</w:t>
      </w:r>
    </w:p>
    <w:p w14:paraId="1F9EF70B" w14:textId="77777777" w:rsidR="009627EA" w:rsidRPr="000E55C1" w:rsidRDefault="009627EA" w:rsidP="009627EA">
      <w:pPr>
        <w:rPr>
          <w:rStyle w:val="normaltextrun"/>
          <w:rFonts w:eastAsia="Corbel" w:cstheme="minorHAnsi"/>
          <w:color w:val="000000" w:themeColor="text1"/>
          <w:lang w:eastAsia="en-GB"/>
        </w:rPr>
      </w:pPr>
      <w:r w:rsidRPr="000E55C1">
        <w:rPr>
          <w:rStyle w:val="normaltextrun"/>
          <w:rFonts w:eastAsia="Corbel" w:cstheme="minorHAnsi"/>
          <w:color w:val="000000" w:themeColor="text1"/>
          <w:lang w:eastAsia="en-GB"/>
        </w:rPr>
        <w:t>By simulating these changes the NHM derives energy requirements across the building stock for space heating and hot water. These are aggregated to into building categories that fit the descriptions used in the whole systems model. Their change over time then form the basis for the annual growth rates that define the change in energy demand that the whole energy system model sees.</w:t>
      </w:r>
    </w:p>
    <w:p w14:paraId="307829C1" w14:textId="53451AF4" w:rsidR="009627EA" w:rsidRPr="000E55C1" w:rsidRDefault="009627EA" w:rsidP="009627EA">
      <w:pPr>
        <w:rPr>
          <w:rStyle w:val="normaltextrun"/>
          <w:rFonts w:eastAsia="Times New Roman" w:cstheme="minorHAnsi"/>
          <w:lang w:eastAsia="en-GB"/>
        </w:rPr>
      </w:pPr>
      <w:r w:rsidRPr="000E55C1">
        <w:rPr>
          <w:rStyle w:val="normaltextrun"/>
          <w:rFonts w:eastAsia="Times New Roman" w:cstheme="minorHAnsi"/>
          <w:lang w:eastAsia="en-GB"/>
        </w:rPr>
        <w:t>Key assumptions include</w:t>
      </w:r>
      <w:r w:rsidR="000E55C1">
        <w:rPr>
          <w:rStyle w:val="normaltextrun"/>
          <w:rFonts w:eastAsia="Times New Roman" w:cstheme="minorHAnsi"/>
          <w:lang w:eastAsia="en-GB"/>
        </w:rPr>
        <w:t>:</w:t>
      </w:r>
    </w:p>
    <w:p w14:paraId="0CE692E7" w14:textId="77777777" w:rsidR="009627EA" w:rsidRPr="000E55C1" w:rsidRDefault="009627EA" w:rsidP="009627EA">
      <w:pPr>
        <w:pStyle w:val="ListParagraph"/>
        <w:numPr>
          <w:ilvl w:val="0"/>
          <w:numId w:val="5"/>
        </w:numPr>
        <w:spacing w:after="0"/>
        <w:rPr>
          <w:rStyle w:val="normaltextrun"/>
          <w:rFonts w:asciiTheme="minorHAnsi" w:eastAsia="Corbel" w:hAnsiTheme="minorHAnsi" w:cstheme="minorHAnsi"/>
          <w:color w:val="000000" w:themeColor="text1"/>
          <w:sz w:val="22"/>
          <w:szCs w:val="22"/>
          <w:lang w:val="en-GB" w:eastAsia="en-GB"/>
        </w:rPr>
      </w:pPr>
      <w:r w:rsidRPr="000E55C1">
        <w:rPr>
          <w:rStyle w:val="normaltextrun"/>
          <w:rFonts w:asciiTheme="minorHAnsi" w:eastAsia="Times New Roman" w:hAnsiTheme="minorHAnsi" w:cstheme="minorHAnsi"/>
          <w:color w:val="000000" w:themeColor="text1"/>
          <w:sz w:val="22"/>
          <w:szCs w:val="22"/>
          <w:lang w:val="en-GB" w:eastAsia="en-GB"/>
        </w:rPr>
        <w:lastRenderedPageBreak/>
        <w:t xml:space="preserve">Fabric efficiency sees accelerated roll-out of building retrofits for existing stock reaching 250 k and 1 m measures per year in the HA and QL cases respectively. </w:t>
      </w:r>
    </w:p>
    <w:p w14:paraId="049E6DD4" w14:textId="77777777" w:rsidR="009627EA" w:rsidRPr="000E55C1" w:rsidRDefault="009627EA" w:rsidP="009627EA">
      <w:pPr>
        <w:pStyle w:val="ListParagraph"/>
        <w:numPr>
          <w:ilvl w:val="0"/>
          <w:numId w:val="5"/>
        </w:numPr>
        <w:spacing w:after="0"/>
        <w:rPr>
          <w:rStyle w:val="normaltextrun"/>
          <w:rFonts w:asciiTheme="minorHAnsi" w:eastAsia="Corbel" w:hAnsiTheme="minorHAnsi" w:cstheme="minorHAnsi"/>
          <w:color w:val="000000" w:themeColor="text1"/>
          <w:sz w:val="22"/>
          <w:szCs w:val="22"/>
          <w:lang w:val="en-GB" w:eastAsia="en-GB"/>
        </w:rPr>
      </w:pPr>
      <w:r w:rsidRPr="000E55C1">
        <w:rPr>
          <w:rStyle w:val="normaltextrun"/>
          <w:rFonts w:asciiTheme="minorHAnsi" w:eastAsia="Times New Roman" w:hAnsiTheme="minorHAnsi" w:cstheme="minorHAnsi"/>
          <w:color w:val="000000" w:themeColor="text1"/>
          <w:sz w:val="22"/>
          <w:szCs w:val="22"/>
          <w:lang w:val="en-GB" w:eastAsia="en-GB"/>
        </w:rPr>
        <w:t>These changes are combined with increasing numbers of clean and highly efficient air and ground-source heat pumps. Hybrid systems forgo natural gas and rely instead on cleaner hydrogen or syngas. G</w:t>
      </w:r>
      <w:r w:rsidRPr="000E55C1">
        <w:rPr>
          <w:rStyle w:val="normaltextrun"/>
          <w:rFonts w:asciiTheme="minorHAnsi" w:hAnsiTheme="minorHAnsi" w:cstheme="minorHAnsi"/>
          <w:color w:val="000000" w:themeColor="text1"/>
          <w:sz w:val="22"/>
          <w:szCs w:val="22"/>
          <w:lang w:val="en-GB" w:eastAsia="en-GB"/>
        </w:rPr>
        <w:t>as boilers are phased out of existing buildings and excluded from new dwellings.</w:t>
      </w:r>
    </w:p>
    <w:p w14:paraId="4CE8238C" w14:textId="77777777" w:rsidR="009627EA" w:rsidRPr="000E55C1" w:rsidRDefault="009627EA" w:rsidP="009627EA">
      <w:pPr>
        <w:pStyle w:val="ListParagraph"/>
        <w:numPr>
          <w:ilvl w:val="0"/>
          <w:numId w:val="5"/>
        </w:numPr>
        <w:spacing w:after="0"/>
        <w:rPr>
          <w:rStyle w:val="normaltextrun"/>
          <w:rFonts w:asciiTheme="minorHAnsi" w:hAnsiTheme="minorHAnsi" w:cstheme="minorHAnsi"/>
          <w:color w:val="000000" w:themeColor="text1"/>
          <w:sz w:val="22"/>
          <w:szCs w:val="22"/>
          <w:lang w:val="en-GB" w:eastAsia="en-GB"/>
        </w:rPr>
      </w:pPr>
      <w:r w:rsidRPr="000E55C1">
        <w:rPr>
          <w:rStyle w:val="normaltextrun"/>
          <w:rFonts w:asciiTheme="minorHAnsi" w:hAnsiTheme="minorHAnsi" w:cstheme="minorHAnsi"/>
          <w:color w:val="000000" w:themeColor="text1"/>
          <w:sz w:val="22"/>
          <w:szCs w:val="22"/>
          <w:lang w:val="en-GB" w:eastAsia="en-GB"/>
        </w:rPr>
        <w:t>As the scenarios explores deeper changes to society, the way in which we interact with and consider our residential buildings changes, for example</w:t>
      </w:r>
    </w:p>
    <w:p w14:paraId="00A8A148" w14:textId="77777777" w:rsidR="009627EA" w:rsidRPr="000E55C1" w:rsidRDefault="009627EA" w:rsidP="009627EA">
      <w:pPr>
        <w:pStyle w:val="ListParagraph"/>
        <w:numPr>
          <w:ilvl w:val="1"/>
          <w:numId w:val="5"/>
        </w:numPr>
        <w:spacing w:after="0"/>
        <w:rPr>
          <w:rStyle w:val="normaltextrun"/>
          <w:rFonts w:asciiTheme="minorHAnsi" w:eastAsia="Corbel" w:hAnsiTheme="minorHAnsi" w:cstheme="minorHAnsi"/>
          <w:color w:val="000000" w:themeColor="text1"/>
          <w:sz w:val="22"/>
          <w:szCs w:val="22"/>
          <w:lang w:val="en-GB" w:eastAsia="en-GB"/>
        </w:rPr>
      </w:pPr>
      <w:r w:rsidRPr="000E55C1">
        <w:rPr>
          <w:rStyle w:val="normaltextrun"/>
          <w:rFonts w:asciiTheme="minorHAnsi" w:eastAsia="Times New Roman" w:hAnsiTheme="minorHAnsi" w:cstheme="minorHAnsi"/>
          <w:color w:val="000000" w:themeColor="text1"/>
          <w:sz w:val="22"/>
          <w:szCs w:val="22"/>
          <w:lang w:val="en-GB" w:eastAsia="en-GB"/>
        </w:rPr>
        <w:t>The share of households practicing homeworking increases at a low, but steady pace. The QL future goes further and considers a corresponding increase in a 4-day working week practice.</w:t>
      </w:r>
    </w:p>
    <w:p w14:paraId="603FFE74" w14:textId="77777777" w:rsidR="009627EA" w:rsidRPr="000E55C1" w:rsidRDefault="009627EA" w:rsidP="009627EA">
      <w:pPr>
        <w:pStyle w:val="ListParagraph"/>
        <w:numPr>
          <w:ilvl w:val="1"/>
          <w:numId w:val="5"/>
        </w:numPr>
        <w:spacing w:after="0"/>
        <w:rPr>
          <w:rStyle w:val="normaltextrun"/>
          <w:rFonts w:asciiTheme="minorHAnsi" w:eastAsia="Corbel" w:hAnsiTheme="minorHAnsi" w:cstheme="minorHAnsi"/>
          <w:color w:val="000000" w:themeColor="text1"/>
          <w:sz w:val="22"/>
          <w:szCs w:val="22"/>
          <w:lang w:val="en-GB" w:eastAsia="en-GB"/>
        </w:rPr>
      </w:pPr>
      <w:r w:rsidRPr="000E55C1">
        <w:rPr>
          <w:rStyle w:val="normaltextrun"/>
          <w:rFonts w:asciiTheme="minorHAnsi" w:eastAsia="Times New Roman" w:hAnsiTheme="minorHAnsi" w:cstheme="minorHAnsi"/>
          <w:color w:val="000000" w:themeColor="text1"/>
          <w:sz w:val="22"/>
          <w:szCs w:val="22"/>
          <w:lang w:val="en-GB" w:eastAsia="en-GB"/>
        </w:rPr>
        <w:t>New build dwelling construction, while maintained in the HA future, is reduced and replaced by repurposing non-domestic building space freed up by lower retail and office space needs.</w:t>
      </w:r>
    </w:p>
    <w:p w14:paraId="121183EF" w14:textId="77777777" w:rsidR="009627EA" w:rsidRPr="000E55C1" w:rsidRDefault="009627EA" w:rsidP="009627EA">
      <w:pPr>
        <w:pStyle w:val="ListParagraph"/>
        <w:numPr>
          <w:ilvl w:val="1"/>
          <w:numId w:val="5"/>
        </w:numPr>
        <w:spacing w:after="0"/>
        <w:rPr>
          <w:rStyle w:val="normaltextrun"/>
          <w:rFonts w:asciiTheme="minorHAnsi" w:hAnsiTheme="minorHAnsi" w:cstheme="minorHAnsi"/>
          <w:color w:val="000000" w:themeColor="text1"/>
          <w:sz w:val="22"/>
          <w:szCs w:val="22"/>
          <w:lang w:val="en-GB" w:eastAsia="en-GB"/>
        </w:rPr>
      </w:pPr>
      <w:r w:rsidRPr="000E55C1">
        <w:rPr>
          <w:rStyle w:val="normaltextrun"/>
          <w:rFonts w:asciiTheme="minorHAnsi" w:eastAsia="Times New Roman" w:hAnsiTheme="minorHAnsi" w:cstheme="minorHAnsi"/>
          <w:color w:val="000000" w:themeColor="text1"/>
          <w:sz w:val="22"/>
          <w:szCs w:val="22"/>
          <w:lang w:val="en-GB" w:eastAsia="en-GB"/>
        </w:rPr>
        <w:t>Finally, smart systems helps to change our building heating habits, maintaining quality of life while delivering heat only where and when it is needed.</w:t>
      </w:r>
    </w:p>
    <w:p w14:paraId="44FF13F5" w14:textId="77777777" w:rsidR="009627EA" w:rsidRPr="000E55C1" w:rsidRDefault="009627EA" w:rsidP="009627EA">
      <w:pPr>
        <w:rPr>
          <w:rStyle w:val="normaltextrun"/>
          <w:rFonts w:eastAsia="Times New Roman" w:cstheme="minorHAnsi"/>
          <w:lang w:eastAsia="en-GB"/>
        </w:rPr>
      </w:pPr>
    </w:p>
    <w:p w14:paraId="08AD7752" w14:textId="72E595F5" w:rsidR="009627EA" w:rsidRPr="000E55C1" w:rsidRDefault="00270777" w:rsidP="009627EA">
      <w:pPr>
        <w:pStyle w:val="Heading3"/>
        <w:rPr>
          <w:rStyle w:val="normaltextrun"/>
          <w:rFonts w:asciiTheme="minorHAnsi" w:hAnsiTheme="minorHAnsi" w:cstheme="minorHAnsi"/>
          <w:b/>
          <w:bCs/>
          <w:sz w:val="22"/>
          <w:szCs w:val="22"/>
          <w:lang w:eastAsia="en-GB"/>
        </w:rPr>
      </w:pPr>
      <w:bookmarkStart w:id="19" w:name="_Toc77587883"/>
      <w:r>
        <w:rPr>
          <w:rFonts w:asciiTheme="minorHAnsi" w:hAnsiTheme="minorHAnsi" w:cstheme="minorHAnsi"/>
        </w:rPr>
        <w:t>4</w:t>
      </w:r>
      <w:r w:rsidR="00955BCE" w:rsidRPr="000E55C1">
        <w:rPr>
          <w:rFonts w:asciiTheme="minorHAnsi" w:hAnsiTheme="minorHAnsi" w:cstheme="minorHAnsi"/>
        </w:rPr>
        <w:t>.6</w:t>
      </w:r>
      <w:r w:rsidR="009627EA" w:rsidRPr="000E55C1">
        <w:rPr>
          <w:rFonts w:asciiTheme="minorHAnsi" w:hAnsiTheme="minorHAnsi" w:cstheme="minorHAnsi"/>
        </w:rPr>
        <w:t xml:space="preserve"> Non-domestic buildings</w:t>
      </w:r>
      <w:bookmarkEnd w:id="19"/>
    </w:p>
    <w:p w14:paraId="01C74C0D" w14:textId="218C120C" w:rsidR="009627EA" w:rsidRPr="000E55C1" w:rsidRDefault="009627EA" w:rsidP="009627EA">
      <w:pPr>
        <w:rPr>
          <w:rStyle w:val="normaltextrun"/>
          <w:rFonts w:eastAsia="Times New Roman" w:cstheme="minorHAnsi"/>
          <w:lang w:eastAsia="en-GB"/>
        </w:rPr>
      </w:pPr>
      <w:r w:rsidRPr="000E55C1">
        <w:rPr>
          <w:rStyle w:val="normaltextrun"/>
          <w:rFonts w:eastAsia="Times New Roman" w:cstheme="minorHAnsi"/>
          <w:lang w:eastAsia="en-GB"/>
        </w:rPr>
        <w:t>The non-domestic sector includes a complex mix of buildings with a wide variety of different uses, from purpose built retail and commercial spaces, through to storage and refrigeration, hospitality health, education, or public services. Over time, this patchwork sector has shifted, in emissions terms, in both importance and composition. Total GHG emissions have grown from 26 Mt CO</w:t>
      </w:r>
      <w:r w:rsidRPr="000E55C1">
        <w:rPr>
          <w:rStyle w:val="normaltextrun"/>
          <w:rFonts w:eastAsia="Times New Roman" w:cstheme="minorHAnsi"/>
          <w:vertAlign w:val="subscript"/>
          <w:lang w:eastAsia="en-GB"/>
        </w:rPr>
        <w:t>2e</w:t>
      </w:r>
      <w:r w:rsidRPr="000E55C1">
        <w:rPr>
          <w:rStyle w:val="normaltextrun"/>
          <w:rFonts w:eastAsia="Times New Roman" w:cstheme="minorHAnsi"/>
          <w:lang w:eastAsia="en-GB"/>
        </w:rPr>
        <w:t xml:space="preserve"> (3.2% of UK territorial emissions) in 1990 to 30 Mt CO</w:t>
      </w:r>
      <w:r w:rsidRPr="000E55C1">
        <w:rPr>
          <w:rStyle w:val="normaltextrun"/>
          <w:rFonts w:eastAsia="Times New Roman" w:cstheme="minorHAnsi"/>
          <w:vertAlign w:val="subscript"/>
          <w:lang w:eastAsia="en-GB"/>
        </w:rPr>
        <w:t>2e</w:t>
      </w:r>
      <w:r w:rsidRPr="000E55C1">
        <w:rPr>
          <w:rStyle w:val="normaltextrun"/>
          <w:rFonts w:eastAsia="Times New Roman" w:cstheme="minorHAnsi"/>
          <w:lang w:eastAsia="en-GB"/>
        </w:rPr>
        <w:t xml:space="preserve"> (6.7% of total) in 2019 </w:t>
      </w:r>
      <w:r w:rsidRPr="000E55C1">
        <w:rPr>
          <w:rStyle w:val="normaltextrun"/>
          <w:rFonts w:eastAsia="Times New Roman" w:cstheme="minorHAnsi"/>
          <w:lang w:eastAsia="en-GB"/>
        </w:rPr>
        <w:fldChar w:fldCharType="begin" w:fldLock="1"/>
      </w:r>
      <w:r w:rsidR="00270777">
        <w:rPr>
          <w:rStyle w:val="normaltextrun"/>
          <w:rFonts w:eastAsia="Times New Roman" w:cstheme="minorHAnsi"/>
          <w:lang w:eastAsia="en-GB"/>
        </w:rPr>
        <w:instrText>ADDIN CSL_CITATION {"citationItems":[{"id":"ITEM-1","itemData":{"URL":"https://www.gov.uk/government/statistics/final-uk-greenhouse-gas-emissions-national-statistics-1990-to-2019","accessed":{"date-parts":[["2021","6","11"]]},"author":[{"dropping-particle":"","family":"BEIS","given":"","non-dropping-particle":"","parse-names":false,"suffix":""}],"id":"ITEM-1","issued":{"date-parts":[["2021"]]},"title":"Final UK greenhouse gas emissions national statistics: 1990 to 2019 - GOV.UK","type":"webpage"},"uris":["http://www.mendeley.com/documents/?uuid=939e93fe-41fb-3b3b-89b8-82c67aae49ab"]}],"mendeley":{"formattedCitation":"&lt;sup&gt;81&lt;/sup&gt;","plainTextFormattedCitation":"81","previouslyFormattedCitation":"&lt;sup&gt;81&lt;/sup&gt;"},"properties":{"noteIndex":0},"schema":"https://github.com/citation-style-language/schema/raw/master/csl-citation.json"}</w:instrText>
      </w:r>
      <w:r w:rsidRPr="000E55C1">
        <w:rPr>
          <w:rStyle w:val="normaltextrun"/>
          <w:rFonts w:eastAsia="Times New Roman" w:cstheme="minorHAnsi"/>
          <w:vertAlign w:val="superscript"/>
          <w:lang w:eastAsia="en-GB"/>
        </w:rPr>
        <w:fldChar w:fldCharType="separate"/>
      </w:r>
      <w:r w:rsidR="000E55C1" w:rsidRPr="000E55C1">
        <w:rPr>
          <w:rStyle w:val="normaltextrun"/>
          <w:rFonts w:eastAsia="Times New Roman" w:cstheme="minorHAnsi"/>
          <w:noProof/>
          <w:vertAlign w:val="superscript"/>
          <w:lang w:eastAsia="en-GB"/>
        </w:rPr>
        <w:t>81</w:t>
      </w:r>
      <w:r w:rsidRPr="000E55C1">
        <w:rPr>
          <w:rStyle w:val="normaltextrun"/>
          <w:rFonts w:eastAsia="Times New Roman" w:cstheme="minorHAnsi"/>
          <w:lang w:eastAsia="en-GB"/>
        </w:rPr>
        <w:fldChar w:fldCharType="end"/>
      </w:r>
      <w:r w:rsidRPr="000E55C1">
        <w:rPr>
          <w:rStyle w:val="normaltextrun"/>
          <w:rFonts w:eastAsia="Times New Roman" w:cstheme="minorHAnsi"/>
          <w:lang w:eastAsia="en-GB"/>
        </w:rPr>
        <w:t>. In composition terms, the share of HFC emissions from cooling and refrigeration has progressed to represent 36% of the sector total; while a 40% reduction in public sector building emissions has left commercial and business buildings responsible for about 74% of total emissions in 2019.</w:t>
      </w:r>
    </w:p>
    <w:p w14:paraId="55BD383B" w14:textId="77777777" w:rsidR="009627EA" w:rsidRPr="000E55C1" w:rsidRDefault="009627EA" w:rsidP="009627EA">
      <w:pPr>
        <w:rPr>
          <w:rStyle w:val="normaltextrun"/>
          <w:rFonts w:eastAsia="Times New Roman" w:cstheme="minorHAnsi"/>
          <w:lang w:eastAsia="en-GB"/>
        </w:rPr>
      </w:pPr>
      <w:r w:rsidRPr="000E55C1">
        <w:rPr>
          <w:rStyle w:val="normaltextrun"/>
          <w:rFonts w:eastAsia="Times New Roman" w:cstheme="minorHAnsi"/>
          <w:lang w:eastAsia="en-GB"/>
        </w:rPr>
        <w:t xml:space="preserve">In both the LED scenarios, the energy demand reductions take a two-pronged approach. On the one hand, they result from varying levels of ambition in rolling out energy efficiency measures detailed across the existing and future sector building stock. On the other, they rely on changes to the overall growth in non-domestic stock itself. The latter results from changes in the wider economy, e.g. reduced retail and office space requirements due to a move to online retail and homeworking, and lead to changes in growth expectations in non-domestic floor space. </w:t>
      </w:r>
    </w:p>
    <w:p w14:paraId="57232167" w14:textId="2D540039" w:rsidR="009627EA" w:rsidRPr="000E55C1" w:rsidRDefault="009627EA" w:rsidP="009627EA">
      <w:pPr>
        <w:rPr>
          <w:rFonts w:eastAsia="Times New Roman" w:cstheme="minorHAnsi"/>
          <w:lang w:eastAsia="en-GB"/>
        </w:rPr>
      </w:pPr>
      <w:r w:rsidRPr="000E55C1">
        <w:rPr>
          <w:rStyle w:val="normaltextrun"/>
          <w:rFonts w:eastAsia="Times New Roman" w:cstheme="minorHAnsi"/>
          <w:lang w:eastAsia="en-GB"/>
        </w:rPr>
        <w:t xml:space="preserve">The energy efficiency measure role out is based on assessing overall technical potential, using data from </w:t>
      </w:r>
      <w:r w:rsidRPr="000E55C1">
        <w:rPr>
          <w:rFonts w:eastAsia="Times New Roman" w:cstheme="minorHAnsi"/>
          <w:lang w:eastAsia="en-GB"/>
        </w:rPr>
        <w:t xml:space="preserve">Building Energy Efficiency Survey (BEES) </w:t>
      </w:r>
      <w:r w:rsidRPr="000E55C1">
        <w:rPr>
          <w:rFonts w:eastAsia="Times New Roman" w:cstheme="minorHAnsi"/>
          <w:lang w:eastAsia="en-GB"/>
        </w:rPr>
        <w:fldChar w:fldCharType="begin" w:fldLock="1"/>
      </w:r>
      <w:r w:rsidR="00270777">
        <w:rPr>
          <w:rFonts w:eastAsia="Times New Roman" w:cstheme="minorHAnsi"/>
          <w:lang w:eastAsia="en-GB"/>
        </w:rPr>
        <w:instrText>ADDIN CSL_CITATION {"citationItems":[{"id":"ITEM-1","itemData":{"URL":"https://www.gov.uk/government/publications/building-energy-efficiency-survey-bees","accessed":{"date-parts":[["2021","6","11"]]},"author":[{"dropping-particle":"","family":"BEIS","given":"","non-dropping-particle":"","parse-names":false,"suffix":""}],"container-title":"Building Energy Efficiency Servey","id":"ITEM-1","issued":{"date-parts":[["2016"]]},"title":"Building Energy Efficiency Survey (BEES) - GOV.UK","type":"webpage"},"uris":["http://www.mendeley.com/documents/?uuid=d57fa2ad-117f-340f-b081-23a82e18d835"]}],"mendeley":{"formattedCitation":"&lt;sup&gt;82&lt;/sup&gt;","plainTextFormattedCitation":"82","previouslyFormattedCitation":"&lt;sup&gt;82&lt;/sup&gt;"},"properties":{"noteIndex":0},"schema":"https://github.com/citation-style-language/schema/raw/master/csl-citation.json"}</w:instrText>
      </w:r>
      <w:r w:rsidRPr="000E55C1">
        <w:rPr>
          <w:rFonts w:eastAsia="Times New Roman" w:cstheme="minorHAnsi"/>
          <w:vertAlign w:val="superscript"/>
          <w:lang w:eastAsia="en-GB"/>
        </w:rPr>
        <w:fldChar w:fldCharType="separate"/>
      </w:r>
      <w:r w:rsidR="000E55C1" w:rsidRPr="000E55C1">
        <w:rPr>
          <w:rFonts w:eastAsia="Times New Roman" w:cstheme="minorHAnsi"/>
          <w:noProof/>
          <w:vertAlign w:val="superscript"/>
          <w:lang w:eastAsia="en-GB"/>
        </w:rPr>
        <w:t>82</w:t>
      </w:r>
      <w:r w:rsidRPr="000E55C1">
        <w:rPr>
          <w:rFonts w:eastAsia="Times New Roman" w:cstheme="minorHAnsi"/>
          <w:lang w:eastAsia="en-GB"/>
        </w:rPr>
        <w:fldChar w:fldCharType="end"/>
      </w:r>
      <w:r w:rsidRPr="000E55C1">
        <w:rPr>
          <w:rFonts w:eastAsia="Times New Roman" w:cstheme="minorHAnsi"/>
          <w:lang w:eastAsia="en-GB"/>
        </w:rPr>
        <w:t>. This approach considers sector requirements in both electrical and natural gas, and assesses the potential for 13 measures to reduce overall sector demand when applied across the relevant building stock at a sub-sector level. These measures include energy management systems, building retrofit, building system control, ventilation and cooling, and more efficient appliances.</w:t>
      </w:r>
    </w:p>
    <w:p w14:paraId="79C54175" w14:textId="34E80D25" w:rsidR="009627EA" w:rsidRPr="000E55C1" w:rsidRDefault="009627EA" w:rsidP="009627EA">
      <w:pPr>
        <w:rPr>
          <w:rStyle w:val="normaltextrun"/>
          <w:rFonts w:eastAsia="Times New Roman" w:cstheme="minorHAnsi"/>
          <w:lang w:eastAsia="en-GB"/>
        </w:rPr>
      </w:pPr>
      <w:r w:rsidRPr="000E55C1">
        <w:rPr>
          <w:rStyle w:val="normaltextrun"/>
          <w:rFonts w:eastAsia="Times New Roman" w:cstheme="minorHAnsi"/>
          <w:lang w:eastAsia="en-GB"/>
        </w:rPr>
        <w:t xml:space="preserve">On floor space, the </w:t>
      </w:r>
      <w:r w:rsidRPr="000E55C1">
        <w:rPr>
          <w:rFonts w:cstheme="minorHAnsi"/>
          <w:lang w:eastAsia="en-GB"/>
        </w:rPr>
        <w:t>Transform demand</w:t>
      </w:r>
      <w:r w:rsidRPr="000E55C1">
        <w:rPr>
          <w:rStyle w:val="normaltextrun"/>
          <w:rFonts w:eastAsia="Times New Roman" w:cstheme="minorHAnsi"/>
          <w:lang w:eastAsia="en-GB"/>
        </w:rPr>
        <w:t xml:space="preserve"> scenario sees growth in storage counteracted by a reduction in office space leading total floor space to remain constant. Some of the reduction in office space assumes that a proportion of commercial units are retrofitted to flats for residential occupancy. Most other non-domestic building types remain flat, apart from limited growth in education and health in line with population. The </w:t>
      </w:r>
      <w:r w:rsidR="00270777">
        <w:rPr>
          <w:rStyle w:val="normaltextrun"/>
          <w:rFonts w:eastAsia="Times New Roman" w:cstheme="minorHAnsi"/>
          <w:lang w:eastAsia="en-GB"/>
        </w:rPr>
        <w:t>Shift</w:t>
      </w:r>
      <w:r w:rsidRPr="000E55C1">
        <w:rPr>
          <w:rStyle w:val="normaltextrun"/>
          <w:rFonts w:eastAsia="Times New Roman" w:cstheme="minorHAnsi"/>
          <w:lang w:eastAsia="en-GB"/>
        </w:rPr>
        <w:t xml:space="preserve"> scenario sees almost a 40% increase in </w:t>
      </w:r>
      <w:proofErr w:type="spellStart"/>
      <w:r w:rsidRPr="000E55C1">
        <w:rPr>
          <w:rStyle w:val="normaltextrun"/>
          <w:rFonts w:eastAsia="Times New Roman" w:cstheme="minorHAnsi"/>
          <w:lang w:eastAsia="en-GB"/>
        </w:rPr>
        <w:t>floorspace</w:t>
      </w:r>
      <w:proofErr w:type="spellEnd"/>
      <w:r w:rsidRPr="000E55C1">
        <w:rPr>
          <w:rStyle w:val="normaltextrun"/>
          <w:rFonts w:eastAsia="Times New Roman" w:cstheme="minorHAnsi"/>
          <w:lang w:eastAsia="en-GB"/>
        </w:rPr>
        <w:t xml:space="preserve">; despite </w:t>
      </w:r>
      <w:r w:rsidRPr="000E55C1">
        <w:rPr>
          <w:rStyle w:val="normaltextrun"/>
          <w:rFonts w:eastAsia="Times New Roman" w:cstheme="minorHAnsi"/>
          <w:lang w:eastAsia="en-GB"/>
        </w:rPr>
        <w:lastRenderedPageBreak/>
        <w:t xml:space="preserve">some reductions in office, storage growth is much more pronounced, leading to an overall increase. This compares to just over 50% growth in the Reference case. </w:t>
      </w:r>
    </w:p>
    <w:p w14:paraId="1F6D2BED" w14:textId="77777777" w:rsidR="009627EA" w:rsidRPr="000E55C1" w:rsidRDefault="009627EA" w:rsidP="009627EA">
      <w:pPr>
        <w:rPr>
          <w:rStyle w:val="normaltextrun"/>
          <w:rFonts w:eastAsia="Times New Roman" w:cstheme="minorHAnsi"/>
          <w:lang w:eastAsia="en-GB"/>
        </w:rPr>
      </w:pPr>
      <w:r w:rsidRPr="000E55C1">
        <w:rPr>
          <w:rStyle w:val="normaltextrun"/>
          <w:rFonts w:eastAsia="Times New Roman" w:cstheme="minorHAnsi"/>
          <w:lang w:eastAsia="en-GB"/>
        </w:rPr>
        <w:t>Key assumptions include:</w:t>
      </w:r>
    </w:p>
    <w:p w14:paraId="3A3AF7D8" w14:textId="77777777" w:rsidR="009627EA" w:rsidRPr="000E55C1" w:rsidRDefault="009627EA" w:rsidP="009627EA">
      <w:pPr>
        <w:pStyle w:val="ListParagraph"/>
        <w:numPr>
          <w:ilvl w:val="0"/>
          <w:numId w:val="8"/>
        </w:numPr>
        <w:rPr>
          <w:rStyle w:val="normaltextrun"/>
          <w:rFonts w:asciiTheme="minorHAnsi" w:eastAsia="Times New Roman" w:hAnsiTheme="minorHAnsi" w:cstheme="minorHAnsi"/>
          <w:sz w:val="22"/>
          <w:szCs w:val="22"/>
          <w:lang w:val="en-GB" w:eastAsia="en-GB"/>
        </w:rPr>
      </w:pPr>
      <w:r w:rsidRPr="000E55C1">
        <w:rPr>
          <w:rStyle w:val="normaltextrun"/>
          <w:rFonts w:asciiTheme="minorHAnsi" w:eastAsia="Times New Roman" w:hAnsiTheme="minorHAnsi" w:cstheme="minorHAnsi"/>
          <w:sz w:val="22"/>
          <w:szCs w:val="22"/>
          <w:lang w:val="en-GB" w:eastAsia="en-GB"/>
        </w:rPr>
        <w:t xml:space="preserve">Varying speeds in BEES measure implementation with rapid, and very rapid, uptakes for both LED scenarios, relative to slower adoption in the Reference case. </w:t>
      </w:r>
    </w:p>
    <w:p w14:paraId="0342DDA8" w14:textId="77777777" w:rsidR="009627EA" w:rsidRPr="000E55C1" w:rsidRDefault="009627EA" w:rsidP="009627EA">
      <w:pPr>
        <w:pStyle w:val="ListParagraph"/>
        <w:numPr>
          <w:ilvl w:val="0"/>
          <w:numId w:val="8"/>
        </w:numPr>
        <w:rPr>
          <w:rStyle w:val="normaltextrun"/>
          <w:rFonts w:asciiTheme="minorHAnsi" w:eastAsia="Times New Roman" w:hAnsiTheme="minorHAnsi" w:cstheme="minorHAnsi"/>
          <w:sz w:val="22"/>
          <w:szCs w:val="22"/>
          <w:lang w:val="en-GB" w:eastAsia="en-GB"/>
        </w:rPr>
      </w:pPr>
      <w:r w:rsidRPr="000E55C1">
        <w:rPr>
          <w:rStyle w:val="normaltextrun"/>
          <w:rFonts w:asciiTheme="minorHAnsi" w:eastAsia="Times New Roman" w:hAnsiTheme="minorHAnsi" w:cstheme="minorHAnsi"/>
          <w:sz w:val="22"/>
          <w:szCs w:val="22"/>
          <w:lang w:val="en-GB" w:eastAsia="en-GB"/>
        </w:rPr>
        <w:t>This means full deployment of all efficiency potential across most measures by 2040, with rapid roll-out during the 2020s.</w:t>
      </w:r>
    </w:p>
    <w:p w14:paraId="373E34BF" w14:textId="77777777" w:rsidR="009627EA" w:rsidRPr="000E55C1" w:rsidRDefault="009627EA" w:rsidP="009627EA">
      <w:pPr>
        <w:pStyle w:val="ListParagraph"/>
        <w:numPr>
          <w:ilvl w:val="0"/>
          <w:numId w:val="8"/>
        </w:numPr>
        <w:rPr>
          <w:rStyle w:val="normaltextrun"/>
          <w:rFonts w:asciiTheme="minorHAnsi" w:eastAsia="Times New Roman" w:hAnsiTheme="minorHAnsi" w:cstheme="minorHAnsi"/>
          <w:sz w:val="22"/>
          <w:szCs w:val="22"/>
          <w:lang w:val="en-GB" w:eastAsia="en-GB"/>
        </w:rPr>
      </w:pPr>
      <w:r w:rsidRPr="000E55C1">
        <w:rPr>
          <w:rStyle w:val="normaltextrun"/>
          <w:rFonts w:asciiTheme="minorHAnsi" w:eastAsia="Times New Roman" w:hAnsiTheme="minorHAnsi" w:cstheme="minorHAnsi"/>
          <w:sz w:val="22"/>
          <w:szCs w:val="22"/>
          <w:lang w:val="en-GB" w:eastAsia="en-GB"/>
        </w:rPr>
        <w:t>Building fabric assumed to realise full potential by 2050, with stronger roll out across the 2020s and 2030s.</w:t>
      </w:r>
    </w:p>
    <w:p w14:paraId="687A5E80" w14:textId="77777777" w:rsidR="009627EA" w:rsidRPr="000E55C1" w:rsidRDefault="009627EA" w:rsidP="009627EA">
      <w:pPr>
        <w:pStyle w:val="ListParagraph"/>
        <w:numPr>
          <w:ilvl w:val="0"/>
          <w:numId w:val="8"/>
        </w:numPr>
        <w:rPr>
          <w:rStyle w:val="normaltextrun"/>
          <w:rFonts w:asciiTheme="minorHAnsi" w:eastAsia="Times New Roman" w:hAnsiTheme="minorHAnsi" w:cstheme="minorHAnsi"/>
          <w:sz w:val="22"/>
          <w:szCs w:val="22"/>
          <w:lang w:val="en-GB" w:eastAsia="en-GB"/>
        </w:rPr>
      </w:pPr>
      <w:r w:rsidRPr="000E55C1">
        <w:rPr>
          <w:rStyle w:val="normaltextrun"/>
          <w:rFonts w:asciiTheme="minorHAnsi" w:eastAsia="Times New Roman" w:hAnsiTheme="minorHAnsi" w:cstheme="minorHAnsi"/>
          <w:sz w:val="22"/>
          <w:szCs w:val="22"/>
          <w:lang w:val="en-GB" w:eastAsia="en-GB"/>
        </w:rPr>
        <w:t>Switching to improved energy using devices for heating means large-scale switching to electricity, with the use of heat pumps (determined in UKTM)</w:t>
      </w:r>
    </w:p>
    <w:p w14:paraId="3988408C" w14:textId="77777777" w:rsidR="009627EA" w:rsidRPr="000E55C1" w:rsidRDefault="009627EA" w:rsidP="009627EA">
      <w:pPr>
        <w:pStyle w:val="ListParagraph"/>
        <w:numPr>
          <w:ilvl w:val="0"/>
          <w:numId w:val="8"/>
        </w:numPr>
        <w:rPr>
          <w:rStyle w:val="normaltextrun"/>
          <w:rFonts w:asciiTheme="minorHAnsi" w:eastAsia="Times New Roman" w:hAnsiTheme="minorHAnsi" w:cstheme="minorHAnsi"/>
          <w:sz w:val="22"/>
          <w:szCs w:val="22"/>
          <w:lang w:val="en-GB" w:eastAsia="en-GB"/>
        </w:rPr>
      </w:pPr>
      <w:r w:rsidRPr="000E55C1">
        <w:rPr>
          <w:rStyle w:val="normaltextrun"/>
          <w:rFonts w:asciiTheme="minorHAnsi" w:eastAsia="Times New Roman" w:hAnsiTheme="minorHAnsi" w:cstheme="minorHAnsi"/>
          <w:sz w:val="22"/>
          <w:szCs w:val="22"/>
          <w:lang w:val="en-GB" w:eastAsia="en-GB"/>
        </w:rPr>
        <w:t xml:space="preserve">Floor space increases by only 2% in 2050, relative to 2020 in the most ambitious low energy case. This is largely due to reduction in office space counteracting an increase in storage facilities. </w:t>
      </w:r>
    </w:p>
    <w:p w14:paraId="3B2111DA" w14:textId="7D627367" w:rsidR="009627EA" w:rsidRPr="000E55C1" w:rsidRDefault="00270777" w:rsidP="009627EA">
      <w:pPr>
        <w:pStyle w:val="Heading3"/>
        <w:rPr>
          <w:rStyle w:val="normaltextrun"/>
          <w:rFonts w:asciiTheme="minorHAnsi" w:hAnsiTheme="minorHAnsi" w:cstheme="minorHAnsi"/>
          <w:b/>
          <w:bCs/>
          <w:sz w:val="22"/>
          <w:szCs w:val="22"/>
          <w:lang w:eastAsia="en-GB"/>
        </w:rPr>
      </w:pPr>
      <w:bookmarkStart w:id="20" w:name="_Toc77587884"/>
      <w:r>
        <w:rPr>
          <w:rFonts w:asciiTheme="minorHAnsi" w:hAnsiTheme="minorHAnsi" w:cstheme="minorHAnsi"/>
        </w:rPr>
        <w:t>4</w:t>
      </w:r>
      <w:r w:rsidR="00955BCE" w:rsidRPr="000E55C1">
        <w:rPr>
          <w:rFonts w:asciiTheme="minorHAnsi" w:hAnsiTheme="minorHAnsi" w:cstheme="minorHAnsi"/>
        </w:rPr>
        <w:t>.7</w:t>
      </w:r>
      <w:r w:rsidR="009627EA" w:rsidRPr="000E55C1">
        <w:rPr>
          <w:rFonts w:asciiTheme="minorHAnsi" w:hAnsiTheme="minorHAnsi" w:cstheme="minorHAnsi"/>
        </w:rPr>
        <w:t xml:space="preserve"> Lighting and appliances in domestic and non-domestic settings</w:t>
      </w:r>
      <w:bookmarkEnd w:id="20"/>
    </w:p>
    <w:p w14:paraId="7EB6AD9C" w14:textId="0A23B2BC" w:rsidR="009627EA" w:rsidRPr="000E55C1" w:rsidRDefault="009627EA" w:rsidP="009627EA">
      <w:pPr>
        <w:rPr>
          <w:rFonts w:cstheme="minorHAnsi"/>
          <w:color w:val="000000" w:themeColor="text1"/>
        </w:rPr>
      </w:pPr>
      <w:r w:rsidRPr="000E55C1">
        <w:rPr>
          <w:rFonts w:cstheme="minorHAnsi"/>
          <w:color w:val="000000" w:themeColor="text1"/>
        </w:rPr>
        <w:t xml:space="preserve">Electrical appliances, cooking and lighting account for 19% of energy consumption in UK homes </w:t>
      </w:r>
      <w:r w:rsidRPr="000E55C1">
        <w:rPr>
          <w:rFonts w:cstheme="minorHAnsi"/>
          <w:color w:val="000000" w:themeColor="text1"/>
        </w:rPr>
        <w:fldChar w:fldCharType="begin" w:fldLock="1"/>
      </w:r>
      <w:r w:rsidR="00270777">
        <w:rPr>
          <w:rFonts w:cstheme="minorHAnsi"/>
          <w:color w:val="000000" w:themeColor="text1"/>
        </w:rPr>
        <w:instrText>ADDIN CSL_CITATION {"citationItems":[{"id":"ITEM-1","itemData":{"author":[{"dropping-particle":"","family":"CCC","given":"","non-dropping-particle":"","parse-names":false,"suffix":""}],"id":"ITEM-1","issued":{"date-parts":[["2019"]]},"number-of-pages":"1-135","publisher-place":"London","title":"UK housing: Fit for the future?","type":"report"},"uris":["http://www.mendeley.com/documents/?uuid=7b622f32-6f1b-3783-a910-15b6d267bf0e"]}],"mendeley":{"formattedCitation":"&lt;sup&gt;83&lt;/sup&gt;","plainTextFormattedCitation":"83","previouslyFormattedCitation":"&lt;sup&gt;83&lt;/sup&gt;"},"properties":{"noteIndex":0},"schema":"https://github.com/citation-style-language/schema/raw/master/csl-citation.json"}</w:instrText>
      </w:r>
      <w:r w:rsidRPr="000E55C1">
        <w:rPr>
          <w:rFonts w:cstheme="minorHAnsi"/>
          <w:color w:val="000000" w:themeColor="text1"/>
          <w:vertAlign w:val="superscript"/>
        </w:rPr>
        <w:fldChar w:fldCharType="separate"/>
      </w:r>
      <w:r w:rsidR="000E55C1" w:rsidRPr="000E55C1">
        <w:rPr>
          <w:rFonts w:cstheme="minorHAnsi"/>
          <w:noProof/>
          <w:color w:val="000000" w:themeColor="text1"/>
          <w:vertAlign w:val="superscript"/>
        </w:rPr>
        <w:t>83</w:t>
      </w:r>
      <w:r w:rsidRPr="000E55C1">
        <w:rPr>
          <w:rFonts w:cstheme="minorHAnsi"/>
          <w:color w:val="000000" w:themeColor="text1"/>
        </w:rPr>
        <w:fldChar w:fldCharType="end"/>
      </w:r>
      <w:r w:rsidRPr="000E55C1">
        <w:rPr>
          <w:rFonts w:cstheme="minorHAnsi"/>
          <w:color w:val="000000" w:themeColor="text1"/>
        </w:rPr>
        <w:t xml:space="preserve">. While efficiency improvements in lighting and appliances have led to a fall in electricity demand in recent years, this is expected to be counteracted by increasing electrification, </w:t>
      </w:r>
      <w:r w:rsidRPr="000E55C1">
        <w:rPr>
          <w:rFonts w:cstheme="minorHAnsi"/>
        </w:rPr>
        <w:t>particularly of heat</w:t>
      </w:r>
      <w:r w:rsidRPr="000E55C1">
        <w:rPr>
          <w:rFonts w:cstheme="minorHAnsi"/>
          <w:color w:val="000000" w:themeColor="text1"/>
        </w:rPr>
        <w:t xml:space="preserve"> </w:t>
      </w:r>
      <w:r w:rsidRPr="000E55C1">
        <w:rPr>
          <w:rFonts w:cstheme="minorHAnsi"/>
          <w:color w:val="000000" w:themeColor="text1"/>
        </w:rPr>
        <w:fldChar w:fldCharType="begin" w:fldLock="1"/>
      </w:r>
      <w:r w:rsidR="00270777">
        <w:rPr>
          <w:rFonts w:cstheme="minorHAnsi"/>
          <w:color w:val="000000" w:themeColor="text1"/>
        </w:rPr>
        <w:instrText>ADDIN CSL_CITATION {"citationItems":[{"id":"ITEM-1","itemData":{"author":[{"dropping-particle":"","family":"CCC","given":"","non-dropping-particle":"","parse-names":false,"suffix":""}],"id":"ITEM-1","issued":{"date-parts":[["2019"]]},"number-of-pages":"1-304","publisher-place":"London","title":"Net Zero - Technical Report","type":"report"},"uris":["http://www.mendeley.com/documents/?uuid=14f9a8a1-a156-3adf-9626-ced6d40f8f63"]}],"mendeley":{"formattedCitation":"&lt;sup&gt;84&lt;/sup&gt;","plainTextFormattedCitation":"84","previouslyFormattedCitation":"&lt;sup&gt;84&lt;/sup&gt;"},"properties":{"noteIndex":0},"schema":"https://github.com/citation-style-language/schema/raw/master/csl-citation.json"}</w:instrText>
      </w:r>
      <w:r w:rsidRPr="000E55C1">
        <w:rPr>
          <w:rFonts w:cstheme="minorHAnsi"/>
          <w:color w:val="000000" w:themeColor="text1"/>
        </w:rPr>
        <w:fldChar w:fldCharType="separate"/>
      </w:r>
      <w:r w:rsidR="000E55C1" w:rsidRPr="000E55C1">
        <w:rPr>
          <w:rFonts w:cstheme="minorHAnsi"/>
          <w:noProof/>
          <w:color w:val="000000" w:themeColor="text1"/>
          <w:vertAlign w:val="superscript"/>
        </w:rPr>
        <w:t>84</w:t>
      </w:r>
      <w:r w:rsidRPr="000E55C1">
        <w:rPr>
          <w:rFonts w:cstheme="minorHAnsi"/>
          <w:color w:val="000000" w:themeColor="text1"/>
        </w:rPr>
        <w:fldChar w:fldCharType="end"/>
      </w:r>
      <w:r w:rsidRPr="000E55C1">
        <w:rPr>
          <w:rFonts w:cstheme="minorHAnsi"/>
          <w:color w:val="000000" w:themeColor="text1"/>
        </w:rPr>
        <w:t xml:space="preserve">. Most existing research focuses on efficiency improvements as the main method of energy demand reduction in appliances. Scenarios tend to assume that the variety and usage of appliances will increase to 2050, however, </w:t>
      </w:r>
      <w:r w:rsidRPr="000E55C1">
        <w:rPr>
          <w:rFonts w:cstheme="minorHAnsi"/>
        </w:rPr>
        <w:t xml:space="preserve">in our </w:t>
      </w:r>
      <w:r w:rsidR="00270777">
        <w:rPr>
          <w:rFonts w:cstheme="minorHAnsi"/>
        </w:rPr>
        <w:t>Transform</w:t>
      </w:r>
      <w:r w:rsidRPr="000E55C1">
        <w:rPr>
          <w:rFonts w:cstheme="minorHAnsi"/>
        </w:rPr>
        <w:t xml:space="preserve"> scenario, we consider </w:t>
      </w:r>
      <w:r w:rsidRPr="000E55C1">
        <w:rPr>
          <w:rFonts w:cstheme="minorHAnsi"/>
          <w:color w:val="000000" w:themeColor="text1"/>
        </w:rPr>
        <w:t>the possibilities to reduce energy service demands where there is no reduction in quality of life.</w:t>
      </w:r>
    </w:p>
    <w:p w14:paraId="412F3C92" w14:textId="45F5914A" w:rsidR="009627EA" w:rsidRPr="000E55C1" w:rsidRDefault="009627EA" w:rsidP="009627EA">
      <w:pPr>
        <w:rPr>
          <w:rFonts w:cstheme="minorHAnsi"/>
          <w:color w:val="000000" w:themeColor="text1"/>
        </w:rPr>
      </w:pPr>
      <w:r w:rsidRPr="000E55C1">
        <w:rPr>
          <w:rFonts w:cstheme="minorHAnsi"/>
          <w:color w:val="000000" w:themeColor="text1"/>
        </w:rPr>
        <w:t xml:space="preserve">Therefore, as </w:t>
      </w:r>
      <w:r w:rsidRPr="000E55C1">
        <w:rPr>
          <w:rFonts w:cstheme="minorHAnsi"/>
        </w:rPr>
        <w:t xml:space="preserve">well as </w:t>
      </w:r>
      <w:r w:rsidRPr="000E55C1">
        <w:rPr>
          <w:rFonts w:cstheme="minorHAnsi"/>
          <w:color w:val="000000" w:themeColor="text1"/>
        </w:rPr>
        <w:t>considering energy efficiency we also considered the impacts of behavioural change to use appliances more efficiently and less often, and the potential to reduce the number of appliances per household without compromising quality of life. In some areas like cooking and refrigeration there is limited capacity to avoid energy consumption as these appliances deliver an essential service and most households only own on</w:t>
      </w:r>
      <w:r w:rsidRPr="000E55C1">
        <w:rPr>
          <w:rFonts w:cstheme="minorHAnsi"/>
        </w:rPr>
        <w:t>e of each type of</w:t>
      </w:r>
      <w:r w:rsidRPr="000E55C1">
        <w:rPr>
          <w:rFonts w:cstheme="minorHAnsi"/>
          <w:color w:val="000000" w:themeColor="text1"/>
        </w:rPr>
        <w:t xml:space="preserve"> appliance. However, in other areas like lighting and consumer electronics, it is possible to reduce the amount an appliance is used without impacting quality of life. New technologies such as smart meters and disaggregated electricity consumption data can also play a role in helping individuals reduce unnecessary consumption </w:t>
      </w:r>
      <w:r w:rsidRPr="000E55C1">
        <w:rPr>
          <w:rFonts w:cstheme="minorHAnsi"/>
          <w:color w:val="000000" w:themeColor="text1"/>
        </w:rPr>
        <w:fldChar w:fldCharType="begin" w:fldLock="1"/>
      </w:r>
      <w:r w:rsidR="00270777">
        <w:rPr>
          <w:rFonts w:cstheme="minorHAnsi"/>
          <w:color w:val="000000" w:themeColor="text1"/>
        </w:rPr>
        <w:instrText>ADDIN CSL_CITATION {"citationItems":[{"id":"ITEM-1","itemData":{"author":[{"dropping-particle":"","family":"BEIS","given":"","non-dropping-particle":"","parse-names":false,"suffix":""}],"id":"ITEM-1","issued":{"date-parts":[["2019"]]},"title":"SMART METERING IMPLEMENTATION PROGRAMME A report on progress of the realisation of smart meter consumer benefits","type":"report"},"uris":["http://www.mendeley.com/documents/?uuid=a8866494-2cdb-3a54-b483-ea61d7764623"]},{"id":"ITEM-2","itemData":{"abstract":"We examine 12 studies on the efficacy of disaggregated energy feedback. The average electricity reduction across these studies is 4.5%. However, 4.5% may be a positively-biased estimate of the savings achievable across the entire population because all 12 studies are likely to be prone to opt-in bias hence none test the effect of disaggregated feedback on the general population. Disaggregation may not be required to achieve these savings: Aggregate feedback alone drives 3% reductions; and the 4 studies which directly compared aggregate feedback against disaggregated feedback found that aggregate feedback is at least as effective as disaggregated feedback, possibly because web apps are viewed less often than in-home-displays (in the short-term, at least) and because some users do not trust fine-grained disaggregation (although this may be an issue with the specific user interface studied). Disaggregated electricity feedback may help a motivated sub-group of the population to save more energy but fine-grained disaggregation may not be necessary to achieve these energy savings. Disaggregation has many uses beyond those discussed in this paper but, on the specific question of promoting energy reduction in the general population, there is no robust evidence that current forms of disaggregated energy feedback are more effective than aggregate energy feedback. The effectiveness of disaggregated feedback may increase if the general population become more energy-conscious (e.g. if energy prices rise or concern about climate change deepens); or if users' trust in fine-grained disaggregation improves; or if innovative new approaches or alternative disaggregation strategies (e.g. disaggregating by behaviour rather than by appliance) out-perform existing feedback. We also discuss opportunities for new research into the effectiveness of disaggregated feedback.","author":[{"dropping-particle":"","family":"Kelly","given":"Jack","non-dropping-particle":"","parse-names":false,"suffix":""},{"dropping-particle":"","family":"Knottenbelt","given":"William","non-dropping-particle":"","parse-names":false,"suffix":""}],"container-title":"Conference: 3rd International NILM Workshop","id":"ITEM-2","issued":{"date-parts":[["2016","5","3"]]},"title":"Does disaggregated electricity feedback reduce domestic electricity consumption? A systematic review of the literature","type":"article-journal"},"uris":["http://www.mendeley.com/documents/?uuid=135dce54-4357-38d1-995b-509f26399b4f"]}],"mendeley":{"formattedCitation":"&lt;sup&gt;85,86&lt;/sup&gt;","plainTextFormattedCitation":"85,86","previouslyFormattedCitation":"&lt;sup&gt;85,86&lt;/sup&gt;"},"properties":{"noteIndex":0},"schema":"https://github.com/citation-style-language/schema/raw/master/csl-citation.json"}</w:instrText>
      </w:r>
      <w:r w:rsidRPr="000E55C1">
        <w:rPr>
          <w:rFonts w:cstheme="minorHAnsi"/>
          <w:color w:val="000000" w:themeColor="text1"/>
          <w:vertAlign w:val="superscript"/>
        </w:rPr>
        <w:fldChar w:fldCharType="separate"/>
      </w:r>
      <w:r w:rsidR="000E55C1" w:rsidRPr="000E55C1">
        <w:rPr>
          <w:rFonts w:cstheme="minorHAnsi"/>
          <w:noProof/>
          <w:color w:val="000000" w:themeColor="text1"/>
          <w:vertAlign w:val="superscript"/>
        </w:rPr>
        <w:t>85,86</w:t>
      </w:r>
      <w:r w:rsidRPr="000E55C1">
        <w:rPr>
          <w:rFonts w:cstheme="minorHAnsi"/>
          <w:color w:val="000000" w:themeColor="text1"/>
        </w:rPr>
        <w:fldChar w:fldCharType="end"/>
      </w:r>
      <w:r w:rsidRPr="000E55C1">
        <w:rPr>
          <w:rFonts w:cstheme="minorHAnsi"/>
          <w:color w:val="000000" w:themeColor="text1"/>
        </w:rPr>
        <w:t xml:space="preserve">. </w:t>
      </w:r>
    </w:p>
    <w:p w14:paraId="4C339377" w14:textId="5C110362" w:rsidR="009627EA" w:rsidRPr="000E55C1" w:rsidRDefault="009627EA" w:rsidP="009627EA">
      <w:pPr>
        <w:rPr>
          <w:rFonts w:cstheme="minorHAnsi"/>
          <w:color w:val="000000" w:themeColor="text1"/>
        </w:rPr>
      </w:pPr>
      <w:r w:rsidRPr="000E55C1">
        <w:rPr>
          <w:rFonts w:cstheme="minorHAnsi"/>
          <w:color w:val="000000" w:themeColor="text1"/>
        </w:rPr>
        <w:t xml:space="preserve">Energy efficiency improvements in appliances have had the largest impact on energy demand in recent decades. Without efficiency improvements, energy consumption in buildings would be 12% higher than current levels </w:t>
      </w:r>
      <w:r w:rsidRPr="000E55C1">
        <w:rPr>
          <w:rFonts w:cstheme="minorHAnsi"/>
          <w:color w:val="000000" w:themeColor="text1"/>
        </w:rPr>
        <w:fldChar w:fldCharType="begin" w:fldLock="1"/>
      </w:r>
      <w:r w:rsidR="00270777">
        <w:rPr>
          <w:rFonts w:cstheme="minorHAnsi"/>
          <w:color w:val="000000" w:themeColor="text1"/>
        </w:rPr>
        <w:instrText>ADDIN CSL_CITATION {"citationItems":[{"id":"ITEM-1","itemData":{"author":[{"dropping-particle":"","family":"IEA","given":"","non-dropping-particle":"","parse-names":false,"suffix":""}],"id":"ITEM-1","issued":{"date-parts":[["2018"]]},"number-of-pages":"1-174","title":"Energy Efficiency 2018: analysis and outlooks to 2040","type":"report"},"uris":["http://www.mendeley.com/documents/?uuid=28aaa648-2ace-3ca4-a380-6d5ad2b213d8"]}],"mendeley":{"formattedCitation":"&lt;sup&gt;87&lt;/sup&gt;","plainTextFormattedCitation":"87","previouslyFormattedCitation":"&lt;sup&gt;87&lt;/sup&gt;"},"properties":{"noteIndex":0},"schema":"https://github.com/citation-style-language/schema/raw/master/csl-citation.json"}</w:instrText>
      </w:r>
      <w:r w:rsidRPr="000E55C1">
        <w:rPr>
          <w:rFonts w:cstheme="minorHAnsi"/>
          <w:color w:val="000000" w:themeColor="text1"/>
          <w:vertAlign w:val="superscript"/>
        </w:rPr>
        <w:fldChar w:fldCharType="separate"/>
      </w:r>
      <w:r w:rsidR="000E55C1" w:rsidRPr="000E55C1">
        <w:rPr>
          <w:rFonts w:cstheme="minorHAnsi"/>
          <w:noProof/>
          <w:color w:val="000000" w:themeColor="text1"/>
          <w:vertAlign w:val="superscript"/>
        </w:rPr>
        <w:t>87</w:t>
      </w:r>
      <w:r w:rsidRPr="000E55C1">
        <w:rPr>
          <w:rFonts w:cstheme="minorHAnsi"/>
          <w:color w:val="000000" w:themeColor="text1"/>
        </w:rPr>
        <w:fldChar w:fldCharType="end"/>
      </w:r>
      <w:r w:rsidRPr="000E55C1">
        <w:rPr>
          <w:rFonts w:cstheme="minorHAnsi"/>
          <w:color w:val="000000" w:themeColor="text1"/>
        </w:rPr>
        <w:t>. However, there is still a large potential for further efficiency savings which have not been realised. Therefore, to ‘improve’ consumption, we considered the impact of widespread adoption of the best available technologies in new appliances, and the potential for future technological advancements.</w:t>
      </w:r>
    </w:p>
    <w:p w14:paraId="71AD21AE" w14:textId="77777777" w:rsidR="009627EA" w:rsidRPr="000E55C1" w:rsidRDefault="009627EA" w:rsidP="009627EA">
      <w:pPr>
        <w:rPr>
          <w:rFonts w:cstheme="minorHAnsi"/>
          <w:color w:val="000000" w:themeColor="text1"/>
        </w:rPr>
      </w:pPr>
      <w:r w:rsidRPr="000E55C1">
        <w:rPr>
          <w:rFonts w:cstheme="minorHAnsi"/>
          <w:color w:val="000000" w:themeColor="text1"/>
        </w:rPr>
        <w:t>Key assumptions include:</w:t>
      </w:r>
    </w:p>
    <w:p w14:paraId="19F20E2B" w14:textId="0EAB80DE" w:rsidR="009627EA" w:rsidRPr="000E55C1" w:rsidRDefault="009627EA" w:rsidP="009627EA">
      <w:pPr>
        <w:pStyle w:val="ListParagraph"/>
        <w:numPr>
          <w:ilvl w:val="0"/>
          <w:numId w:val="9"/>
        </w:numPr>
        <w:spacing w:line="259" w:lineRule="auto"/>
        <w:rPr>
          <w:rFonts w:asciiTheme="minorHAnsi" w:hAnsiTheme="minorHAnsi" w:cstheme="minorHAnsi"/>
          <w:color w:val="000000" w:themeColor="text1"/>
          <w:sz w:val="22"/>
          <w:szCs w:val="22"/>
          <w:lang w:val="en-GB"/>
        </w:rPr>
      </w:pPr>
      <w:r w:rsidRPr="000E55C1">
        <w:rPr>
          <w:rFonts w:asciiTheme="minorHAnsi" w:hAnsiTheme="minorHAnsi" w:cstheme="minorHAnsi"/>
          <w:color w:val="000000" w:themeColor="text1"/>
          <w:sz w:val="22"/>
          <w:szCs w:val="22"/>
        </w:rPr>
        <w:t xml:space="preserve">Gas hobs and ovens are phased out by 2035 replaced with electrical appliances. </w:t>
      </w:r>
      <w:r w:rsidRPr="000E55C1">
        <w:rPr>
          <w:rFonts w:asciiTheme="minorHAnsi" w:hAnsiTheme="minorHAnsi" w:cstheme="minorHAnsi"/>
          <w:color w:val="auto"/>
          <w:sz w:val="22"/>
          <w:szCs w:val="22"/>
        </w:rPr>
        <w:t xml:space="preserve">10% efficiency saving are available in electric hobs and ovens, which are achieved by 2030 </w:t>
      </w:r>
      <w:r w:rsidRPr="000E55C1">
        <w:rPr>
          <w:rFonts w:asciiTheme="minorHAnsi" w:hAnsiTheme="minorHAnsi" w:cstheme="minorHAnsi"/>
          <w:color w:val="auto"/>
          <w:sz w:val="22"/>
          <w:szCs w:val="22"/>
        </w:rPr>
        <w:fldChar w:fldCharType="begin" w:fldLock="1"/>
      </w:r>
      <w:r w:rsidR="00270777">
        <w:rPr>
          <w:rFonts w:asciiTheme="minorHAnsi" w:hAnsiTheme="minorHAnsi" w:cstheme="minorHAnsi"/>
          <w:color w:val="auto"/>
          <w:sz w:val="22"/>
          <w:szCs w:val="22"/>
        </w:rPr>
        <w:instrText xml:space="preserve">ADDIN CSL_CITATION {"citationItems":[{"id":"ITEM-1","itemData":{"abstract":"In developed countries, cooking appliances are mature technologies with very high market penetration. In the US, virtually every household possesses an oven and cooktop, and in the EU most households have at least one oven. Appliances generally use electricity or gas (natural gas or LPG), whilst biomass is also an important fuel in developing countries. A wide variety of devices exist that largely serve the same cooking requirements; recent trends in product innovation have moved towards increased integration and functionality. In recent years, domestic cooking accounted for 7.5% of total EU residential electricity consumption, 8% of US residential electricity and 50% of the natural gas consumed by US domestic appliances. Domestic equipment can be broadly categorised into ovens, grills, hobs and microwaves. These are often integrated into cookers or ranges. Electric ovens dominate the EU domestic market and are owned by 77% of EU households and 64% of US households. Commercial appliances tend to have significantly higher power ratings and are used more intensively, with a wider range of appliances to serve more specific needs. Key technologies include ovens, grills or broilers, hobs and microwaves as well as ranges, fryers, griddles and steamers. In the US marketplace, stock is well split between the different devices, with gas ovens accounting for the largest share with 16.6% of 2008 stock. In the EU-27, combi-steamers dominate the market: in recent years, 41,000 electric and 9,200 gas combi-steamers were sold. In developing economies, cooking energy is a more important end-use compared to developed economies: in India, cooking accounts for 90% of domestic energy consumption, with 75% of this provided by biomass. Appliance types vary significantly, but in rural areas they are often basic stoves. </w:instrText>
      </w:r>
      <w:r w:rsidR="00270777">
        <w:rPr>
          <w:rFonts w:asciiTheme="minorHAnsi" w:hAnsiTheme="minorHAnsi" w:cstheme="minorHAnsi"/>
          <w:color w:val="auto"/>
          <w:sz w:val="22"/>
          <w:szCs w:val="22"/>
        </w:rPr>
        <w:instrText> PERFORMANCE AND COSTS-The performance of common cooking appliances varies widely depending on device type, fuel type and user behaviour. Real-life efficiencies differ substantially from standardised test values due to the impact of idle consumption, pre-heat input and user behaviour. With equivalent equipment, user behaviour can produce a variation in consumption of up to 30%. Annual consumption figures show that electric and gas hobs consume the most energy, with domestic devices using an average of 190-250 and 333-996 kWh per year respectively. Microwaves can offer substantial efficiency savings due to considerably shorter cooking cycles. Domestic appliance…","author":[{"dropping-particle":"","family":"IEA","given":"","non-dropping-particle":"","parse-names":false,"suffix":""}],"id":"ITEM-1","issued":{"date-parts":[["2012"]]},"number-of-pages":"1-8","title":"Technology Brief: Cooking Appliances","type":"report"},"uris":["http://www.mendeley.com/documents/?uuid=9f4019de-f0d8-3030-ae97-2ad898146131"]}],"mendeley":{"formattedCitation":"&lt;sup&gt;88&lt;/sup&gt;","plainTextFormattedCitation":"88","previouslyFormattedCitation":"&lt;sup&gt;88&lt;/sup&gt;"},"properties":{"noteIndex":0},"schema":"https://github.com/citation-style-language/schema/raw/master/csl-citation.json"}</w:instrText>
      </w:r>
      <w:r w:rsidRPr="000E55C1">
        <w:rPr>
          <w:rFonts w:asciiTheme="minorHAnsi" w:hAnsiTheme="minorHAnsi" w:cstheme="minorHAnsi"/>
          <w:color w:val="auto"/>
          <w:sz w:val="22"/>
          <w:szCs w:val="22"/>
          <w:vertAlign w:val="superscript"/>
        </w:rPr>
        <w:fldChar w:fldCharType="separate"/>
      </w:r>
      <w:r w:rsidR="000E55C1" w:rsidRPr="000E55C1">
        <w:rPr>
          <w:rFonts w:asciiTheme="minorHAnsi" w:hAnsiTheme="minorHAnsi" w:cstheme="minorHAnsi"/>
          <w:noProof/>
          <w:color w:val="auto"/>
          <w:sz w:val="22"/>
          <w:szCs w:val="22"/>
          <w:vertAlign w:val="superscript"/>
        </w:rPr>
        <w:t>88</w:t>
      </w:r>
      <w:r w:rsidRPr="000E55C1">
        <w:rPr>
          <w:rFonts w:asciiTheme="minorHAnsi" w:hAnsiTheme="minorHAnsi" w:cstheme="minorHAnsi"/>
          <w:color w:val="auto"/>
          <w:sz w:val="22"/>
          <w:szCs w:val="22"/>
        </w:rPr>
        <w:fldChar w:fldCharType="end"/>
      </w:r>
      <w:r w:rsidRPr="000E55C1">
        <w:rPr>
          <w:rFonts w:asciiTheme="minorHAnsi" w:hAnsiTheme="minorHAnsi" w:cstheme="minorHAnsi"/>
          <w:color w:val="auto"/>
          <w:sz w:val="22"/>
          <w:szCs w:val="22"/>
        </w:rPr>
        <w:t>.</w:t>
      </w:r>
    </w:p>
    <w:p w14:paraId="76164822" w14:textId="1DFE4D2F" w:rsidR="009627EA" w:rsidRPr="000E55C1" w:rsidRDefault="009627EA" w:rsidP="009627EA">
      <w:pPr>
        <w:pStyle w:val="ListParagraph"/>
        <w:numPr>
          <w:ilvl w:val="0"/>
          <w:numId w:val="9"/>
        </w:numPr>
        <w:spacing w:line="259" w:lineRule="auto"/>
        <w:rPr>
          <w:rFonts w:asciiTheme="minorHAnsi" w:hAnsiTheme="minorHAnsi" w:cstheme="minorHAnsi"/>
          <w:color w:val="000000" w:themeColor="text1"/>
          <w:sz w:val="22"/>
          <w:szCs w:val="22"/>
          <w:lang w:val="en-GB"/>
        </w:rPr>
      </w:pPr>
      <w:r w:rsidRPr="000E55C1">
        <w:rPr>
          <w:rFonts w:asciiTheme="minorHAnsi" w:hAnsiTheme="minorHAnsi" w:cstheme="minorHAnsi"/>
          <w:color w:val="auto"/>
          <w:sz w:val="22"/>
          <w:szCs w:val="22"/>
        </w:rPr>
        <w:t xml:space="preserve">In lighting, incandescent sales are phased out by 2025, and are out of use by 2027. Fluorescent sales are phased out by 2030, and are out of use by 2035. We also assume that </w:t>
      </w:r>
      <w:r w:rsidRPr="000E55C1">
        <w:rPr>
          <w:rFonts w:asciiTheme="minorHAnsi" w:hAnsiTheme="minorHAnsi" w:cstheme="minorHAnsi"/>
          <w:color w:val="auto"/>
          <w:sz w:val="22"/>
          <w:szCs w:val="22"/>
        </w:rPr>
        <w:lastRenderedPageBreak/>
        <w:t xml:space="preserve">there are 5% efficiency improvements still available in LED technology, which are achieved by 2025 </w:t>
      </w:r>
      <w:r w:rsidRPr="000E55C1">
        <w:rPr>
          <w:rFonts w:asciiTheme="minorHAnsi" w:hAnsiTheme="minorHAnsi" w:cstheme="minorHAnsi"/>
          <w:color w:val="auto"/>
          <w:sz w:val="22"/>
          <w:szCs w:val="22"/>
        </w:rPr>
        <w:fldChar w:fldCharType="begin" w:fldLock="1"/>
      </w:r>
      <w:r w:rsidR="00270777">
        <w:rPr>
          <w:rFonts w:asciiTheme="minorHAnsi" w:hAnsiTheme="minorHAnsi" w:cstheme="minorHAnsi"/>
          <w:color w:val="auto"/>
          <w:sz w:val="22"/>
          <w:szCs w:val="22"/>
        </w:rPr>
        <w:instrText>ADDIN CSL_CITATION {"citationItems":[{"id":"ITEM-1","itemData":{"DOI":"10.1016/j.energy.2019.116228","ISSN":"03605442","abstract":"To reach climate targets, unprecedented levels of energy efficiency improvements are required. To prioritise investments, it is necessary to know the energy saving potential associated with each action. Understanding the potential of technical improvements, requires knowledge on the highest technically achievable efficiency of a technology – the technical efficiency limit. When focusing on technical efficiency improvements, two distinct types of technical systems are recognised: conversion devices and passive systems. Previous research has analysed the technical efficiency limits of passive systems, in this study, the technical efficiency limits of major conversion devices are quantified using physical models. The resulting limits are used to calculate stochastically the energy saving potential of each device and design parameter for the United Kingdom. The UK's final energy demand could be reduced by 25% if conversion devices were operated at their technical limit and two thirds of these savings are in transport. The analysis suggests that a) improvements in conversion efficiencies are insufficient to reach energy reduction targets, except in transport and b) that for most technologies it is more important to focus on converging towards the efficiency level of the best available technologies rather than on research pushing the boundaries of conversion efficiency.","author":[{"dropping-particle":"","family":"Paoli","given":"Leonardo","non-dropping-particle":"","parse-names":false,"suffix":""},{"dropping-particle":"","family":"Cullen","given":"Jonathan","non-dropping-particle":"","parse-names":false,"suffix":""}],"container-title":"Energy","id":"ITEM-1","issued":{"date-parts":[["2020","2","1"]]},"page":"116228","publisher":"Elsevier Ltd","title":"Technical limits for energy conversion efficiency","type":"article-journal","volume":"192"},"uris":["http://www.mendeley.com/documents/?uuid=99c344bf-8946-38e8-80c4-d32a27bb76b8"]}],"mendeley":{"formattedCitation":"&lt;sup&gt;89&lt;/sup&gt;","plainTextFormattedCitation":"89","previouslyFormattedCitation":"&lt;sup&gt;89&lt;/sup&gt;"},"properties":{"noteIndex":0},"schema":"https://github.com/citation-style-language/schema/raw/master/csl-citation.json"}</w:instrText>
      </w:r>
      <w:r w:rsidRPr="000E55C1">
        <w:rPr>
          <w:rFonts w:asciiTheme="minorHAnsi" w:hAnsiTheme="minorHAnsi" w:cstheme="minorHAnsi"/>
          <w:color w:val="auto"/>
          <w:sz w:val="22"/>
          <w:szCs w:val="22"/>
          <w:vertAlign w:val="superscript"/>
        </w:rPr>
        <w:fldChar w:fldCharType="separate"/>
      </w:r>
      <w:r w:rsidR="000E55C1" w:rsidRPr="000E55C1">
        <w:rPr>
          <w:rFonts w:asciiTheme="minorHAnsi" w:hAnsiTheme="minorHAnsi" w:cstheme="minorHAnsi"/>
          <w:noProof/>
          <w:color w:val="auto"/>
          <w:sz w:val="22"/>
          <w:szCs w:val="22"/>
          <w:vertAlign w:val="superscript"/>
        </w:rPr>
        <w:t>89</w:t>
      </w:r>
      <w:r w:rsidRPr="000E55C1">
        <w:rPr>
          <w:rFonts w:asciiTheme="minorHAnsi" w:hAnsiTheme="minorHAnsi" w:cstheme="minorHAnsi"/>
          <w:color w:val="auto"/>
          <w:sz w:val="22"/>
          <w:szCs w:val="22"/>
        </w:rPr>
        <w:fldChar w:fldCharType="end"/>
      </w:r>
      <w:r w:rsidRPr="000E55C1">
        <w:rPr>
          <w:rFonts w:asciiTheme="minorHAnsi" w:hAnsiTheme="minorHAnsi" w:cstheme="minorHAnsi"/>
          <w:color w:val="auto"/>
          <w:sz w:val="22"/>
          <w:szCs w:val="22"/>
        </w:rPr>
        <w:t>.</w:t>
      </w:r>
    </w:p>
    <w:p w14:paraId="4FDA2940" w14:textId="78DF2A93" w:rsidR="009627EA" w:rsidRPr="000E55C1" w:rsidRDefault="009627EA" w:rsidP="009627EA">
      <w:pPr>
        <w:pStyle w:val="ListParagraph"/>
        <w:numPr>
          <w:ilvl w:val="0"/>
          <w:numId w:val="9"/>
        </w:numPr>
        <w:spacing w:line="259" w:lineRule="auto"/>
        <w:rPr>
          <w:rFonts w:asciiTheme="minorHAnsi" w:hAnsiTheme="minorHAnsi" w:cstheme="minorHAnsi"/>
          <w:color w:val="262626" w:themeColor="text1" w:themeTint="D9"/>
        </w:rPr>
      </w:pPr>
      <w:r w:rsidRPr="000E55C1">
        <w:rPr>
          <w:rFonts w:asciiTheme="minorHAnsi" w:hAnsiTheme="minorHAnsi" w:cstheme="minorHAnsi"/>
          <w:color w:val="auto"/>
          <w:sz w:val="22"/>
          <w:szCs w:val="22"/>
        </w:rPr>
        <w:t xml:space="preserve">Best available technologies are adopted across other appliances, resulting in efficiency savings of 45-60% in cold and wet appliances, 65% in consumer electronics, and 50% in air conditioning units </w:t>
      </w:r>
      <w:r w:rsidR="00090364" w:rsidRPr="000E55C1">
        <w:rPr>
          <w:rFonts w:asciiTheme="minorHAnsi" w:hAnsiTheme="minorHAnsi" w:cstheme="minorHAnsi"/>
          <w:color w:val="auto"/>
          <w:sz w:val="22"/>
          <w:szCs w:val="22"/>
        </w:rPr>
        <w:fldChar w:fldCharType="begin" w:fldLock="1"/>
      </w:r>
      <w:r w:rsidR="00270777">
        <w:rPr>
          <w:rFonts w:asciiTheme="minorHAnsi" w:hAnsiTheme="minorHAnsi" w:cstheme="minorHAnsi"/>
          <w:color w:val="auto"/>
          <w:sz w:val="22"/>
          <w:szCs w:val="22"/>
        </w:rPr>
        <w:instrText>ADDIN CSL_CITATION {"citationItems":[{"id":"ITEM-1","itemData":{"DOI":"10.1038/s41560-018-0172-6","ISSN":"20587546","abstract":"Scenarios that limit global warming to 1.5 °C describe major transformations in energy supply and ever-rising energy demand. Here, we provide a contrasting perspective by developing a narrative of future change based on observable trends that results in low energy demand. We describe and quantify changes in activity levels and energy intensity in the global North and global South for all major energy services. We project that global final energy demand by 2050 reduces to 245 EJ, around 40% lower than today, despite rises in population, income and activity. Using an integrated assessment modelling framework, we show how changes in the quantity and type of energy services drive structural change in intermediate and upstream supply sectors (energy and land use). Down-sizing the global energy system dramatically improves the feasibility of a low-carbon supply-side transformation. Our scenario meets the 1.5 °C climate target as well as many sustainable development goals, without relying on negative emission technologies.","author":[{"dropping-particle":"","family":"Grubler","given":"Arnulf","non-dropping-particle":"","parse-names":false,"suffix":""},{"dropping-particle":"","family":"Wilson","given":"Charlie","non-dropping-particle":"","parse-names":false,"suffix":""},{"dropping-particle":"","family":"Bento","given":"Nuno","non-dropping-particle":"","parse-names":false,"suffix":""},{"dropping-particle":"","family":"Boza-Kiss","given":"Benigna","non-dropping-particle":"","parse-names":false,"suffix":""},{"dropping-particle":"","family":"Krey","given":"Volker","non-dropping-particle":"","parse-names":false,"suffix":""},{"dropping-particle":"","family":"McCollum","given":"David L.","non-dropping-particle":"","parse-names":false,"suffix":""},{"dropping-particle":"","family":"Rao","given":"Narasimha D","non-dropping-particle":"","parse-names":false,"suffix":""},{"dropping-particle":"","family":"Riahi","given":"Keywan","non-dropping-particle":"","parse-names":false,"suffix":""},{"dropping-particle":"","family":"Rogelj","given":"Joeri","non-dropping-particle":"","parse-names":false,"suffix":""},{"dropping-particle":"","family":"Stercke","given":"Simon","non-dropping-particle":"De","parse-names":false,"suffix":""},{"dropping-particle":"","family":"Cullen","given":"Jonathan","non-dropping-particle":"","parse-names":false,"suffix":""},{"dropping-particle":"","family":"Frank","given":"Stefan","non-dropping-particle":"","parse-names":false,"suffix":""},{"dropping-particle":"","family":"Fricko","given":"Oliver","non-dropping-particle":"","parse-names":false,"suffix":""},{"dropping-particle":"","family":"Guo","given":"Fei","non-dropping-particle":"","parse-names":false,"suffix":""},{"dropping-particle":"","family":"Gidden","given":"Matt","non-dropping-particle":"","parse-names":false,"suffix":""},{"dropping-particle":"","family":"Havlík","given":"Petr","non-dropping-particle":"","parse-names":false,"suffix":""},{"dropping-particle":"","family":"Huppmann","given":"Daniel","non-dropping-particle":"","parse-names":false,"suffix":""},{"dropping-particle":"","family":"Kiesewetter","given":"Gregor","non-dropping-particle":"","parse-names":false,"suffix":""},{"dropping-particle":"","family":"Rafaj","given":"Peter","non-dropping-particle":"","parse-names":false,"suffix":""},{"dropping-particle":"","family":"Schoepp","given":"Wolfgang","non-dropping-particle":"","parse-names":false,"suffix":""},{"dropping-particle":"","family":"Valin","given":"Hugo","non-dropping-particle":"","parse-names":false,"suffix":""}],"container-title":"Nature Energy","id":"ITEM-1","issue":"6","issued":{"date-parts":[["2018"]]},"page":"515-527","title":"A low energy demand scenario for meeting the 1.5 °c target and sustainable development goals without negative emission technologies","type":"article-journal","volume":"3"},"uris":["http://www.mendeley.com/documents/?uuid=ba8beba8-5f39-4fe8-acdc-ab9ba5b51fbf"]},{"id":"ITEM-2","itemData":{"author":[{"dropping-particle":"","family":"IEA","given":"","non-dropping-particle":"","parse-names":false,"suffix":""}],"id":"ITEM-2","issued":{"date-parts":[["2018"]]},"number-of-pages":"1-174","title":"Energy Efficiency 2018: analysis and outlooks to 2040","type":"report"},"uris":["http://www.mendeley.com/documents/?uuid=28aaa648-2ace-3ca4-a380-6d5ad2b213d8"]}],"mendeley":{"formattedCitation":"&lt;sup&gt;5,87&lt;/sup&gt;","plainTextFormattedCitation":"5,87","previouslyFormattedCitation":"&lt;sup&gt;5,87&lt;/sup&gt;"},"properties":{"noteIndex":0},"schema":"https://github.com/citation-style-language/schema/raw/master/csl-citation.json"}</w:instrText>
      </w:r>
      <w:r w:rsidR="00090364" w:rsidRPr="000E55C1">
        <w:rPr>
          <w:rFonts w:asciiTheme="minorHAnsi" w:hAnsiTheme="minorHAnsi" w:cstheme="minorHAnsi"/>
          <w:color w:val="auto"/>
          <w:sz w:val="22"/>
          <w:szCs w:val="22"/>
        </w:rPr>
        <w:fldChar w:fldCharType="separate"/>
      </w:r>
      <w:r w:rsidR="000E55C1" w:rsidRPr="000E55C1">
        <w:rPr>
          <w:rFonts w:asciiTheme="minorHAnsi" w:hAnsiTheme="minorHAnsi" w:cstheme="minorHAnsi"/>
          <w:noProof/>
          <w:color w:val="auto"/>
          <w:sz w:val="22"/>
          <w:szCs w:val="22"/>
          <w:vertAlign w:val="superscript"/>
        </w:rPr>
        <w:t>5,87</w:t>
      </w:r>
      <w:r w:rsidR="00090364" w:rsidRPr="000E55C1">
        <w:rPr>
          <w:rFonts w:asciiTheme="minorHAnsi" w:hAnsiTheme="minorHAnsi" w:cstheme="minorHAnsi"/>
          <w:color w:val="auto"/>
          <w:sz w:val="22"/>
          <w:szCs w:val="22"/>
        </w:rPr>
        <w:fldChar w:fldCharType="end"/>
      </w:r>
      <w:r w:rsidRPr="000E55C1">
        <w:rPr>
          <w:rFonts w:asciiTheme="minorHAnsi" w:hAnsiTheme="minorHAnsi" w:cstheme="minorHAnsi"/>
          <w:color w:val="auto"/>
          <w:sz w:val="22"/>
          <w:szCs w:val="22"/>
        </w:rPr>
        <w:t xml:space="preserve">. </w:t>
      </w:r>
    </w:p>
    <w:p w14:paraId="7F6D6179" w14:textId="70AD5EB5" w:rsidR="009627EA" w:rsidRPr="000E55C1" w:rsidRDefault="009627EA" w:rsidP="009627EA">
      <w:pPr>
        <w:rPr>
          <w:rFonts w:cstheme="minorHAnsi"/>
          <w:color w:val="000000" w:themeColor="text1"/>
        </w:rPr>
      </w:pPr>
      <w:r w:rsidRPr="000E55C1">
        <w:rPr>
          <w:rFonts w:cstheme="minorHAnsi"/>
          <w:color w:val="000000" w:themeColor="text1"/>
        </w:rPr>
        <w:t xml:space="preserve">Additional assumptions specific to the </w:t>
      </w:r>
      <w:r w:rsidRPr="000E55C1">
        <w:rPr>
          <w:rFonts w:cstheme="minorHAnsi"/>
          <w:lang w:eastAsia="en-GB"/>
        </w:rPr>
        <w:t>Transform demand</w:t>
      </w:r>
      <w:r w:rsidRPr="000E55C1">
        <w:rPr>
          <w:rFonts w:cstheme="minorHAnsi"/>
          <w:color w:val="000000" w:themeColor="text1"/>
        </w:rPr>
        <w:t xml:space="preserve"> scenario include: </w:t>
      </w:r>
    </w:p>
    <w:p w14:paraId="22416E5F" w14:textId="77777777" w:rsidR="009627EA" w:rsidRPr="000E55C1" w:rsidRDefault="009627EA" w:rsidP="009627EA">
      <w:pPr>
        <w:pStyle w:val="ListParagraph"/>
        <w:numPr>
          <w:ilvl w:val="0"/>
          <w:numId w:val="9"/>
        </w:numPr>
        <w:spacing w:line="259" w:lineRule="auto"/>
        <w:rPr>
          <w:rFonts w:asciiTheme="minorHAnsi" w:hAnsiTheme="minorHAnsi" w:cstheme="minorHAnsi"/>
          <w:color w:val="000000" w:themeColor="text1"/>
          <w:sz w:val="22"/>
          <w:szCs w:val="22"/>
          <w:lang w:val="en-GB"/>
        </w:rPr>
      </w:pPr>
      <w:r w:rsidRPr="000E55C1">
        <w:rPr>
          <w:rFonts w:asciiTheme="minorHAnsi" w:hAnsiTheme="minorHAnsi" w:cstheme="minorHAnsi"/>
          <w:color w:val="000000" w:themeColor="text1"/>
          <w:sz w:val="22"/>
          <w:szCs w:val="22"/>
        </w:rPr>
        <w:t xml:space="preserve">The widespread adoption of smart meters with disaggregated and normative electricity consumption feedback reduces household electricity consumption by 5%, excluding clod appliances. </w:t>
      </w:r>
    </w:p>
    <w:p w14:paraId="4333FF77" w14:textId="17D3B5D3" w:rsidR="009627EA" w:rsidRPr="000E55C1" w:rsidRDefault="009627EA" w:rsidP="009627EA">
      <w:pPr>
        <w:pStyle w:val="ListParagraph"/>
        <w:numPr>
          <w:ilvl w:val="0"/>
          <w:numId w:val="9"/>
        </w:numPr>
        <w:spacing w:line="259" w:lineRule="auto"/>
        <w:rPr>
          <w:rFonts w:asciiTheme="minorHAnsi" w:hAnsiTheme="minorHAnsi" w:cstheme="minorHAnsi"/>
          <w:color w:val="000000" w:themeColor="text1"/>
          <w:sz w:val="22"/>
          <w:szCs w:val="22"/>
          <w:lang w:val="en-GB"/>
        </w:rPr>
      </w:pPr>
      <w:r w:rsidRPr="000E55C1">
        <w:rPr>
          <w:rFonts w:asciiTheme="minorHAnsi" w:hAnsiTheme="minorHAnsi" w:cstheme="minorHAnsi"/>
          <w:color w:val="000000" w:themeColor="text1"/>
          <w:sz w:val="22"/>
          <w:szCs w:val="22"/>
        </w:rPr>
        <w:t xml:space="preserve">A 5% reduction is achieved in air-conditioning units from improved cleaning of coils </w:t>
      </w:r>
      <w:r w:rsidRPr="000E55C1">
        <w:rPr>
          <w:rFonts w:asciiTheme="minorHAnsi" w:hAnsiTheme="minorHAnsi" w:cstheme="minorHAnsi"/>
          <w:color w:val="000000" w:themeColor="text1"/>
          <w:sz w:val="22"/>
          <w:szCs w:val="22"/>
        </w:rPr>
        <w:fldChar w:fldCharType="begin" w:fldLock="1"/>
      </w:r>
      <w:r w:rsidR="00270777">
        <w:rPr>
          <w:rFonts w:asciiTheme="minorHAnsi" w:hAnsiTheme="minorHAnsi" w:cstheme="minorHAnsi"/>
          <w:color w:val="000000" w:themeColor="text1"/>
          <w:sz w:val="22"/>
          <w:szCs w:val="22"/>
        </w:rPr>
        <w:instrText>ADDIN CSL_CITATION {"citationItems":[{"id":"ITEM-1","itemData":{"author":[{"dropping-particle":"","family":"McKinsey Global Institute","given":"","non-dropping-particle":"","parse-names":false,"suffix":""}],"id":"ITEM-1","issued":{"date-parts":[["2011"]]},"number-of-pages":"1-224","title":"Resource Revolution: Meeting the world's energy, materials, food, and water needs","type":"report"},"uris":["http://www.mendeley.com/documents/?uuid=7fe37f04-07bf-3622-b733-d5faef8308de"]}],"mendeley":{"formattedCitation":"&lt;sup&gt;90&lt;/sup&gt;","plainTextFormattedCitation":"90","previouslyFormattedCitation":"&lt;sup&gt;90&lt;/sup&gt;"},"properties":{"noteIndex":0},"schema":"https://github.com/citation-style-language/schema/raw/master/csl-citation.json"}</w:instrText>
      </w:r>
      <w:r w:rsidRPr="000E55C1">
        <w:rPr>
          <w:rFonts w:asciiTheme="minorHAnsi" w:hAnsiTheme="minorHAnsi" w:cstheme="minorHAnsi"/>
          <w:color w:val="000000" w:themeColor="text1"/>
          <w:sz w:val="22"/>
          <w:szCs w:val="22"/>
          <w:vertAlign w:val="superscript"/>
        </w:rPr>
        <w:fldChar w:fldCharType="separate"/>
      </w:r>
      <w:r w:rsidR="000E55C1" w:rsidRPr="000E55C1">
        <w:rPr>
          <w:rFonts w:asciiTheme="minorHAnsi" w:hAnsiTheme="minorHAnsi" w:cstheme="minorHAnsi"/>
          <w:noProof/>
          <w:color w:val="000000" w:themeColor="text1"/>
          <w:sz w:val="22"/>
          <w:szCs w:val="22"/>
          <w:vertAlign w:val="superscript"/>
        </w:rPr>
        <w:t>90</w:t>
      </w:r>
      <w:r w:rsidRPr="000E55C1">
        <w:rPr>
          <w:rFonts w:asciiTheme="minorHAnsi" w:hAnsiTheme="minorHAnsi" w:cstheme="minorHAnsi"/>
          <w:color w:val="000000" w:themeColor="text1"/>
          <w:sz w:val="22"/>
          <w:szCs w:val="22"/>
        </w:rPr>
        <w:fldChar w:fldCharType="end"/>
      </w:r>
      <w:r w:rsidRPr="000E55C1">
        <w:rPr>
          <w:rFonts w:asciiTheme="minorHAnsi" w:hAnsiTheme="minorHAnsi" w:cstheme="minorHAnsi"/>
          <w:color w:val="000000" w:themeColor="text1"/>
          <w:sz w:val="22"/>
          <w:szCs w:val="22"/>
        </w:rPr>
        <w:t>.</w:t>
      </w:r>
    </w:p>
    <w:p w14:paraId="3CDC409D" w14:textId="53E12F7C" w:rsidR="009627EA" w:rsidRPr="000E55C1" w:rsidRDefault="009627EA" w:rsidP="009627EA">
      <w:pPr>
        <w:pStyle w:val="ListParagraph"/>
        <w:numPr>
          <w:ilvl w:val="0"/>
          <w:numId w:val="9"/>
        </w:numPr>
        <w:spacing w:line="259" w:lineRule="auto"/>
        <w:rPr>
          <w:rFonts w:asciiTheme="minorHAnsi" w:hAnsiTheme="minorHAnsi" w:cstheme="minorHAnsi"/>
          <w:color w:val="000000" w:themeColor="text1"/>
          <w:sz w:val="22"/>
          <w:szCs w:val="22"/>
          <w:lang w:val="en-GB"/>
        </w:rPr>
      </w:pPr>
      <w:r w:rsidRPr="000E55C1">
        <w:rPr>
          <w:rFonts w:asciiTheme="minorHAnsi" w:hAnsiTheme="minorHAnsi" w:cstheme="minorHAnsi"/>
          <w:color w:val="000000" w:themeColor="text1"/>
          <w:sz w:val="22"/>
          <w:szCs w:val="22"/>
        </w:rPr>
        <w:t xml:space="preserve">A 20% reduction in energy use from ICT and other appliances through replacing manual with automated building management controls </w:t>
      </w:r>
      <w:r w:rsidR="00090364" w:rsidRPr="000E55C1">
        <w:rPr>
          <w:rFonts w:asciiTheme="minorHAnsi" w:hAnsiTheme="minorHAnsi" w:cstheme="minorHAnsi"/>
          <w:color w:val="000000" w:themeColor="text1"/>
          <w:sz w:val="22"/>
          <w:szCs w:val="22"/>
        </w:rPr>
        <w:fldChar w:fldCharType="begin" w:fldLock="1"/>
      </w:r>
      <w:r w:rsidR="00090364" w:rsidRPr="000E55C1">
        <w:rPr>
          <w:rFonts w:asciiTheme="minorHAnsi" w:hAnsiTheme="minorHAnsi" w:cstheme="minorHAnsi"/>
          <w:color w:val="000000" w:themeColor="text1"/>
          <w:sz w:val="22"/>
          <w:szCs w:val="22"/>
        </w:rPr>
        <w:instrText>ADDIN CSL_CITATION {"citationItems":[{"id":"ITEM-1","itemData":{"DOI":"10.1038/s41560-018-0172-6","ISSN":"20587546","abstract":"Scenarios that limit global warming to 1.5 °C describe major transformations in energy supply and ever-rising energy demand. Here, we provide a contrasting perspective by developing a narrative of future change based on observable trends that results in low energy demand. We describe and quantify changes in activity levels and energy intensity in the global North and global South for all major energy services. We project that global final energy demand by 2050 reduces to 245 EJ, around 40% lower than today, despite rises in population, income and activity. Using an integrated assessment modelling framework, we show how changes in the quantity and type of energy services drive structural change in intermediate and upstream supply sectors (energy and land use). Down-sizing the global energy system dramatically improves the feasibility of a low-carbon supply-side transformation. Our scenario meets the 1.5 °C climate target as well as many sustainable development goals, without relying on negative emission technologies.","author":[{"dropping-particle":"","family":"Grubler","given":"Arnulf","non-dropping-particle":"","parse-names":false,"suffix":""},{"dropping-particle":"","family":"Wilson","given":"Charlie","non-dropping-particle":"","parse-names":false,"suffix":""},{"dropping-particle":"","family":"Bento","given":"Nuno","non-dropping-particle":"","parse-names":false,"suffix":""},{"dropping-particle":"","family":"Boza-Kiss","given":"Benigna","non-dropping-particle":"","parse-names":false,"suffix":""},{"dropping-particle":"","family":"Krey","given":"Volker","non-dropping-particle":"","parse-names":false,"suffix":""},{"dropping-particle":"","family":"McCollum","given":"David L.","non-dropping-particle":"","parse-names":false,"suffix":""},{"dropping-particle":"","family":"Rao","given":"Narasimha D","non-dropping-particle":"","parse-names":false,"suffix":""},{"dropping-particle":"","family":"Riahi","given":"Keywan","non-dropping-particle":"","parse-names":false,"suffix":""},{"dropping-particle":"","family":"Rogelj","given":"Joeri","non-dropping-particle":"","parse-names":false,"suffix":""},{"dropping-particle":"","family":"Stercke","given":"Simon","non-dropping-particle":"De","parse-names":false,"suffix":""},{"dropping-particle":"","family":"Cullen","given":"Jonathan","non-dropping-particle":"","parse-names":false,"suffix":""},{"dropping-particle":"","family":"Frank","given":"Stefan","non-dropping-particle":"","parse-names":false,"suffix":""},{"dropping-particle":"","family":"Fricko","given":"Oliver","non-dropping-particle":"","parse-names":false,"suffix":""},{"dropping-particle":"","family":"Guo","given":"Fei","non-dropping-particle":"","parse-names":false,"suffix":""},{"dropping-particle":"","family":"Gidden","given":"Matt","non-dropping-particle":"","parse-names":false,"suffix":""},{"dropping-particle":"","family":"Havlík","given":"Petr","non-dropping-particle":"","parse-names":false,"suffix":""},{"dropping-particle":"","family":"Huppmann","given":"Daniel","non-dropping-particle":"","parse-names":false,"suffix":""},{"dropping-particle":"","family":"Kiesewetter","given":"Gregor","non-dropping-particle":"","parse-names":false,"suffix":""},{"dropping-particle":"","family":"Rafaj","given":"Peter","non-dropping-particle":"","parse-names":false,"suffix":""},{"dropping-particle":"","family":"Schoepp","given":"Wolfgang","non-dropping-particle":"","parse-names":false,"suffix":""},{"dropping-particle":"","family":"Valin","given":"Hugo","non-dropping-particle":"","parse-names":false,"suffix":""}],"container-title":"Nature Energy","id":"ITEM-1","issue":"6","issued":{"date-parts":[["2018"]]},"page":"515-527","title":"A low energy demand scenario for meeting the 1.5 °c target and sustainable development goals without negative emission technologies","type":"article-journal","volume":"3"},"uris":["http://www.mendeley.com/documents/?uuid=ba8beba8-5f39-4fe8-acdc-ab9ba5b51fbf"]}],"mendeley":{"formattedCitation":"&lt;sup&gt;5&lt;/sup&gt;","plainTextFormattedCitation":"5","previouslyFormattedCitation":"&lt;sup&gt;5&lt;/sup&gt;"},"properties":{"noteIndex":0},"schema":"https://github.com/citation-style-language/schema/raw/master/csl-citation.json"}</w:instrText>
      </w:r>
      <w:r w:rsidR="00090364" w:rsidRPr="000E55C1">
        <w:rPr>
          <w:rFonts w:asciiTheme="minorHAnsi" w:hAnsiTheme="minorHAnsi" w:cstheme="minorHAnsi"/>
          <w:color w:val="000000" w:themeColor="text1"/>
          <w:sz w:val="22"/>
          <w:szCs w:val="22"/>
        </w:rPr>
        <w:fldChar w:fldCharType="separate"/>
      </w:r>
      <w:r w:rsidR="00090364" w:rsidRPr="000E55C1">
        <w:rPr>
          <w:rFonts w:asciiTheme="minorHAnsi" w:hAnsiTheme="minorHAnsi" w:cstheme="minorHAnsi"/>
          <w:noProof/>
          <w:color w:val="000000" w:themeColor="text1"/>
          <w:sz w:val="22"/>
          <w:szCs w:val="22"/>
          <w:vertAlign w:val="superscript"/>
        </w:rPr>
        <w:t>5</w:t>
      </w:r>
      <w:r w:rsidR="00090364" w:rsidRPr="000E55C1">
        <w:rPr>
          <w:rFonts w:asciiTheme="minorHAnsi" w:hAnsiTheme="minorHAnsi" w:cstheme="minorHAnsi"/>
          <w:color w:val="000000" w:themeColor="text1"/>
          <w:sz w:val="22"/>
          <w:szCs w:val="22"/>
        </w:rPr>
        <w:fldChar w:fldCharType="end"/>
      </w:r>
      <w:r w:rsidR="00090364" w:rsidRPr="000E55C1">
        <w:rPr>
          <w:rFonts w:asciiTheme="minorHAnsi" w:hAnsiTheme="minorHAnsi" w:cstheme="minorHAnsi"/>
          <w:color w:val="000000" w:themeColor="text1"/>
          <w:sz w:val="22"/>
          <w:szCs w:val="22"/>
        </w:rPr>
        <w:t>.</w:t>
      </w:r>
    </w:p>
    <w:p w14:paraId="68A78C57" w14:textId="77777777" w:rsidR="009627EA" w:rsidRPr="000E55C1" w:rsidRDefault="009627EA" w:rsidP="009627EA">
      <w:pPr>
        <w:pStyle w:val="ListParagraph"/>
        <w:numPr>
          <w:ilvl w:val="0"/>
          <w:numId w:val="9"/>
        </w:numPr>
        <w:spacing w:line="259" w:lineRule="auto"/>
        <w:rPr>
          <w:rFonts w:asciiTheme="minorHAnsi" w:hAnsiTheme="minorHAnsi" w:cstheme="minorHAnsi"/>
          <w:color w:val="000000" w:themeColor="text1"/>
          <w:sz w:val="22"/>
          <w:szCs w:val="22"/>
        </w:rPr>
      </w:pPr>
      <w:r w:rsidRPr="000E55C1">
        <w:rPr>
          <w:rFonts w:asciiTheme="minorHAnsi" w:hAnsiTheme="minorHAnsi" w:cstheme="minorHAnsi"/>
          <w:color w:val="262626" w:themeColor="text1" w:themeTint="D9"/>
          <w:sz w:val="22"/>
          <w:szCs w:val="22"/>
        </w:rPr>
        <w:t xml:space="preserve">The total number of appliances per household is reduced where by 20% in lighting and 10% in ICT and consumer electronics due to demand saturation, cloud computing and increased sharing. </w:t>
      </w:r>
    </w:p>
    <w:p w14:paraId="7EBFE67B" w14:textId="77777777" w:rsidR="009627EA" w:rsidRPr="000E55C1" w:rsidRDefault="009627EA" w:rsidP="009627EA">
      <w:pPr>
        <w:pStyle w:val="ListParagraph"/>
        <w:numPr>
          <w:ilvl w:val="0"/>
          <w:numId w:val="0"/>
        </w:numPr>
        <w:spacing w:line="259" w:lineRule="auto"/>
        <w:ind w:left="720"/>
        <w:rPr>
          <w:rFonts w:asciiTheme="minorHAnsi" w:hAnsiTheme="minorHAnsi" w:cstheme="minorHAnsi"/>
          <w:color w:val="000000" w:themeColor="text1"/>
          <w:sz w:val="22"/>
          <w:szCs w:val="22"/>
          <w:lang w:val="en-GB"/>
        </w:rPr>
      </w:pPr>
    </w:p>
    <w:p w14:paraId="22F9E6B6" w14:textId="77777777" w:rsidR="009627EA" w:rsidRPr="000E55C1" w:rsidRDefault="009627EA" w:rsidP="009627EA">
      <w:pPr>
        <w:pStyle w:val="ListParagraph"/>
        <w:numPr>
          <w:ilvl w:val="0"/>
          <w:numId w:val="0"/>
        </w:numPr>
        <w:spacing w:line="259" w:lineRule="auto"/>
        <w:ind w:left="720"/>
        <w:rPr>
          <w:rStyle w:val="normaltextrun"/>
          <w:rFonts w:asciiTheme="minorHAnsi" w:hAnsiTheme="minorHAnsi" w:cstheme="minorHAnsi"/>
          <w:color w:val="000000" w:themeColor="text1"/>
          <w:sz w:val="22"/>
          <w:szCs w:val="22"/>
          <w:lang w:val="en-GB"/>
        </w:rPr>
      </w:pPr>
    </w:p>
    <w:p w14:paraId="6814887D" w14:textId="6765CEAD" w:rsidR="009627EA" w:rsidRPr="000E55C1" w:rsidRDefault="00270777" w:rsidP="009627EA">
      <w:pPr>
        <w:pStyle w:val="Heading3"/>
        <w:rPr>
          <w:rStyle w:val="normaltextrun"/>
          <w:rFonts w:asciiTheme="minorHAnsi" w:hAnsiTheme="minorHAnsi" w:cstheme="minorHAnsi"/>
          <w:b/>
          <w:bCs/>
          <w:sz w:val="22"/>
          <w:szCs w:val="22"/>
          <w:lang w:eastAsia="en-GB"/>
        </w:rPr>
      </w:pPr>
      <w:bookmarkStart w:id="21" w:name="_Toc77587885"/>
      <w:r>
        <w:rPr>
          <w:rFonts w:asciiTheme="minorHAnsi" w:hAnsiTheme="minorHAnsi" w:cstheme="minorHAnsi"/>
        </w:rPr>
        <w:t>4</w:t>
      </w:r>
      <w:r w:rsidR="00955BCE" w:rsidRPr="000E55C1">
        <w:rPr>
          <w:rFonts w:asciiTheme="minorHAnsi" w:hAnsiTheme="minorHAnsi" w:cstheme="minorHAnsi"/>
        </w:rPr>
        <w:t>.8</w:t>
      </w:r>
      <w:r w:rsidR="009627EA" w:rsidRPr="000E55C1">
        <w:rPr>
          <w:rFonts w:asciiTheme="minorHAnsi" w:hAnsiTheme="minorHAnsi" w:cstheme="minorHAnsi"/>
        </w:rPr>
        <w:t xml:space="preserve"> Materials and products</w:t>
      </w:r>
      <w:bookmarkEnd w:id="21"/>
    </w:p>
    <w:p w14:paraId="03C331E9" w14:textId="3442D61E" w:rsidR="009627EA" w:rsidRPr="000E55C1" w:rsidRDefault="009627EA" w:rsidP="009627EA">
      <w:pPr>
        <w:rPr>
          <w:rStyle w:val="normaltextrun"/>
          <w:rFonts w:eastAsia="Times New Roman" w:cstheme="minorHAnsi"/>
          <w:lang w:eastAsia="en-GB"/>
        </w:rPr>
      </w:pPr>
      <w:r w:rsidRPr="000E55C1">
        <w:rPr>
          <w:rStyle w:val="normaltextrun"/>
          <w:rFonts w:eastAsia="Times New Roman" w:cstheme="minorHAnsi"/>
          <w:lang w:eastAsia="en-GB"/>
        </w:rPr>
        <w:t>This energy service category refers to strategies that aim to reduce the energy demand embodied in the production of materials and products by UK industry. We focus on the material input and demand for</w:t>
      </w:r>
      <w:r w:rsidRPr="000E55C1">
        <w:rPr>
          <w:rFonts w:cstheme="minorHAnsi"/>
        </w:rPr>
        <w:t xml:space="preserve"> </w:t>
      </w:r>
      <w:r w:rsidRPr="000E55C1">
        <w:rPr>
          <w:rStyle w:val="normaltextrun"/>
          <w:rFonts w:eastAsia="Times New Roman" w:cstheme="minorHAnsi"/>
          <w:lang w:eastAsia="en-GB"/>
        </w:rPr>
        <w:t xml:space="preserve">clothing and textiles, packaging, vehicles, electronics, appliances and machinery, furniture and buildings and infrastructure. In 2019, emissions attributed to UK industry total 102 MtCO2e, representing 22% of UK GHG emissions </w:t>
      </w:r>
      <w:r w:rsidRPr="000E55C1">
        <w:rPr>
          <w:rStyle w:val="normaltextrun"/>
          <w:rFonts w:eastAsia="Times New Roman" w:cstheme="minorHAnsi"/>
          <w:lang w:eastAsia="en-GB"/>
        </w:rPr>
        <w:fldChar w:fldCharType="begin" w:fldLock="1"/>
      </w:r>
      <w:r w:rsidR="00270777">
        <w:rPr>
          <w:rStyle w:val="normaltextrun"/>
          <w:rFonts w:eastAsia="Times New Roman" w:cstheme="minorHAnsi"/>
          <w:lang w:eastAsia="en-GB"/>
        </w:rPr>
        <w:instrText>ADDIN CSL_CITATION {"citationItems":[{"id":"ITEM-1","itemData":{"author":[{"dropping-particle":"","family":"CCC","given":"","non-dropping-particle":"","parse-names":false,"suffix":""}],"id":"ITEM-1","issued":{"date-parts":[["2020"]]},"number-of-pages":"1-196","title":"Reducing UK emissions: 2020 Progress Report to Parliament ","type":"report"},"uris":["http://www.mendeley.com/documents/?uuid=c328fe99-ac15-32d5-93ca-de897b42759b"]}],"mendeley":{"formattedCitation":"&lt;sup&gt;91&lt;/sup&gt;","plainTextFormattedCitation":"91","previouslyFormattedCitation":"&lt;sup&gt;91&lt;/sup&gt;"},"properties":{"noteIndex":0},"schema":"https://github.com/citation-style-language/schema/raw/master/csl-citation.json"}</w:instrText>
      </w:r>
      <w:r w:rsidRPr="000E55C1">
        <w:rPr>
          <w:rStyle w:val="normaltextrun"/>
          <w:rFonts w:eastAsia="Times New Roman" w:cstheme="minorHAnsi"/>
          <w:vertAlign w:val="superscript"/>
          <w:lang w:eastAsia="en-GB"/>
        </w:rPr>
        <w:fldChar w:fldCharType="separate"/>
      </w:r>
      <w:r w:rsidR="000E55C1" w:rsidRPr="000E55C1">
        <w:rPr>
          <w:rStyle w:val="normaltextrun"/>
          <w:rFonts w:eastAsia="Times New Roman" w:cstheme="minorHAnsi"/>
          <w:noProof/>
          <w:vertAlign w:val="superscript"/>
          <w:lang w:eastAsia="en-GB"/>
        </w:rPr>
        <w:t>91</w:t>
      </w:r>
      <w:r w:rsidRPr="000E55C1">
        <w:rPr>
          <w:rStyle w:val="normaltextrun"/>
          <w:rFonts w:eastAsia="Times New Roman" w:cstheme="minorHAnsi"/>
          <w:lang w:eastAsia="en-GB"/>
        </w:rPr>
        <w:fldChar w:fldCharType="end"/>
      </w:r>
      <w:r w:rsidRPr="000E55C1">
        <w:rPr>
          <w:rStyle w:val="normaltextrun"/>
          <w:rFonts w:eastAsia="Times New Roman" w:cstheme="minorHAnsi"/>
          <w:lang w:eastAsia="en-GB"/>
        </w:rPr>
        <w:t xml:space="preserve">. GHG emissions from UK industry have declined significantly, falling by 53% when compared with levels in 1990 </w:t>
      </w:r>
      <w:r w:rsidRPr="000E55C1">
        <w:rPr>
          <w:rStyle w:val="normaltextrun"/>
          <w:rFonts w:eastAsia="Times New Roman" w:cstheme="minorHAnsi"/>
          <w:lang w:eastAsia="en-GB"/>
        </w:rPr>
        <w:fldChar w:fldCharType="begin" w:fldLock="1"/>
      </w:r>
      <w:r w:rsidR="00270777">
        <w:rPr>
          <w:rStyle w:val="normaltextrun"/>
          <w:rFonts w:eastAsia="Times New Roman" w:cstheme="minorHAnsi"/>
          <w:lang w:eastAsia="en-GB"/>
        </w:rPr>
        <w:instrText>ADDIN CSL_CITATION {"citationItems":[{"id":"ITEM-1","itemData":{"author":[{"dropping-particle":"","family":"CCC","given":"","non-dropping-particle":"","parse-names":false,"suffix":""}],"id":"ITEM-1","issued":{"date-parts":[["2020"]]},"number-of-pages":"1-196","title":"Reducing UK emissions: 2020 Progress Report to Parliament ","type":"report"},"uris":["http://www.mendeley.com/documents/?uuid=c328fe99-ac15-32d5-93ca-de897b42759b"]}],"mendeley":{"formattedCitation":"&lt;sup&gt;91&lt;/sup&gt;","plainTextFormattedCitation":"91","previouslyFormattedCitation":"&lt;sup&gt;91&lt;/sup&gt;"},"properties":{"noteIndex":0},"schema":"https://github.com/citation-style-language/schema/raw/master/csl-citation.json"}</w:instrText>
      </w:r>
      <w:r w:rsidRPr="000E55C1">
        <w:rPr>
          <w:rStyle w:val="normaltextrun"/>
          <w:rFonts w:eastAsia="Times New Roman" w:cstheme="minorHAnsi"/>
          <w:lang w:eastAsia="en-GB"/>
        </w:rPr>
        <w:fldChar w:fldCharType="separate"/>
      </w:r>
      <w:r w:rsidR="000E55C1" w:rsidRPr="000E55C1">
        <w:rPr>
          <w:rStyle w:val="normaltextrun"/>
          <w:rFonts w:eastAsia="Times New Roman" w:cstheme="minorHAnsi"/>
          <w:noProof/>
          <w:vertAlign w:val="superscript"/>
          <w:lang w:eastAsia="en-GB"/>
        </w:rPr>
        <w:t>91</w:t>
      </w:r>
      <w:r w:rsidRPr="000E55C1">
        <w:rPr>
          <w:rStyle w:val="normaltextrun"/>
          <w:rFonts w:eastAsia="Times New Roman" w:cstheme="minorHAnsi"/>
          <w:lang w:eastAsia="en-GB"/>
        </w:rPr>
        <w:fldChar w:fldCharType="end"/>
      </w:r>
      <w:r w:rsidRPr="000E55C1">
        <w:rPr>
          <w:rStyle w:val="normaltextrun"/>
          <w:rFonts w:eastAsia="Times New Roman" w:cstheme="minorHAnsi"/>
          <w:lang w:eastAsia="en-GB"/>
        </w:rPr>
        <w:t xml:space="preserve">. Some of these savings can be attributed to reductions in industrial energy use resulting from energy efficiency savings, however, most of these reductions are explained by the offshoring of the production of goods previously made in the UK </w:t>
      </w:r>
      <w:r w:rsidRPr="000E55C1">
        <w:rPr>
          <w:rStyle w:val="normaltextrun"/>
          <w:rFonts w:eastAsia="Times New Roman" w:cstheme="minorHAnsi"/>
          <w:lang w:eastAsia="en-GB"/>
        </w:rPr>
        <w:fldChar w:fldCharType="begin" w:fldLock="1"/>
      </w:r>
      <w:r w:rsidR="00090364" w:rsidRPr="000E55C1">
        <w:rPr>
          <w:rStyle w:val="normaltextrun"/>
          <w:rFonts w:eastAsia="Times New Roman" w:cstheme="minorHAnsi"/>
          <w:lang w:eastAsia="en-GB"/>
        </w:rPr>
        <w:instrText>ADDIN CSL_CITATION {"citationItems":[{"id":"ITEM-1","itemData":{"DOI":"10.1016/j.apenergy.2018.03.127","ISSN":"03062619","abstract":"The UK has been one of the few countries that has successfully decoupled final energy consumption from economic growth over the past 15 years. This study investigates the drivers of final energy consumption in the UK productive sectors between 1997 and 2013 using a decomposition analysis that incorporates two novel features. Firstly, it investigates to what extent changes in thermodynamic efficiency have contributed to overall changes in sectoral energy intensities. Secondly, it analyses how much of the structural change in the UK economy is driven by the offshoring of energy-intensive production overseas. The results show that energy intensity reductions are the strongest factor reducing energy consumption. However, only a third of the energy savings from energy intensity reductions can be attributed to reductions in thermodynamic efficiency with reductions in the exergy intensity of production making up the reminder. In addition the majority of energy savings from structural change are a result of offshoring, which constitutes the second biggest factor reducing energy consumption. In recent years the contributions of all decomposition factors have been declining with very little change in energy consumption after 2009. This suggests that a return to the strong reductions in energy consumption observed between 2001 and 2009 in the UK productive sectors should not be taken for granted. Given that further reductions in UK final energy consumption are needed to achieve global targets for climate change mitigation, additional policy interventions are needed. Such policies should adopt a holistic approach, taking into account all sectors in the UK economy as well as the relationship between the structural change in the UK and in the global supply chains delivering the goods and service for consumption and investment in the UK.","author":[{"dropping-particle":"","family":"Hardt","given":"Lukas","non-dropping-particle":"","parse-names":false,"suffix":""},{"dropping-particle":"","family":"Owen","given":"Anne","non-dropping-particle":"","parse-names":false,"suffix":""},{"dropping-particle":"","family":"Brockway","given":"Paul","non-dropping-particle":"","parse-names":false,"suffix":""},{"dropping-particle":"","family":"Heun","given":"Matthew K.","non-dropping-particle":"","parse-names":false,"suffix":""},{"dropping-particle":"","family":"Barrett","given":"John","non-dropping-particle":"","parse-names":false,"suffix":""},{"dropping-particle":"","family":"Taylor","given":"Peter G.","non-dropping-particle":"","parse-names":false,"suffix":""},{"dropping-particle":"","family":"Foxon","given":"Timothy J.","non-dropping-particle":"","parse-names":false,"suffix":""}],"container-title":"Applied Energy","id":"ITEM-1","issued":{"date-parts":[["2018","8","1"]]},"page":"124-133","publisher":"Elsevier Ltd","title":"Untangling the drivers of energy reduction in the UK productive sectors: Efficiency or offshoring?","type":"article-journal","volume":"223"},"uris":["http://www.mendeley.com/documents/?uuid=94b40320-d30c-4438-8f16-6a98bc810c27"]}],"mendeley":{"formattedCitation":"&lt;sup&gt;3&lt;/sup&gt;","plainTextFormattedCitation":"3","previouslyFormattedCitation":"&lt;sup&gt;3&lt;/sup&gt;"},"properties":{"noteIndex":0},"schema":"https://github.com/citation-style-language/schema/raw/master/csl-citation.json"}</w:instrText>
      </w:r>
      <w:r w:rsidRPr="000E55C1">
        <w:rPr>
          <w:rStyle w:val="normaltextrun"/>
          <w:rFonts w:eastAsia="Times New Roman" w:cstheme="minorHAnsi"/>
          <w:lang w:eastAsia="en-GB"/>
        </w:rPr>
        <w:fldChar w:fldCharType="separate"/>
      </w:r>
      <w:r w:rsidR="00090364" w:rsidRPr="000E55C1">
        <w:rPr>
          <w:rStyle w:val="normaltextrun"/>
          <w:rFonts w:eastAsia="Times New Roman" w:cstheme="minorHAnsi"/>
          <w:noProof/>
          <w:vertAlign w:val="superscript"/>
          <w:lang w:eastAsia="en-GB"/>
        </w:rPr>
        <w:t>3</w:t>
      </w:r>
      <w:r w:rsidRPr="000E55C1">
        <w:rPr>
          <w:rStyle w:val="normaltextrun"/>
          <w:rFonts w:eastAsia="Times New Roman" w:cstheme="minorHAnsi"/>
          <w:lang w:eastAsia="en-GB"/>
        </w:rPr>
        <w:fldChar w:fldCharType="end"/>
      </w:r>
      <w:r w:rsidRPr="000E55C1">
        <w:rPr>
          <w:rStyle w:val="normaltextrun"/>
          <w:rFonts w:eastAsia="Times New Roman" w:cstheme="minorHAnsi"/>
          <w:lang w:eastAsia="en-GB"/>
        </w:rPr>
        <w:t>. The energy demand reductions in this scenario look to reduce industrial energy use embodied in the production of materials and goods without offshoring this to other countries. The analysis focuses on UK action. Due to the international trade of materials and products additional reductions would be seen if similar strategies were followed by overseas consumers of UK manufactured materials and products.</w:t>
      </w:r>
    </w:p>
    <w:p w14:paraId="725E6413" w14:textId="77777777" w:rsidR="009627EA" w:rsidRPr="000E55C1" w:rsidRDefault="009627EA" w:rsidP="009627EA">
      <w:pPr>
        <w:spacing w:line="257" w:lineRule="auto"/>
        <w:rPr>
          <w:rFonts w:eastAsia="Corbel" w:cstheme="minorHAnsi"/>
        </w:rPr>
      </w:pPr>
      <w:r w:rsidRPr="000E55C1">
        <w:rPr>
          <w:rFonts w:eastAsia="Corbel" w:cstheme="minorHAnsi"/>
        </w:rPr>
        <w:t>We consider three key options for reducing the energy demanded in the production of materials and goods: resource efficiency, energy efficiency, and changes to construction’s demand for materials.  Resource efficiency strategies reduce the required output of materials and products. Energy efficiency strategies reduce the energy demand to produce each unit of output. Additionally, changes in construction demand are an important driver of material production and associated energy demand.</w:t>
      </w:r>
    </w:p>
    <w:p w14:paraId="2A322218" w14:textId="14B039DE" w:rsidR="009627EA" w:rsidRPr="000E55C1" w:rsidRDefault="009627EA" w:rsidP="009627EA">
      <w:pPr>
        <w:spacing w:line="257" w:lineRule="auto"/>
        <w:rPr>
          <w:rFonts w:eastAsia="Corbel" w:cstheme="minorHAnsi"/>
          <w:noProof/>
        </w:rPr>
      </w:pPr>
      <w:r w:rsidRPr="000E55C1">
        <w:rPr>
          <w:rFonts w:eastAsia="Corbel" w:cstheme="minorHAnsi"/>
        </w:rPr>
        <w:t xml:space="preserve">Resource efficiency options were based on an existing review of opportunities for the UK </w:t>
      </w:r>
      <w:r w:rsidRPr="000E55C1">
        <w:rPr>
          <w:rFonts w:eastAsia="Corbel" w:cstheme="minorHAnsi"/>
        </w:rPr>
        <w:fldChar w:fldCharType="begin" w:fldLock="1"/>
      </w:r>
      <w:r w:rsidR="00A14385" w:rsidRPr="000E55C1">
        <w:rPr>
          <w:rFonts w:eastAsia="Corbel" w:cstheme="minorHAnsi"/>
        </w:rPr>
        <w:instrText>ADDIN CSL_CITATION {"citationItems":[{"id":"ITEM-1","itemData":{"DOI":"10.1111/jiec.12831","ISSN":"15309290","abstract":"Projections of UK greenhouse gas emissions estimate a shortfall in existing and planned climate policies meeting UK climate targets: the UK's mitigation gap. Material and product demand is driving industrial greenhouse gas emissions at a rate greater than carbon intensity improvements in the economy. Evidence shows that products can be produced with fewer carbon intensive inputs and demand for new products can be reduced. The economy-wide contribution of material productivity and lifestyle changes to bridging the UK's mitigation gap is understudied. We integrate an input-output framework with econometric analysis and case study evidence to analyse the potential of material productivity to help the UK bridge its anticipated emissions deficits, and the additional effort required to achieve transformative change aligned with 2 and 1.5°C temperature targets. We estimate that the emissions savings from material productivity measures are comparable to those from the Government's planned climate policy package. These additional measures could reduce the UK's anticipated emissions deficit up to 73%. The results demonstrate that material productivity deserves greater consideration in climate policy.","author":[{"dropping-particle":"","family":"Scott","given":"Kate","non-dropping-particle":"","parse-names":false,"suffix":""},{"dropping-particle":"","family":"Giesekam","given":"Jannik","non-dropping-particle":"","parse-names":false,"suffix":""},{"dropping-particle":"","family":"Barrett","given":"John","non-dropping-particle":"","parse-names":false,"suffix":""},{"dropping-particle":"","family":"Owen","given":"Anne","non-dropping-particle":"","parse-names":false,"suffix":""}],"container-title":"Journal of Industrial Ecology","id":"ITEM-1","issue":"4","issued":{"date-parts":[["2019","8","5"]]},"page":"918-931","publisher":"Blackwell Publishing","title":"Bridging the climate mitigation gap with economy-wide material productivity","type":"article-journal","volume":"23"},"uris":["http://www.mendeley.com/documents/?uuid=cfb06ad3-2422-3c5d-bdf5-4410920399d7"]}],"mendeley":{"formattedCitation":"&lt;sup&gt;35&lt;/sup&gt;","plainTextFormattedCitation":"35","previouslyFormattedCitation":"&lt;sup&gt;35&lt;/sup&gt;"},"properties":{"noteIndex":0},"schema":"https://github.com/citation-style-language/schema/raw/master/csl-citation.json"}</w:instrText>
      </w:r>
      <w:r w:rsidRPr="000E55C1">
        <w:rPr>
          <w:rFonts w:eastAsia="Corbel" w:cstheme="minorHAnsi"/>
          <w:vertAlign w:val="superscript"/>
        </w:rPr>
        <w:fldChar w:fldCharType="separate"/>
      </w:r>
      <w:r w:rsidR="00A14385" w:rsidRPr="000E55C1">
        <w:rPr>
          <w:rFonts w:eastAsia="Corbel" w:cstheme="minorHAnsi"/>
          <w:noProof/>
          <w:vertAlign w:val="superscript"/>
        </w:rPr>
        <w:t>35</w:t>
      </w:r>
      <w:r w:rsidRPr="000E55C1">
        <w:rPr>
          <w:rFonts w:eastAsia="Corbel" w:cstheme="minorHAnsi"/>
        </w:rPr>
        <w:fldChar w:fldCharType="end"/>
      </w:r>
      <w:r w:rsidRPr="000E55C1">
        <w:rPr>
          <w:rFonts w:eastAsia="Corbel" w:cstheme="minorHAnsi"/>
        </w:rPr>
        <w:t xml:space="preserve">. This is the widest existing assessment of such options for the UK and has been used extensively by (amongst others) the Climate Change Committee in informing the potential for resource efficiency within their carbon budget analysis </w:t>
      </w:r>
      <w:r w:rsidRPr="000E55C1">
        <w:rPr>
          <w:rFonts w:eastAsia="Corbel" w:cstheme="minorHAnsi"/>
        </w:rPr>
        <w:fldChar w:fldCharType="begin" w:fldLock="1"/>
      </w:r>
      <w:r w:rsidR="00EB620C" w:rsidRPr="000E55C1">
        <w:rPr>
          <w:rFonts w:eastAsia="Corbel" w:cstheme="minorHAnsi"/>
        </w:rPr>
        <w:instrText>ADDIN CSL_CITATION {"citationItems":[{"id":"ITEM-1","itemData":{"author":[{"dropping-particle":"","family":"CCC","given":"","non-dropping-particle":"","parse-names":false,"suffix":""}],"id":"ITEM-1","issued":{"date-parts":[["2020"]]},"number-of-pages":"1-448","title":"Sixth Carbon Budget: The UK's Path to Net Zero","type":"report"},"uris":["http://www.mendeley.com/documents/?uuid=3b5c338f-f3b8-3a29-b9d1-e401c47e5fcf"]}],"mendeley":{"formattedCitation":"&lt;sup&gt;24&lt;/sup&gt;","plainTextFormattedCitation":"24","previouslyFormattedCitation":"&lt;sup&gt;24&lt;/sup&gt;"},"properties":{"noteIndex":0},"schema":"https://github.com/citation-style-language/schema/raw/master/csl-citation.json"}</w:instrText>
      </w:r>
      <w:r w:rsidRPr="000E55C1">
        <w:rPr>
          <w:rFonts w:eastAsia="Corbel" w:cstheme="minorHAnsi"/>
        </w:rPr>
        <w:fldChar w:fldCharType="separate"/>
      </w:r>
      <w:r w:rsidR="00EB620C" w:rsidRPr="000E55C1">
        <w:rPr>
          <w:rFonts w:eastAsia="Corbel" w:cstheme="minorHAnsi"/>
          <w:noProof/>
          <w:vertAlign w:val="superscript"/>
        </w:rPr>
        <w:t>24</w:t>
      </w:r>
      <w:r w:rsidRPr="000E55C1">
        <w:rPr>
          <w:rFonts w:eastAsia="Corbel" w:cstheme="minorHAnsi"/>
        </w:rPr>
        <w:fldChar w:fldCharType="end"/>
      </w:r>
      <w:r w:rsidRPr="000E55C1">
        <w:rPr>
          <w:rFonts w:eastAsia="Corbel" w:cstheme="minorHAnsi"/>
        </w:rPr>
        <w:t xml:space="preserve"> and the UK government’s recent Industrial Decarbonisation Strategy </w:t>
      </w:r>
      <w:r w:rsidRPr="000E55C1">
        <w:rPr>
          <w:rFonts w:eastAsia="Corbel" w:cstheme="minorHAnsi"/>
        </w:rPr>
        <w:fldChar w:fldCharType="begin" w:fldLock="1"/>
      </w:r>
      <w:r w:rsidR="00270777">
        <w:rPr>
          <w:rFonts w:eastAsia="Corbel" w:cstheme="minorHAnsi"/>
        </w:rPr>
        <w:instrText>ADDIN CSL_CITATION {"citationItems":[{"id":"ITEM-1","itemData":{"ISBN":"978-1-5286-2449-7","author":[{"dropping-particle":"","family":"BEIS","given":"","non-dropping-particle":"","parse-names":false,"suffix":""}],"id":"ITEM-1","issued":{"date-parts":[["2021"]]},"number-of-pages":"170","title":"Industrial Decarbonisation Strategy","type":"report"},"uris":["http://www.mendeley.com/documents/?uuid=6afb596e-f0cc-32c0-8c92-e1524a8736f9"]}],"mendeley":{"formattedCitation":"&lt;sup&gt;92&lt;/sup&gt;","plainTextFormattedCitation":"92","previouslyFormattedCitation":"&lt;sup&gt;92&lt;/sup&gt;"},"properties":{"noteIndex":0},"schema":"https://github.com/citation-style-language/schema/raw/master/csl-citation.json"}</w:instrText>
      </w:r>
      <w:r w:rsidRPr="000E55C1">
        <w:rPr>
          <w:rFonts w:eastAsia="Corbel" w:cstheme="minorHAnsi"/>
        </w:rPr>
        <w:fldChar w:fldCharType="separate"/>
      </w:r>
      <w:r w:rsidR="000E55C1" w:rsidRPr="000E55C1">
        <w:rPr>
          <w:rFonts w:eastAsia="Corbel" w:cstheme="minorHAnsi"/>
          <w:noProof/>
          <w:vertAlign w:val="superscript"/>
        </w:rPr>
        <w:t>92</w:t>
      </w:r>
      <w:r w:rsidRPr="000E55C1">
        <w:rPr>
          <w:rFonts w:eastAsia="Corbel" w:cstheme="minorHAnsi"/>
        </w:rPr>
        <w:fldChar w:fldCharType="end"/>
      </w:r>
      <w:r w:rsidRPr="000E55C1">
        <w:rPr>
          <w:rFonts w:eastAsia="Corbel" w:cstheme="minorHAnsi"/>
        </w:rPr>
        <w:t>. The resource efficiency opportunities related to construction and nutrition from the earlier analysis of</w:t>
      </w:r>
      <w:r w:rsidR="00270777">
        <w:rPr>
          <w:rFonts w:eastAsia="Corbel" w:cstheme="minorHAnsi"/>
        </w:rPr>
        <w:t xml:space="preserve"> Scott et al.</w:t>
      </w:r>
      <w:r w:rsidR="00270777">
        <w:rPr>
          <w:rFonts w:eastAsia="Corbel" w:cstheme="minorHAnsi"/>
        </w:rPr>
        <w:fldChar w:fldCharType="begin" w:fldLock="1"/>
      </w:r>
      <w:r w:rsidR="00270777">
        <w:rPr>
          <w:rFonts w:eastAsia="Corbel" w:cstheme="minorHAnsi"/>
        </w:rPr>
        <w:instrText>ADDIN CSL_CITATION {"citationItems":[{"id":"ITEM-1","itemData":{"DOI":"10.1111/jiec.12831","ISSN":"15309290","abstract":"Projections of UK greenhouse gas emissions estimate a shortfall in existing and planned climate policies meeting UK climate targets: the UK's mitigation gap. Material and product demand is driving industrial greenhouse gas emissions at a rate greater than carbon intensity improvements in the economy. Evidence shows that products can be produced with fewer carbon intensive inputs and demand for new products can be reduced. The economy-wide contribution of material productivity and lifestyle changes to bridging the UK's mitigation gap is understudied. We integrate an input-output framework with econometric analysis and case study evidence to analyse the potential of material productivity to help the UK bridge its anticipated emissions deficits, and the additional effort required to achieve transformative change aligned with 2 and 1.5°C temperature targets. We estimate that the emissions savings from material productivity measures are comparable to those from the Government's planned climate policy package. These additional measures could reduce the UK's anticipated emissions deficit up to 73%. The results demonstrate that material productivity deserves greater consideration in climate policy.","author":[{"dropping-particle":"","family":"Scott","given":"Kate","non-dropping-particle":"","parse-names":false,"suffix":""},{"dropping-particle":"","family":"Giesekam","given":"Jannik","non-dropping-particle":"","parse-names":false,"suffix":""},{"dropping-particle":"","family":"Barrett","given":"John","non-dropping-particle":"","parse-names":false,"suffix":""},{"dropping-particle":"","family":"Owen","given":"Anne","non-dropping-particle":"","parse-names":false,"suffix":""}],"container-title":"Journal of Industrial Ecology","id":"ITEM-1","issue":"4","issued":{"date-parts":[["2019","8","5"]]},"page":"918-931","publisher":"Blackwell Publishing","title":"Bridging the climate mitigation gap with economy-wide material productivity","type":"article-journal","volume":"23"},"uris":["http://www.mendeley.com/documents/?uuid=a1a7140f-1e2d-4360-8cce-c13c6fbfbe3e"]}],"mendeley":{"formattedCitation":"&lt;sup&gt;35&lt;/sup&gt;","plainTextFormattedCitation":"35","previouslyFormattedCitation":"&lt;sup&gt;35&lt;/sup&gt;"},"properties":{"noteIndex":0},"schema":"https://github.com/citation-style-language/schema/raw/master/csl-citation.json"}</w:instrText>
      </w:r>
      <w:r w:rsidR="00270777">
        <w:rPr>
          <w:rFonts w:eastAsia="Corbel" w:cstheme="minorHAnsi"/>
        </w:rPr>
        <w:fldChar w:fldCharType="separate"/>
      </w:r>
      <w:r w:rsidR="00270777" w:rsidRPr="00270777">
        <w:rPr>
          <w:rFonts w:eastAsia="Corbel" w:cstheme="minorHAnsi"/>
          <w:noProof/>
          <w:vertAlign w:val="superscript"/>
        </w:rPr>
        <w:t>35</w:t>
      </w:r>
      <w:r w:rsidR="00270777">
        <w:rPr>
          <w:rFonts w:eastAsia="Corbel" w:cstheme="minorHAnsi"/>
        </w:rPr>
        <w:fldChar w:fldCharType="end"/>
      </w:r>
      <w:r w:rsidRPr="000E55C1">
        <w:rPr>
          <w:rFonts w:eastAsia="Corbel" w:cstheme="minorHAnsi"/>
        </w:rPr>
        <w:t xml:space="preserve"> were not included in the current assessment as each is analysed independently here.</w:t>
      </w:r>
    </w:p>
    <w:p w14:paraId="6052A97D" w14:textId="7B3FA13D" w:rsidR="009627EA" w:rsidRPr="000E55C1" w:rsidRDefault="009627EA" w:rsidP="009627EA">
      <w:pPr>
        <w:spacing w:line="257" w:lineRule="auto"/>
        <w:rPr>
          <w:rFonts w:cstheme="minorHAnsi"/>
        </w:rPr>
      </w:pPr>
      <w:r w:rsidRPr="000E55C1">
        <w:rPr>
          <w:rFonts w:cstheme="minorHAnsi"/>
        </w:rPr>
        <w:lastRenderedPageBreak/>
        <w:t xml:space="preserve">Energy efficiency measures in the LED scenarios are based on the existing technology options within the UK TM model (see section 3.6), which are based upon a review of technological options at the level of industrial subsectors in the UK Energy Research Centre Usable Energy Database </w:t>
      </w:r>
      <w:r w:rsidRPr="000E55C1">
        <w:rPr>
          <w:rFonts w:cstheme="minorHAnsi"/>
        </w:rPr>
        <w:fldChar w:fldCharType="begin" w:fldLock="1"/>
      </w:r>
      <w:r w:rsidR="00270777">
        <w:rPr>
          <w:rFonts w:cstheme="minorHAnsi"/>
        </w:rPr>
        <w:instrText>ADDIN CSL_CITATION {"citationItems":[{"id":"ITEM-1","itemData":{"author":[{"dropping-particle":"","family":"Griffin","given":"Paul","non-dropping-particle":"","parse-names":false,"suffix":""},{"dropping-particle":"","family":"Hammond","given":"Giles","non-dropping-particle":"","parse-names":false,"suffix":""},{"dropping-particle":"","family":"Norman","given":"Jonathan","non-dropping-particle":"","parse-names":false,"suffix":""}],"id":"ITEM-1","issued":{"date-parts":[["2013"]]},"number-of-pages":"1-53","publisher-place":"BAth","title":"Industrial Energy Use from a Bottom-Up Perspective: Developing the Usable Energy Database ","type":"report"},"uris":["http://www.mendeley.com/documents/?uuid=f06f4ac2-041f-3c00-9d59-cff52761eb76"]}],"mendeley":{"formattedCitation":"&lt;sup&gt;93&lt;/sup&gt;","plainTextFormattedCitation":"93","previouslyFormattedCitation":"&lt;sup&gt;93&lt;/sup&gt;"},"properties":{"noteIndex":0},"schema":"https://github.com/citation-style-language/schema/raw/master/csl-citation.json"}</w:instrText>
      </w:r>
      <w:r w:rsidRPr="000E55C1">
        <w:rPr>
          <w:rFonts w:cstheme="minorHAnsi"/>
          <w:vertAlign w:val="superscript"/>
        </w:rPr>
        <w:fldChar w:fldCharType="separate"/>
      </w:r>
      <w:r w:rsidR="000E55C1" w:rsidRPr="000E55C1">
        <w:rPr>
          <w:rFonts w:cstheme="minorHAnsi"/>
          <w:noProof/>
          <w:vertAlign w:val="superscript"/>
        </w:rPr>
        <w:t>93</w:t>
      </w:r>
      <w:r w:rsidRPr="000E55C1">
        <w:rPr>
          <w:rFonts w:cstheme="minorHAnsi"/>
        </w:rPr>
        <w:fldChar w:fldCharType="end"/>
      </w:r>
      <w:r w:rsidRPr="000E55C1">
        <w:rPr>
          <w:rFonts w:cstheme="minorHAnsi"/>
        </w:rPr>
        <w:t xml:space="preserve">. </w:t>
      </w:r>
      <w:r w:rsidRPr="000E55C1">
        <w:rPr>
          <w:rFonts w:eastAsia="Corbel" w:cstheme="minorHAnsi"/>
        </w:rPr>
        <w:t xml:space="preserve">The sectors represented in UK TM, covered by this analysis are iron and steel, non-ferrous metals, cement, non-metallic minerals, chemicals (ammonia), chemicals (high value chemicals), chemicals (other), paper and others. UK TM was used to select efficiency measures for each sector in a cost optimal manner to reach the emissions targets of each scenario. </w:t>
      </w:r>
    </w:p>
    <w:p w14:paraId="5E3D1825" w14:textId="6CB6E025" w:rsidR="009627EA" w:rsidRPr="000E55C1" w:rsidRDefault="009627EA" w:rsidP="009627EA">
      <w:pPr>
        <w:spacing w:line="257" w:lineRule="auto"/>
        <w:rPr>
          <w:rFonts w:eastAsia="Corbel" w:cstheme="minorHAnsi"/>
        </w:rPr>
      </w:pPr>
      <w:r w:rsidRPr="000E55C1">
        <w:rPr>
          <w:rFonts w:eastAsia="Corbel" w:cstheme="minorHAnsi"/>
        </w:rPr>
        <w:t xml:space="preserve">The construction sector is the largest user of materials and the largest producer of waste by tonnage in the UK </w:t>
      </w:r>
      <w:r w:rsidRPr="000E55C1">
        <w:rPr>
          <w:rFonts w:eastAsia="Corbel" w:cstheme="minorHAnsi"/>
        </w:rPr>
        <w:fldChar w:fldCharType="begin" w:fldLock="1"/>
      </w:r>
      <w:r w:rsidR="00270777">
        <w:rPr>
          <w:rFonts w:eastAsia="Corbel" w:cstheme="minorHAnsi"/>
        </w:rPr>
        <w:instrText>ADDIN CSL_CITATION {"citationItems":[{"id":"ITEM-1","itemData":{"author":[{"dropping-particle":"","family":"CLC","given":"","non-dropping-particle":"","parse-names":false,"suffix":""},{"dropping-particle":"","family":"GCB","given":"","non-dropping-particle":"","parse-names":false,"suffix":""}],"id":"ITEM-1","issued":{"date-parts":[["2020"]]},"title":"Zero Avoidable Waste in Construction","type":"report"},"uris":["http://www.mendeley.com/documents/?uuid=5bbc03d4-71bb-42d4-9917-fb2d0892364e"]}],"mendeley":{"formattedCitation":"&lt;sup&gt;94&lt;/sup&gt;","plainTextFormattedCitation":"94","previouslyFormattedCitation":"&lt;sup&gt;94&lt;/sup&gt;"},"properties":{"noteIndex":0},"schema":"https://github.com/citation-style-language/schema/raw/master/csl-citation.json"}</w:instrText>
      </w:r>
      <w:r w:rsidRPr="000E55C1">
        <w:rPr>
          <w:rFonts w:eastAsia="Corbel" w:cstheme="minorHAnsi"/>
          <w:vertAlign w:val="superscript"/>
        </w:rPr>
        <w:fldChar w:fldCharType="separate"/>
      </w:r>
      <w:r w:rsidR="000E55C1" w:rsidRPr="000E55C1">
        <w:rPr>
          <w:rFonts w:eastAsia="Corbel" w:cstheme="minorHAnsi"/>
          <w:noProof/>
          <w:vertAlign w:val="superscript"/>
        </w:rPr>
        <w:t>94</w:t>
      </w:r>
      <w:r w:rsidRPr="000E55C1">
        <w:rPr>
          <w:rFonts w:eastAsia="Corbel" w:cstheme="minorHAnsi"/>
        </w:rPr>
        <w:fldChar w:fldCharType="end"/>
      </w:r>
      <w:r w:rsidRPr="000E55C1">
        <w:rPr>
          <w:rFonts w:eastAsia="Corbel" w:cstheme="minorHAnsi"/>
        </w:rPr>
        <w:t xml:space="preserve">. </w:t>
      </w:r>
      <w:r w:rsidRPr="000E55C1">
        <w:rPr>
          <w:rFonts w:cstheme="minorHAnsi"/>
        </w:rPr>
        <w:t xml:space="preserve">The sector is the principal consumer of a sizeable proportion of industrial output, particularly of key highly energy intensive materials, such as cement and steel. There is potential to reduce demand for production of these materials (and the corresponding energy demand) by changing national demand for new buildings and infrastructure; and how these assets are designed and delivered. In this analysis we derive future estimates of demand for key construction materials based upon scenarios of future demand for buildings and infrastructure; and the uptake of a range of mitigation measures that may reduce the quantity of new materials needed to service this demand. Whilst many of the measures undertaken to reduce demand in the construction sector fall into the categories of resource and energy efficiency, they were treated separately given the significant contribution of construction to total energy demand, and constructions interrelationships with other </w:t>
      </w:r>
      <w:r w:rsidR="00270777">
        <w:rPr>
          <w:rFonts w:cstheme="minorHAnsi"/>
        </w:rPr>
        <w:t>s</w:t>
      </w:r>
      <w:r w:rsidRPr="000E55C1">
        <w:rPr>
          <w:rFonts w:cstheme="minorHAnsi"/>
        </w:rPr>
        <w:t xml:space="preserve">ectors. To do so, </w:t>
      </w:r>
      <w:r w:rsidRPr="000E55C1">
        <w:rPr>
          <w:rFonts w:eastAsia="Corbel" w:cstheme="minorHAnsi"/>
        </w:rPr>
        <w:t>a literature review of over 60 academic publications and industrial case studies was undertaken to identify mitigation options, which were then analysed using a construction-specific dedicated model. The bespoke model considers 36 specific applications of key materials across 17 different built asset categories.</w:t>
      </w:r>
    </w:p>
    <w:p w14:paraId="68D42752" w14:textId="6F646BAD" w:rsidR="009627EA" w:rsidRPr="000E55C1" w:rsidRDefault="009627EA" w:rsidP="009627EA">
      <w:pPr>
        <w:spacing w:line="257" w:lineRule="auto"/>
        <w:rPr>
          <w:rFonts w:cstheme="minorHAnsi"/>
        </w:rPr>
      </w:pPr>
      <w:r w:rsidRPr="000E55C1">
        <w:rPr>
          <w:rFonts w:eastAsia="Corbel" w:cstheme="minorHAnsi"/>
        </w:rPr>
        <w:t xml:space="preserve">Key Assumptions include: </w:t>
      </w:r>
    </w:p>
    <w:p w14:paraId="2DF55380" w14:textId="77777777" w:rsidR="009627EA" w:rsidRPr="000E55C1" w:rsidRDefault="009627EA" w:rsidP="009627EA">
      <w:pPr>
        <w:spacing w:line="257" w:lineRule="auto"/>
        <w:rPr>
          <w:rFonts w:cstheme="minorHAnsi"/>
        </w:rPr>
      </w:pPr>
      <w:r w:rsidRPr="000E55C1">
        <w:rPr>
          <w:rFonts w:eastAsia="Corbel" w:cstheme="minorHAnsi"/>
        </w:rPr>
        <w:t>Energy Efficiency</w:t>
      </w:r>
    </w:p>
    <w:p w14:paraId="37911FC1" w14:textId="77777777" w:rsidR="009627EA" w:rsidRPr="000E55C1" w:rsidRDefault="009627EA" w:rsidP="009627EA">
      <w:pPr>
        <w:pStyle w:val="ListParagraph"/>
        <w:numPr>
          <w:ilvl w:val="0"/>
          <w:numId w:val="4"/>
        </w:numPr>
        <w:spacing w:line="257" w:lineRule="auto"/>
        <w:rPr>
          <w:rFonts w:asciiTheme="minorHAnsi" w:hAnsiTheme="minorHAnsi" w:cstheme="minorHAnsi"/>
          <w:color w:val="auto"/>
          <w:sz w:val="22"/>
          <w:szCs w:val="22"/>
          <w:lang w:val="en-GB"/>
        </w:rPr>
      </w:pPr>
      <w:r w:rsidRPr="000E55C1">
        <w:rPr>
          <w:rFonts w:asciiTheme="minorHAnsi" w:hAnsiTheme="minorHAnsi" w:cstheme="minorHAnsi"/>
          <w:color w:val="auto"/>
          <w:sz w:val="22"/>
          <w:szCs w:val="22"/>
          <w:lang w:val="en-GB"/>
        </w:rPr>
        <w:t xml:space="preserve">Improvements to current processes and replacement technologies (including fuel switching) are selected at the UK TM subsector level, to meet emissions targets in a cost optimal manner. </w:t>
      </w:r>
    </w:p>
    <w:p w14:paraId="557C092D" w14:textId="77777777" w:rsidR="009627EA" w:rsidRPr="000E55C1" w:rsidRDefault="009627EA" w:rsidP="009627EA">
      <w:pPr>
        <w:spacing w:line="257" w:lineRule="auto"/>
        <w:rPr>
          <w:rFonts w:eastAsia="Corbel" w:cstheme="minorHAnsi"/>
        </w:rPr>
      </w:pPr>
      <w:r w:rsidRPr="000E55C1">
        <w:rPr>
          <w:rFonts w:eastAsia="Corbel" w:cstheme="minorHAnsi"/>
        </w:rPr>
        <w:t>Resource Efficiency</w:t>
      </w:r>
    </w:p>
    <w:p w14:paraId="1278E9ED" w14:textId="77777777" w:rsidR="009627EA" w:rsidRPr="000E55C1" w:rsidRDefault="009627EA" w:rsidP="009627EA">
      <w:pPr>
        <w:pStyle w:val="ListParagraph"/>
        <w:numPr>
          <w:ilvl w:val="0"/>
          <w:numId w:val="3"/>
        </w:numPr>
        <w:spacing w:line="257" w:lineRule="auto"/>
        <w:rPr>
          <w:rFonts w:asciiTheme="minorHAnsi" w:eastAsia="Corbel" w:hAnsiTheme="minorHAnsi" w:cstheme="minorHAnsi"/>
          <w:i/>
          <w:iCs/>
          <w:color w:val="262626" w:themeColor="text1" w:themeTint="D9"/>
          <w:sz w:val="22"/>
          <w:szCs w:val="22"/>
          <w:lang w:val="en-GB"/>
        </w:rPr>
      </w:pPr>
      <w:r w:rsidRPr="000E55C1">
        <w:rPr>
          <w:rFonts w:asciiTheme="minorHAnsi" w:hAnsiTheme="minorHAnsi" w:cstheme="minorHAnsi"/>
          <w:i/>
          <w:iCs/>
          <w:color w:val="262626" w:themeColor="text1" w:themeTint="D9"/>
          <w:sz w:val="22"/>
          <w:szCs w:val="22"/>
          <w:lang w:val="en-GB"/>
        </w:rPr>
        <w:t xml:space="preserve">In the reference case industrial output was taken from UK TM </w:t>
      </w:r>
      <w:r w:rsidRPr="000E55C1">
        <w:rPr>
          <w:rFonts w:asciiTheme="minorHAnsi" w:hAnsiTheme="minorHAnsi" w:cstheme="minorHAnsi"/>
          <w:sz w:val="22"/>
          <w:szCs w:val="22"/>
          <w:lang w:val="en-GB"/>
        </w:rPr>
        <w:t>(which is aligned with the BEIS Industrial Pathways Model, 2017).</w:t>
      </w:r>
    </w:p>
    <w:p w14:paraId="43B2F620" w14:textId="43394F7E" w:rsidR="009627EA" w:rsidRPr="000E55C1" w:rsidRDefault="009627EA" w:rsidP="009627EA">
      <w:pPr>
        <w:pStyle w:val="ListParagraph"/>
        <w:numPr>
          <w:ilvl w:val="0"/>
          <w:numId w:val="3"/>
        </w:numPr>
        <w:spacing w:line="257" w:lineRule="auto"/>
        <w:rPr>
          <w:rFonts w:asciiTheme="minorHAnsi" w:hAnsiTheme="minorHAnsi" w:cstheme="minorHAnsi"/>
          <w:i/>
          <w:iCs/>
          <w:color w:val="262626" w:themeColor="text1" w:themeTint="D9"/>
          <w:sz w:val="22"/>
          <w:szCs w:val="22"/>
          <w:lang w:val="en-GB"/>
        </w:rPr>
      </w:pPr>
      <w:r w:rsidRPr="000E55C1">
        <w:rPr>
          <w:rFonts w:asciiTheme="minorHAnsi" w:hAnsiTheme="minorHAnsi" w:cstheme="minorHAnsi"/>
          <w:color w:val="262626" w:themeColor="text1" w:themeTint="D9"/>
          <w:sz w:val="22"/>
          <w:szCs w:val="22"/>
          <w:lang w:val="en-GB"/>
        </w:rPr>
        <w:t xml:space="preserve">Forty four resource efficiency strategies were applied across clothing and textiles, packaging, vehicles, electronics, appliances and machinery and furniture. The </w:t>
      </w:r>
      <w:r w:rsidR="00270777">
        <w:rPr>
          <w:rFonts w:asciiTheme="minorHAnsi" w:hAnsiTheme="minorHAnsi" w:cstheme="minorHAnsi"/>
          <w:color w:val="262626" w:themeColor="text1" w:themeTint="D9"/>
          <w:sz w:val="22"/>
          <w:szCs w:val="22"/>
          <w:lang w:val="en-GB"/>
        </w:rPr>
        <w:t>Transform</w:t>
      </w:r>
      <w:r w:rsidRPr="000E55C1">
        <w:rPr>
          <w:rFonts w:asciiTheme="minorHAnsi" w:hAnsiTheme="minorHAnsi" w:cstheme="minorHAnsi"/>
          <w:color w:val="262626" w:themeColor="text1" w:themeTint="D9"/>
          <w:sz w:val="22"/>
          <w:szCs w:val="22"/>
          <w:lang w:val="en-GB"/>
        </w:rPr>
        <w:t xml:space="preserve"> scenario sees the adoption of maximum technical potential of these strategies in 2032, the </w:t>
      </w:r>
      <w:r w:rsidR="00270777">
        <w:rPr>
          <w:rFonts w:asciiTheme="minorHAnsi" w:hAnsiTheme="minorHAnsi" w:cstheme="minorHAnsi"/>
          <w:color w:val="262626" w:themeColor="text1" w:themeTint="D9"/>
          <w:sz w:val="22"/>
          <w:szCs w:val="22"/>
          <w:lang w:val="en-GB"/>
        </w:rPr>
        <w:t xml:space="preserve">Shift </w:t>
      </w:r>
      <w:r w:rsidRPr="000E55C1">
        <w:rPr>
          <w:rFonts w:asciiTheme="minorHAnsi" w:hAnsiTheme="minorHAnsi" w:cstheme="minorHAnsi"/>
          <w:color w:val="262626" w:themeColor="text1" w:themeTint="D9"/>
          <w:sz w:val="22"/>
          <w:szCs w:val="22"/>
          <w:lang w:val="en-GB"/>
        </w:rPr>
        <w:t>scenario represents a 66% adoption over the same time period. This aligns with the medium and high scenarios of</w:t>
      </w:r>
      <w:r w:rsidR="00270777">
        <w:rPr>
          <w:rFonts w:asciiTheme="minorHAnsi" w:hAnsiTheme="minorHAnsi" w:cstheme="minorHAnsi"/>
          <w:color w:val="262626" w:themeColor="text1" w:themeTint="D9"/>
          <w:sz w:val="22"/>
          <w:szCs w:val="22"/>
          <w:lang w:val="en-GB"/>
        </w:rPr>
        <w:t xml:space="preserve"> Scott et al</w:t>
      </w:r>
      <w:r w:rsidRPr="000E55C1">
        <w:rPr>
          <w:rFonts w:asciiTheme="minorHAnsi" w:hAnsiTheme="minorHAnsi" w:cstheme="minorHAnsi"/>
          <w:color w:val="262626" w:themeColor="text1" w:themeTint="D9"/>
          <w:sz w:val="22"/>
          <w:szCs w:val="22"/>
          <w:lang w:val="en-GB"/>
        </w:rPr>
        <w:t>.</w:t>
      </w:r>
      <w:r w:rsidR="00270777">
        <w:rPr>
          <w:rFonts w:asciiTheme="minorHAnsi" w:hAnsiTheme="minorHAnsi" w:cstheme="minorHAnsi"/>
          <w:color w:val="262626" w:themeColor="text1" w:themeTint="D9"/>
          <w:sz w:val="22"/>
          <w:szCs w:val="22"/>
          <w:lang w:val="en-GB"/>
        </w:rPr>
        <w:fldChar w:fldCharType="begin" w:fldLock="1"/>
      </w:r>
      <w:r w:rsidR="00E12155">
        <w:rPr>
          <w:rFonts w:asciiTheme="minorHAnsi" w:hAnsiTheme="minorHAnsi" w:cstheme="minorHAnsi"/>
          <w:color w:val="262626" w:themeColor="text1" w:themeTint="D9"/>
          <w:sz w:val="22"/>
          <w:szCs w:val="22"/>
          <w:lang w:val="en-GB"/>
        </w:rPr>
        <w:instrText>ADDIN CSL_CITATION {"citationItems":[{"id":"ITEM-1","itemData":{"DOI":"10.1111/jiec.12831","ISSN":"15309290","abstract":"Projections of UK greenhouse gas emissions estimate a shortfall in existing and planned climate policies meeting UK climate targets: the UK's mitigation gap. Material and product demand is driving industrial greenhouse gas emissions at a rate greater than carbon intensity improvements in the economy. Evidence shows that products can be produced with fewer carbon intensive inputs and demand for new products can be reduced. The economy-wide contribution of material productivity and lifestyle changes to bridging the UK's mitigation gap is understudied. We integrate an input-output framework with econometric analysis and case study evidence to analyse the potential of material productivity to help the UK bridge its anticipated emissions deficits, and the additional effort required to achieve transformative change aligned with 2 and 1.5°C temperature targets. We estimate that the emissions savings from material productivity measures are comparable to those from the Government's planned climate policy package. These additional measures could reduce the UK's anticipated emissions deficit up to 73%. The results demonstrate that material productivity deserves greater consideration in climate policy.","author":[{"dropping-particle":"","family":"Scott","given":"Kate","non-dropping-particle":"","parse-names":false,"suffix":""},{"dropping-particle":"","family":"Giesekam","given":"Jannik","non-dropping-particle":"","parse-names":false,"suffix":""},{"dropping-particle":"","family":"Barrett","given":"John","non-dropping-particle":"","parse-names":false,"suffix":""},{"dropping-particle":"","family":"Owen","given":"Anne","non-dropping-particle":"","parse-names":false,"suffix":""}],"container-title":"Journal of Industrial Ecology","id":"ITEM-1","issue":"4","issued":{"date-parts":[["2019","8","5"]]},"page":"918-931","publisher":"Blackwell Publishing","title":"Bridging the climate mitigation gap with economy-wide material productivity","type":"article-journal","volume":"23"},"uris":["http://www.mendeley.com/documents/?uuid=a1a7140f-1e2d-4360-8cce-c13c6fbfbe3e"]}],"mendeley":{"formattedCitation":"&lt;sup&gt;35&lt;/sup&gt;","plainTextFormattedCitation":"35","previouslyFormattedCitation":"&lt;sup&gt;35&lt;/sup&gt;"},"properties":{"noteIndex":0},"schema":"https://github.com/citation-style-language/schema/raw/master/csl-citation.json"}</w:instrText>
      </w:r>
      <w:r w:rsidR="00270777">
        <w:rPr>
          <w:rFonts w:asciiTheme="minorHAnsi" w:hAnsiTheme="minorHAnsi" w:cstheme="minorHAnsi"/>
          <w:color w:val="262626" w:themeColor="text1" w:themeTint="D9"/>
          <w:sz w:val="22"/>
          <w:szCs w:val="22"/>
          <w:lang w:val="en-GB"/>
        </w:rPr>
        <w:fldChar w:fldCharType="separate"/>
      </w:r>
      <w:r w:rsidR="00270777" w:rsidRPr="00270777">
        <w:rPr>
          <w:rFonts w:asciiTheme="minorHAnsi" w:hAnsiTheme="minorHAnsi" w:cstheme="minorHAnsi"/>
          <w:noProof/>
          <w:color w:val="262626" w:themeColor="text1" w:themeTint="D9"/>
          <w:sz w:val="22"/>
          <w:szCs w:val="22"/>
          <w:vertAlign w:val="superscript"/>
          <w:lang w:val="en-GB"/>
        </w:rPr>
        <w:t>35</w:t>
      </w:r>
      <w:r w:rsidR="00270777">
        <w:rPr>
          <w:rFonts w:asciiTheme="minorHAnsi" w:hAnsiTheme="minorHAnsi" w:cstheme="minorHAnsi"/>
          <w:color w:val="262626" w:themeColor="text1" w:themeTint="D9"/>
          <w:sz w:val="22"/>
          <w:szCs w:val="22"/>
          <w:lang w:val="en-GB"/>
        </w:rPr>
        <w:fldChar w:fldCharType="end"/>
      </w:r>
      <w:r w:rsidRPr="000E55C1">
        <w:rPr>
          <w:rFonts w:asciiTheme="minorHAnsi" w:hAnsiTheme="minorHAnsi" w:cstheme="minorHAnsi"/>
          <w:color w:val="262626" w:themeColor="text1" w:themeTint="D9"/>
          <w:sz w:val="22"/>
          <w:szCs w:val="22"/>
          <w:lang w:val="en-GB"/>
        </w:rPr>
        <w:t xml:space="preserve"> </w:t>
      </w:r>
    </w:p>
    <w:p w14:paraId="4398F8F9" w14:textId="77777777" w:rsidR="009627EA" w:rsidRPr="000E55C1" w:rsidRDefault="009627EA" w:rsidP="009627EA">
      <w:pPr>
        <w:pStyle w:val="ListParagraph"/>
        <w:numPr>
          <w:ilvl w:val="0"/>
          <w:numId w:val="3"/>
        </w:numPr>
        <w:spacing w:line="257" w:lineRule="auto"/>
        <w:rPr>
          <w:rFonts w:asciiTheme="minorHAnsi" w:hAnsiTheme="minorHAnsi" w:cstheme="minorHAnsi"/>
          <w:i/>
          <w:iCs/>
          <w:color w:val="262626" w:themeColor="text1" w:themeTint="D9"/>
          <w:sz w:val="22"/>
          <w:szCs w:val="22"/>
          <w:lang w:val="en-GB"/>
        </w:rPr>
      </w:pPr>
      <w:r w:rsidRPr="000E55C1">
        <w:rPr>
          <w:rFonts w:asciiTheme="minorHAnsi" w:hAnsiTheme="minorHAnsi" w:cstheme="minorHAnsi"/>
          <w:i/>
          <w:iCs/>
          <w:color w:val="262626" w:themeColor="text1" w:themeTint="D9"/>
          <w:sz w:val="22"/>
          <w:szCs w:val="22"/>
          <w:lang w:val="en-GB"/>
        </w:rPr>
        <w:t>The full supply chain impacts of these strategies, applied within the UK, on the industrial subsectors of UK TM was determined using a multi-regional input-output modelling approach. A logistic model was used to extrapolate these impacts to other time periods.</w:t>
      </w:r>
    </w:p>
    <w:p w14:paraId="5E945002" w14:textId="77777777" w:rsidR="009627EA" w:rsidRPr="000E55C1" w:rsidRDefault="009627EA" w:rsidP="009627EA">
      <w:pPr>
        <w:spacing w:line="257" w:lineRule="auto"/>
        <w:rPr>
          <w:rFonts w:cstheme="minorHAnsi"/>
        </w:rPr>
      </w:pPr>
      <w:r w:rsidRPr="000E55C1">
        <w:rPr>
          <w:rFonts w:eastAsia="Corbel" w:cstheme="minorHAnsi"/>
        </w:rPr>
        <w:t xml:space="preserve">Construction </w:t>
      </w:r>
    </w:p>
    <w:p w14:paraId="7ACE379C" w14:textId="77777777" w:rsidR="009627EA" w:rsidRPr="000E55C1" w:rsidRDefault="009627EA" w:rsidP="009627EA">
      <w:pPr>
        <w:pStyle w:val="ListParagraph"/>
        <w:numPr>
          <w:ilvl w:val="0"/>
          <w:numId w:val="6"/>
        </w:numPr>
        <w:spacing w:line="257" w:lineRule="auto"/>
        <w:rPr>
          <w:rFonts w:asciiTheme="minorHAnsi" w:eastAsia="Corbel" w:hAnsiTheme="minorHAnsi" w:cstheme="minorHAnsi"/>
          <w:i/>
          <w:iCs/>
          <w:color w:val="000000" w:themeColor="text1"/>
          <w:sz w:val="22"/>
          <w:szCs w:val="22"/>
          <w:lang w:val="en-GB"/>
        </w:rPr>
      </w:pPr>
      <w:r w:rsidRPr="000E55C1">
        <w:rPr>
          <w:rFonts w:asciiTheme="minorHAnsi" w:hAnsiTheme="minorHAnsi" w:cstheme="minorHAnsi"/>
          <w:sz w:val="22"/>
          <w:szCs w:val="22"/>
          <w:lang w:val="en-GB"/>
        </w:rPr>
        <w:t xml:space="preserve">Baseline future demand for new infrastructure construction to 2050 was taken from projections within the Green Construction Board’s Low Carbon Route map for the Built Environment </w:t>
      </w:r>
    </w:p>
    <w:p w14:paraId="54386889" w14:textId="655BF26D" w:rsidR="009627EA" w:rsidRPr="000E55C1" w:rsidRDefault="009627EA" w:rsidP="009627EA">
      <w:pPr>
        <w:pStyle w:val="ListParagraph"/>
        <w:numPr>
          <w:ilvl w:val="0"/>
          <w:numId w:val="6"/>
        </w:numPr>
        <w:spacing w:line="257" w:lineRule="auto"/>
        <w:rPr>
          <w:rFonts w:asciiTheme="minorHAnsi" w:hAnsiTheme="minorHAnsi" w:cstheme="minorHAnsi"/>
          <w:i/>
          <w:iCs/>
          <w:color w:val="262626" w:themeColor="text1" w:themeTint="D9"/>
          <w:sz w:val="22"/>
          <w:szCs w:val="22"/>
          <w:lang w:val="en-GB"/>
        </w:rPr>
      </w:pPr>
      <w:r w:rsidRPr="000E55C1">
        <w:rPr>
          <w:rFonts w:asciiTheme="minorHAnsi" w:hAnsiTheme="minorHAnsi" w:cstheme="minorHAnsi"/>
          <w:sz w:val="22"/>
          <w:szCs w:val="22"/>
          <w:lang w:val="en-GB"/>
        </w:rPr>
        <w:lastRenderedPageBreak/>
        <w:t xml:space="preserve">Demand for new construction under the </w:t>
      </w:r>
      <w:r w:rsidR="00270777">
        <w:rPr>
          <w:rFonts w:asciiTheme="minorHAnsi" w:hAnsiTheme="minorHAnsi" w:cstheme="minorHAnsi"/>
          <w:sz w:val="22"/>
          <w:szCs w:val="22"/>
          <w:lang w:val="en-GB"/>
        </w:rPr>
        <w:t>Shift</w:t>
      </w:r>
      <w:r w:rsidRPr="000E55C1">
        <w:rPr>
          <w:rFonts w:asciiTheme="minorHAnsi" w:hAnsiTheme="minorHAnsi" w:cstheme="minorHAnsi"/>
          <w:sz w:val="22"/>
          <w:szCs w:val="22"/>
          <w:lang w:val="en-GB"/>
        </w:rPr>
        <w:t xml:space="preserve"> and </w:t>
      </w:r>
      <w:r w:rsidR="00270777">
        <w:rPr>
          <w:rFonts w:asciiTheme="minorHAnsi" w:hAnsiTheme="minorHAnsi" w:cstheme="minorHAnsi"/>
          <w:sz w:val="22"/>
          <w:szCs w:val="22"/>
          <w:lang w:val="en-GB"/>
        </w:rPr>
        <w:t>Transform</w:t>
      </w:r>
      <w:r w:rsidRPr="000E55C1">
        <w:rPr>
          <w:rFonts w:asciiTheme="minorHAnsi" w:hAnsiTheme="minorHAnsi" w:cstheme="minorHAnsi"/>
          <w:sz w:val="22"/>
          <w:szCs w:val="22"/>
          <w:lang w:val="en-GB"/>
        </w:rPr>
        <w:t xml:space="preserve"> scenarios was primarily determined by assumptions developed within the analyses of other energy service sectors (e.g. under the </w:t>
      </w:r>
      <w:r w:rsidR="00270777">
        <w:rPr>
          <w:rFonts w:asciiTheme="minorHAnsi" w:hAnsiTheme="minorHAnsi" w:cstheme="minorHAnsi"/>
          <w:sz w:val="22"/>
          <w:szCs w:val="22"/>
          <w:lang w:val="en-GB"/>
        </w:rPr>
        <w:t>Transform</w:t>
      </w:r>
      <w:r w:rsidRPr="000E55C1">
        <w:rPr>
          <w:rFonts w:asciiTheme="minorHAnsi" w:hAnsiTheme="minorHAnsi" w:cstheme="minorHAnsi"/>
          <w:sz w:val="22"/>
          <w:szCs w:val="22"/>
          <w:lang w:val="en-GB"/>
        </w:rPr>
        <w:t xml:space="preserve"> scenario for Transport it is assumed that no new road building takes place, therefore output for the asset sub-category of ‘Roads’ is set to zero in the corresponding construction sector model scenario).</w:t>
      </w:r>
    </w:p>
    <w:p w14:paraId="130F3C32" w14:textId="77777777" w:rsidR="009627EA" w:rsidRPr="000E55C1" w:rsidRDefault="009627EA" w:rsidP="009627EA">
      <w:pPr>
        <w:pStyle w:val="ListParagraph"/>
        <w:numPr>
          <w:ilvl w:val="0"/>
          <w:numId w:val="6"/>
        </w:numPr>
        <w:spacing w:line="257" w:lineRule="auto"/>
        <w:rPr>
          <w:rFonts w:asciiTheme="minorHAnsi" w:hAnsiTheme="minorHAnsi" w:cstheme="minorHAnsi"/>
          <w:i/>
          <w:iCs/>
          <w:color w:val="000000" w:themeColor="text1"/>
          <w:lang w:val="en-GB"/>
        </w:rPr>
      </w:pPr>
      <w:r w:rsidRPr="000E55C1">
        <w:rPr>
          <w:rFonts w:asciiTheme="minorHAnsi" w:hAnsiTheme="minorHAnsi" w:cstheme="minorHAnsi"/>
          <w:color w:val="000000" w:themeColor="text1"/>
          <w:sz w:val="22"/>
          <w:szCs w:val="22"/>
          <w:lang w:val="en-GB"/>
        </w:rPr>
        <w:t>21 additional mitigation options to reduce material demand from construction were adopted across specific applications and asset categories based on the maximum practically achievable deployment in 2050, with a linear trajectory to this year.</w:t>
      </w:r>
    </w:p>
    <w:p w14:paraId="013A4D94" w14:textId="77777777" w:rsidR="00955BCE" w:rsidRPr="000E55C1" w:rsidRDefault="00955BCE" w:rsidP="00955BCE">
      <w:pPr>
        <w:rPr>
          <w:rFonts w:cstheme="minorHAnsi"/>
        </w:rPr>
      </w:pPr>
    </w:p>
    <w:p w14:paraId="01AF3798" w14:textId="07DA2270" w:rsidR="00955BCE" w:rsidRPr="000E55C1" w:rsidRDefault="00270777" w:rsidP="00955BCE">
      <w:pPr>
        <w:pStyle w:val="Heading3"/>
        <w:rPr>
          <w:rFonts w:asciiTheme="minorHAnsi" w:hAnsiTheme="minorHAnsi" w:cstheme="minorHAnsi"/>
        </w:rPr>
      </w:pPr>
      <w:r>
        <w:rPr>
          <w:rFonts w:asciiTheme="minorHAnsi" w:hAnsiTheme="minorHAnsi" w:cstheme="minorHAnsi"/>
        </w:rPr>
        <w:t>4</w:t>
      </w:r>
      <w:r w:rsidR="00955BCE" w:rsidRPr="000E55C1">
        <w:rPr>
          <w:rFonts w:asciiTheme="minorHAnsi" w:hAnsiTheme="minorHAnsi" w:cstheme="minorHAnsi"/>
        </w:rPr>
        <w:t>.9</w:t>
      </w:r>
      <w:r w:rsidR="009627EA" w:rsidRPr="000E55C1">
        <w:rPr>
          <w:rFonts w:asciiTheme="minorHAnsi" w:hAnsiTheme="minorHAnsi" w:cstheme="minorHAnsi"/>
        </w:rPr>
        <w:t xml:space="preserve"> Mapping dependencies between sectors</w:t>
      </w:r>
    </w:p>
    <w:p w14:paraId="4A84F745" w14:textId="1B3C9211" w:rsidR="009627EA" w:rsidRPr="000E55C1" w:rsidRDefault="009627EA" w:rsidP="00955BCE">
      <w:pPr>
        <w:rPr>
          <w:rStyle w:val="normaltextrun"/>
          <w:rFonts w:eastAsia="Times New Roman" w:cstheme="minorHAnsi"/>
          <w:b/>
          <w:bCs/>
          <w:lang w:eastAsia="en-GB"/>
        </w:rPr>
      </w:pPr>
      <w:r w:rsidRPr="000E55C1">
        <w:rPr>
          <w:rStyle w:val="normaltextrun"/>
          <w:rFonts w:eastAsia="Times New Roman" w:cstheme="minorHAnsi"/>
          <w:lang w:eastAsia="en-GB"/>
        </w:rPr>
        <w:t xml:space="preserve">A critical part of the sectoral modelling process was to map the dependencies between sectors, to ensure consistency so that key aspects of the narrative represented in one sector were also reflected in others. </w:t>
      </w:r>
      <w:r w:rsidR="00343460" w:rsidRPr="000E55C1">
        <w:rPr>
          <w:rStyle w:val="normaltextrun"/>
          <w:rFonts w:eastAsia="Times New Roman" w:cstheme="minorHAnsi"/>
          <w:lang w:eastAsia="en-GB"/>
        </w:rPr>
        <w:t>Figure 2</w:t>
      </w:r>
      <w:r w:rsidRPr="000E55C1">
        <w:rPr>
          <w:rStyle w:val="normaltextrun"/>
          <w:rFonts w:eastAsia="Times New Roman" w:cstheme="minorHAnsi"/>
          <w:lang w:eastAsia="en-GB"/>
        </w:rPr>
        <w:t xml:space="preserve"> shows the main dependencies between sectors.  Many flow from the shelter analysis (shown by the blue arrows), where shifts in working patterns fundamentally change type and patterns of mobility demand, and the use of non-domestic buildings. Differences in house build assumptions are also reflected in the demands for construction materials. Choices about transport infrastructure also impact on the demand for construction materials, while changes in vehicle sales impact on manufacturing. Changes to diet also impact the level of land take, which feeds into land availability for forestry. It also changes the level of output in specific food and drink subsectors, impacting energy demand in that sector. </w:t>
      </w:r>
    </w:p>
    <w:p w14:paraId="6A0EF93E" w14:textId="77777777" w:rsidR="009627EA" w:rsidRPr="000E55C1" w:rsidRDefault="009627EA" w:rsidP="009627EA">
      <w:pPr>
        <w:rPr>
          <w:rFonts w:cstheme="minorHAnsi"/>
        </w:rPr>
      </w:pPr>
    </w:p>
    <w:p w14:paraId="5B7C9DEF" w14:textId="0543B459" w:rsidR="009627EA" w:rsidRPr="000E55C1" w:rsidRDefault="009627EA" w:rsidP="0599D675">
      <w:pPr>
        <w:rPr>
          <w:rFonts w:cstheme="minorHAnsi"/>
          <w:b/>
          <w:bCs/>
          <w:sz w:val="20"/>
          <w:szCs w:val="20"/>
          <w:lang w:eastAsia="en-GB"/>
        </w:rPr>
      </w:pPr>
      <w:r w:rsidRPr="000E55C1">
        <w:rPr>
          <w:rFonts w:cstheme="minorHAnsi"/>
          <w:noProof/>
          <w:lang w:eastAsia="en-GB"/>
        </w:rPr>
        <w:drawing>
          <wp:inline distT="0" distB="0" distL="0" distR="0" wp14:anchorId="65876E7B" wp14:editId="4F34D085">
            <wp:extent cx="6390006" cy="295876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pic:nvPicPr>
                  <pic:blipFill>
                    <a:blip r:embed="rId15">
                      <a:extLst>
                        <a:ext uri="{28A0092B-C50C-407E-A947-70E740481C1C}">
                          <a14:useLocalDpi xmlns:a14="http://schemas.microsoft.com/office/drawing/2010/main" val="0"/>
                        </a:ext>
                      </a:extLst>
                    </a:blip>
                    <a:stretch>
                      <a:fillRect/>
                    </a:stretch>
                  </pic:blipFill>
                  <pic:spPr>
                    <a:xfrm>
                      <a:off x="0" y="0"/>
                      <a:ext cx="6390006" cy="2958765"/>
                    </a:xfrm>
                    <a:prstGeom prst="rect">
                      <a:avLst/>
                    </a:prstGeom>
                  </pic:spPr>
                </pic:pic>
              </a:graphicData>
            </a:graphic>
          </wp:inline>
        </w:drawing>
      </w:r>
      <w:r w:rsidR="00343460" w:rsidRPr="000E55C1">
        <w:rPr>
          <w:rFonts w:cstheme="minorHAnsi"/>
          <w:b/>
          <w:bCs/>
          <w:sz w:val="20"/>
          <w:szCs w:val="20"/>
        </w:rPr>
        <w:t xml:space="preserve"> </w:t>
      </w:r>
      <w:r w:rsidR="40211EF6" w:rsidRPr="000E55C1">
        <w:rPr>
          <w:rFonts w:cstheme="minorHAnsi"/>
          <w:b/>
          <w:bCs/>
          <w:sz w:val="20"/>
          <w:szCs w:val="20"/>
          <w:rPrChange w:id="22" w:author="Pye, Steve" w:date="2021-11-02T08:07:00Z">
            <w:rPr>
              <w:sz w:val="20"/>
              <w:szCs w:val="20"/>
            </w:rPr>
          </w:rPrChange>
        </w:rPr>
        <w:t xml:space="preserve">Supplementary </w:t>
      </w:r>
      <w:r w:rsidR="00343460" w:rsidRPr="000E55C1">
        <w:rPr>
          <w:rFonts w:cstheme="minorHAnsi"/>
          <w:b/>
          <w:bCs/>
          <w:sz w:val="20"/>
          <w:szCs w:val="20"/>
        </w:rPr>
        <w:t>Figure 2</w:t>
      </w:r>
      <w:r w:rsidRPr="000E55C1">
        <w:rPr>
          <w:rFonts w:cstheme="minorHAnsi"/>
          <w:b/>
          <w:bCs/>
          <w:sz w:val="20"/>
          <w:szCs w:val="20"/>
        </w:rPr>
        <w:t>. Sector analysis and cross-sectoral linkages</w:t>
      </w:r>
    </w:p>
    <w:p w14:paraId="56C3AE91" w14:textId="77777777" w:rsidR="009627EA" w:rsidRPr="000E55C1" w:rsidRDefault="009627EA" w:rsidP="009627EA">
      <w:pPr>
        <w:rPr>
          <w:rFonts w:cstheme="minorHAnsi"/>
        </w:rPr>
      </w:pPr>
    </w:p>
    <w:p w14:paraId="2C0CDB3A" w14:textId="77777777" w:rsidR="009627EA" w:rsidRPr="000E55C1" w:rsidRDefault="009627EA">
      <w:pPr>
        <w:rPr>
          <w:rFonts w:cstheme="minorHAnsi"/>
        </w:rPr>
      </w:pPr>
    </w:p>
    <w:p w14:paraId="2AEA2D66" w14:textId="1499B5C7" w:rsidR="009627EA" w:rsidRDefault="009627EA">
      <w:pPr>
        <w:rPr>
          <w:rFonts w:cstheme="minorHAnsi"/>
        </w:rPr>
      </w:pPr>
    </w:p>
    <w:p w14:paraId="67DF5ED2" w14:textId="77777777" w:rsidR="00CE7CE8" w:rsidRPr="000E55C1" w:rsidRDefault="00CE7CE8">
      <w:pPr>
        <w:rPr>
          <w:rFonts w:cstheme="minorHAnsi"/>
        </w:rPr>
      </w:pPr>
    </w:p>
    <w:p w14:paraId="0E974AF6" w14:textId="399F8D3A" w:rsidR="00BA43CF" w:rsidRPr="000E55C1" w:rsidRDefault="00C35171" w:rsidP="00615EBB">
      <w:pPr>
        <w:pStyle w:val="Heading2"/>
        <w:rPr>
          <w:rFonts w:asciiTheme="minorHAnsi" w:hAnsiTheme="minorHAnsi" w:cstheme="minorHAnsi"/>
          <w:b/>
          <w:bCs/>
        </w:rPr>
      </w:pPr>
      <w:bookmarkStart w:id="23" w:name="_Toc87453381"/>
      <w:r>
        <w:rPr>
          <w:rFonts w:asciiTheme="minorHAnsi" w:hAnsiTheme="minorHAnsi" w:cstheme="minorHAnsi"/>
        </w:rPr>
        <w:lastRenderedPageBreak/>
        <w:t>SI 5</w:t>
      </w:r>
      <w:r w:rsidR="009627EA" w:rsidRPr="000E55C1">
        <w:rPr>
          <w:rFonts w:asciiTheme="minorHAnsi" w:hAnsiTheme="minorHAnsi" w:cstheme="minorHAnsi"/>
        </w:rPr>
        <w:t xml:space="preserve"> –</w:t>
      </w:r>
      <w:r w:rsidR="00BA43CF" w:rsidRPr="000E55C1">
        <w:rPr>
          <w:rFonts w:asciiTheme="minorHAnsi" w:hAnsiTheme="minorHAnsi" w:cstheme="minorHAnsi"/>
        </w:rPr>
        <w:t xml:space="preserve"> </w:t>
      </w:r>
      <w:bookmarkStart w:id="24" w:name="_Toc77587887"/>
      <w:r w:rsidR="00BA43CF" w:rsidRPr="000E55C1">
        <w:rPr>
          <w:rFonts w:asciiTheme="minorHAnsi" w:hAnsiTheme="minorHAnsi" w:cstheme="minorHAnsi"/>
        </w:rPr>
        <w:t>Carbon budget modelling assumptions</w:t>
      </w:r>
      <w:bookmarkEnd w:id="23"/>
      <w:bookmarkEnd w:id="24"/>
    </w:p>
    <w:p w14:paraId="0AD601E8" w14:textId="241B52CD" w:rsidR="00CE7CE8" w:rsidRDefault="00CE7CE8" w:rsidP="00BA43CF">
      <w:pPr>
        <w:rPr>
          <w:rFonts w:cstheme="minorHAnsi"/>
        </w:rPr>
      </w:pPr>
    </w:p>
    <w:p w14:paraId="2B395735" w14:textId="020E44C2" w:rsidR="00CE7CE8" w:rsidRDefault="00CE7CE8" w:rsidP="00BA43CF">
      <w:pPr>
        <w:rPr>
          <w:rFonts w:cstheme="minorHAnsi"/>
        </w:rPr>
      </w:pPr>
      <w:r>
        <w:rPr>
          <w:rFonts w:cstheme="minorHAnsi"/>
        </w:rPr>
        <w:t xml:space="preserve">As well as the “net-zero” target for GHG emissions by 2050, the UK Government also outlines a number of carbon budgets that represent the maximum level of GHG emissions over a given 5 year period. This is to recognise the fact that it is the total cumulative emissions that link to CO2 concentrations in the atmosphere. Therefore, the UK doe have a total defined carbon budget from 2021 to 2050 however the five yearly carbon budget have been defined up to 2037. </w:t>
      </w:r>
      <w:proofErr w:type="gramStart"/>
      <w:r>
        <w:rPr>
          <w:rFonts w:cstheme="minorHAnsi"/>
        </w:rPr>
        <w:t>The generate</w:t>
      </w:r>
      <w:proofErr w:type="gramEnd"/>
      <w:r>
        <w:rPr>
          <w:rFonts w:cstheme="minorHAnsi"/>
        </w:rPr>
        <w:t xml:space="preserve"> a total carbon budget up to 2050 we assume a linear pathway from 2037 to 2050 when net-zero GHG emissions is achieved.</w:t>
      </w:r>
    </w:p>
    <w:p w14:paraId="5D236F78" w14:textId="6115EBCB" w:rsidR="00BA43CF" w:rsidRPr="000E55C1" w:rsidRDefault="00BA43CF" w:rsidP="00BA43CF">
      <w:pPr>
        <w:rPr>
          <w:rStyle w:val="normaltextrun"/>
          <w:rFonts w:eastAsia="Corbel" w:cstheme="minorHAnsi"/>
          <w:color w:val="000000" w:themeColor="text1"/>
        </w:rPr>
      </w:pPr>
      <w:r w:rsidRPr="000E55C1">
        <w:rPr>
          <w:rFonts w:cstheme="minorHAnsi"/>
        </w:rPr>
        <w:t xml:space="preserve">In addition </w:t>
      </w:r>
      <w:r w:rsidRPr="000E55C1">
        <w:rPr>
          <w:rStyle w:val="normaltextrun"/>
          <w:rFonts w:eastAsia="Corbel" w:cstheme="minorHAnsi"/>
        </w:rPr>
        <w:t xml:space="preserve">to </w:t>
      </w:r>
      <w:r w:rsidR="00CE7CE8">
        <w:rPr>
          <w:rStyle w:val="normaltextrun"/>
          <w:rFonts w:eastAsia="Corbel" w:cstheme="minorHAnsi"/>
        </w:rPr>
        <w:t>this</w:t>
      </w:r>
      <w:r w:rsidRPr="000E55C1">
        <w:rPr>
          <w:rStyle w:val="normaltextrun"/>
          <w:rFonts w:eastAsia="Corbel" w:cstheme="minorHAnsi"/>
        </w:rPr>
        <w:t xml:space="preserve">, the Steer demand and two LED cases, Shift and Transform, were also run with </w:t>
      </w:r>
      <w:r w:rsidRPr="000E55C1">
        <w:rPr>
          <w:rStyle w:val="normaltextrun"/>
          <w:rFonts w:eastAsia="Corbel" w:cstheme="minorHAnsi"/>
          <w:color w:val="000000" w:themeColor="text1"/>
        </w:rPr>
        <w:t xml:space="preserve">a cumulative carbon budget consistent with the targeted temperature rise and responsibility sharing justice principles of the Paris Agreement was developed. Determining a single national carbon budget that can be defined as the UK’s obligation to the Paris Agreement is not possible. When dividing a global carbon budget between countries there are a number of assumptions that could be taken based on historical contribution to GHG emissions, capacity to change, per capita allocations and other equitable consideration. Added to this, deriving Paris compliant national carbon budgets come with significant scientific uncertainty ranges. </w:t>
      </w:r>
    </w:p>
    <w:p w14:paraId="33783FF6" w14:textId="77777777" w:rsidR="00BA43CF" w:rsidRPr="000E55C1" w:rsidRDefault="00BA43CF" w:rsidP="00BA43CF">
      <w:pPr>
        <w:rPr>
          <w:rStyle w:val="normaltextrun"/>
          <w:rFonts w:eastAsia="Corbel" w:cstheme="minorHAnsi"/>
          <w:color w:val="000000" w:themeColor="text1"/>
        </w:rPr>
      </w:pPr>
      <w:r w:rsidRPr="000E55C1">
        <w:rPr>
          <w:rStyle w:val="normaltextrun"/>
          <w:rFonts w:eastAsia="Corbel" w:cstheme="minorHAnsi"/>
          <w:color w:val="000000" w:themeColor="text1"/>
        </w:rPr>
        <w:t>This enables a wide range of UK carbon budgets to be considered ‘aligned’ with Paris. The carbon budget applied above of 4.95 GtCO2 was calculated by taking into account the UK’s carbon budgets which are currently defined up to 2042 followed by a linear trajectory to achieve zero emissions by 2050. However, as discussed, this is not the only possible method to derive the UK’s remaining carbon budget.</w:t>
      </w:r>
    </w:p>
    <w:p w14:paraId="273A9364" w14:textId="77777777" w:rsidR="00BA43CF" w:rsidRPr="000E55C1" w:rsidRDefault="00BA43CF" w:rsidP="00BA43CF">
      <w:pPr>
        <w:rPr>
          <w:rStyle w:val="normaltextrun"/>
          <w:rFonts w:eastAsia="Corbel" w:cstheme="minorHAnsi"/>
          <w:color w:val="000000" w:themeColor="text1"/>
        </w:rPr>
      </w:pPr>
      <w:r w:rsidRPr="000E55C1">
        <w:rPr>
          <w:rStyle w:val="normaltextrun"/>
          <w:rFonts w:eastAsia="Corbel" w:cstheme="minorHAnsi"/>
          <w:color w:val="000000" w:themeColor="text1"/>
        </w:rPr>
        <w:t xml:space="preserve">With this in mind, we present a different carbon budget for comparison. The value of this is to ascertain whether the two LED scenarios offer the opportunity to increase the climate ambition of the UK. </w:t>
      </w:r>
    </w:p>
    <w:p w14:paraId="0D3520B3" w14:textId="3D638424" w:rsidR="00BA43CF" w:rsidRPr="000E55C1" w:rsidRDefault="00BA43CF" w:rsidP="00BA43CF">
      <w:pPr>
        <w:rPr>
          <w:rStyle w:val="normaltextrun"/>
          <w:rFonts w:eastAsia="Corbel" w:cstheme="minorHAnsi"/>
          <w:color w:val="000000" w:themeColor="text1"/>
        </w:rPr>
      </w:pPr>
      <w:r w:rsidRPr="000E55C1">
        <w:rPr>
          <w:rStyle w:val="normaltextrun"/>
          <w:rFonts w:eastAsia="Corbel" w:cstheme="minorHAnsi"/>
          <w:color w:val="000000" w:themeColor="text1"/>
        </w:rPr>
        <w:t xml:space="preserve">The additional carbon budget chosen in this study was derived using a resource sharing approach as developed by </w:t>
      </w:r>
      <w:r w:rsidR="00E12155">
        <w:rPr>
          <w:rStyle w:val="normaltextrun"/>
          <w:rFonts w:eastAsia="Corbel" w:cstheme="minorHAnsi"/>
          <w:color w:val="000000" w:themeColor="text1"/>
        </w:rPr>
        <w:t>Anderson et al.</w:t>
      </w:r>
      <w:r w:rsidR="00E12155">
        <w:rPr>
          <w:rStyle w:val="normaltextrun"/>
          <w:rFonts w:eastAsia="Corbel" w:cstheme="minorHAnsi"/>
          <w:color w:val="000000" w:themeColor="text1"/>
        </w:rPr>
        <w:fldChar w:fldCharType="begin" w:fldLock="1"/>
      </w:r>
      <w:r w:rsidR="00E12155">
        <w:rPr>
          <w:rStyle w:val="normaltextrun"/>
          <w:rFonts w:eastAsia="Corbel" w:cstheme="minorHAnsi"/>
          <w:color w:val="000000" w:themeColor="text1"/>
        </w:rPr>
        <w:instrText>ADDIN CSL_CITATION {"citationItems":[{"id":"ITEM-1","itemData":{"DOI":"10.1080/14693062.2020.1728209","ISSN":"17527457","abstract":"The Paris Agreement establishes an international covenant to reduce emissions in line with holding the increase in temperature to ‘well below 2°C … and to pursue … 1.5°C.’ Global modelling studies have repeatedly concluded that such commitments can be delivered through technocratic adjustments to contemporary society, principally price mechanisms driving technical change. However, as emissions have continued to rise, so these models have come to increasingly rely on the extensive deployment of highly speculative negative emissions technologies (NETs). Moreover, in determining the mitigation challenges for industrialized nations, scant regard is paid to the language and spirit of equity enshrined in the Paris Agreement. If, instead, the mitigation agenda of ‘developed country Parties’ is determined without reliance on planetary scale NETs and with genuine regard for equity and ‘common but differentiated responsibilities and respective capabilities’, the necessary rates of mitigation increase markedly. This is evident even when considering the UK and Sweden, two nations at the forefront of developing ‘progressive’ climate change legislation and with clear emissions pathways and/or quantitative carbon budgets. In both cases, the carbon budgets underpinning mitigation policy are halved, the immediate mitigation rate is increased to over 10% per annum, and the time to deliver a fully decarbonized energy system is brought forward to 2035-40. Such a challenging mitigation agenda implies profound changes to many facets of industrialized economies. This conclusion is not drawn from political ideology, but rather is a direct consequence of the international community’s obligations under the Paris Agreement and the small and rapidly dwindling global carbon budget. Key Policy Insights Without a belief in the successful deployment of planetary scale negative emissions technologies, double-digit annual mitigation rates are required of developed countries, from 2020, if they are to align their policies with the Paris Agreement’s temperature commitments and principles of equity. Paris-compliant carbon budgets for developed countries imply full decarbonization of energy by 2035-40, necessitating a scale of change in physical infrastructure reminiscent of the post-Second World War Marshall Plan. This brings issues of values, measures of prosperity and socio-economic inequality to the fore. The stringency of Paris-compliant pathways severely limits the opportunity for int…","author":[{"dropping-particle":"","family":"Anderson","given":"Kevin","non-dropping-particle":"","parse-names":false,"suffix":""},{"dropping-particle":"","family":"Broderick","given":"John F.","non-dropping-particle":"","parse-names":false,"suffix":""},{"dropping-particle":"","family":"Stoddard","given":"Isak","non-dropping-particle":"","parse-names":false,"suffix":""}],"container-title":"Climate Policy","id":"ITEM-1","issued":{"date-parts":[["2020","5","28"]]},"page":"1-15","publisher":"Taylor and Francis Ltd.","title":"A factor of two: how the mitigation plans of ‘climate progressive’ nations fall far short of Paris-compliant pathways","type":"article-journal"},"uris":["http://www.mendeley.com/documents/?uuid=d80f1784-a50f-3e7b-8902-9f207b8ff35e"]}],"mendeley":{"formattedCitation":"&lt;sup&gt;95&lt;/sup&gt;","plainTextFormattedCitation":"95","previouslyFormattedCitation":"&lt;sup&gt;95&lt;/sup&gt;"},"properties":{"noteIndex":0},"schema":"https://github.com/citation-style-language/schema/raw/master/csl-citation.json"}</w:instrText>
      </w:r>
      <w:r w:rsidR="00E12155">
        <w:rPr>
          <w:rStyle w:val="normaltextrun"/>
          <w:rFonts w:eastAsia="Corbel" w:cstheme="minorHAnsi"/>
          <w:color w:val="000000" w:themeColor="text1"/>
        </w:rPr>
        <w:fldChar w:fldCharType="separate"/>
      </w:r>
      <w:r w:rsidR="00E12155" w:rsidRPr="00E12155">
        <w:rPr>
          <w:rStyle w:val="normaltextrun"/>
          <w:rFonts w:eastAsia="Corbel" w:cstheme="minorHAnsi"/>
          <w:noProof/>
          <w:color w:val="000000" w:themeColor="text1"/>
          <w:vertAlign w:val="superscript"/>
        </w:rPr>
        <w:t>95</w:t>
      </w:r>
      <w:r w:rsidR="00E12155">
        <w:rPr>
          <w:rStyle w:val="normaltextrun"/>
          <w:rFonts w:eastAsia="Corbel" w:cstheme="minorHAnsi"/>
          <w:color w:val="000000" w:themeColor="text1"/>
        </w:rPr>
        <w:fldChar w:fldCharType="end"/>
      </w:r>
      <w:r w:rsidR="00E12155">
        <w:rPr>
          <w:rStyle w:val="normaltextrun"/>
          <w:rFonts w:eastAsia="Corbel" w:cstheme="minorHAnsi"/>
          <w:color w:val="000000" w:themeColor="text1"/>
        </w:rPr>
        <w:t>.</w:t>
      </w:r>
      <w:r w:rsidRPr="000E55C1">
        <w:rPr>
          <w:rStyle w:val="normaltextrun"/>
          <w:rFonts w:eastAsia="Corbel" w:cstheme="minorHAnsi"/>
          <w:color w:val="000000" w:themeColor="text1"/>
        </w:rPr>
        <w:t xml:space="preserve"> It allocates larger shares in remaining carbon emissions to ‘developing’ countries to facilitate necessary economic development, before apportioning the remaining budget to developed nations using a grandfathering method. The UK’s budget, derived by this method is 3.87 GtCO2</w:t>
      </w:r>
      <w:r w:rsidRPr="000E55C1">
        <w:rPr>
          <w:rStyle w:val="FootnoteReference"/>
          <w:rFonts w:eastAsia="Corbel" w:cstheme="minorHAnsi"/>
          <w:color w:val="000000" w:themeColor="text1"/>
        </w:rPr>
        <w:footnoteReference w:id="4"/>
      </w:r>
      <w:r w:rsidRPr="000E55C1">
        <w:rPr>
          <w:rStyle w:val="normaltextrun"/>
          <w:rFonts w:eastAsia="Corbel" w:cstheme="minorHAnsi"/>
          <w:color w:val="000000" w:themeColor="text1"/>
        </w:rPr>
        <w:t>. Our additional carbon budget is 22% lower than the budget derived from the UK’s current planned budgets. This budget is an ambitious carbon budget for the UK. It was chosen based on its robust internalisation of the principle of common but differentiated responsibility and respective capacity at the heart of the Paris Agreement. This assigns the UK, and other wealthy early-industrialised emissions sooner and faster than those who have contributed less to the climate crisis. In the modelled scenarios, this budget was implemented from 2020-2050, with net-zero emissions also having to be met by 2050.</w:t>
      </w:r>
    </w:p>
    <w:p w14:paraId="7959FAD6" w14:textId="461DACD5" w:rsidR="009627EA" w:rsidRPr="000E55C1" w:rsidRDefault="009627EA" w:rsidP="00925E7B">
      <w:pPr>
        <w:pStyle w:val="Heading2"/>
        <w:rPr>
          <w:rFonts w:asciiTheme="minorHAnsi" w:hAnsiTheme="minorHAnsi" w:cstheme="minorHAnsi"/>
        </w:rPr>
      </w:pPr>
    </w:p>
    <w:p w14:paraId="0BF8D1E4" w14:textId="77777777" w:rsidR="009627EA" w:rsidRPr="000E55C1" w:rsidRDefault="009627EA">
      <w:pPr>
        <w:rPr>
          <w:rFonts w:cstheme="minorHAnsi"/>
        </w:rPr>
      </w:pPr>
    </w:p>
    <w:p w14:paraId="7E4A123D" w14:textId="17D227DB" w:rsidR="009627EA" w:rsidRPr="000E55C1" w:rsidRDefault="009627EA" w:rsidP="009627EA">
      <w:pPr>
        <w:rPr>
          <w:rFonts w:eastAsiaTheme="majorEastAsia" w:cstheme="minorHAnsi"/>
          <w:color w:val="2E74B5" w:themeColor="accent1" w:themeShade="BF"/>
          <w:sz w:val="26"/>
          <w:szCs w:val="26"/>
        </w:rPr>
      </w:pPr>
      <w:r w:rsidRPr="000E55C1">
        <w:rPr>
          <w:rFonts w:cstheme="minorHAnsi"/>
        </w:rPr>
        <w:br w:type="page"/>
      </w:r>
    </w:p>
    <w:p w14:paraId="759CD54D" w14:textId="605619C4" w:rsidR="009627EA" w:rsidRPr="000E55C1" w:rsidRDefault="00955BCE" w:rsidP="00955BCE">
      <w:pPr>
        <w:pStyle w:val="Heading2"/>
        <w:rPr>
          <w:rFonts w:asciiTheme="minorHAnsi" w:hAnsiTheme="minorHAnsi" w:cstheme="minorHAnsi"/>
        </w:rPr>
      </w:pPr>
      <w:bookmarkStart w:id="25" w:name="_Toc87453382"/>
      <w:r w:rsidRPr="000E55C1">
        <w:rPr>
          <w:rFonts w:asciiTheme="minorHAnsi" w:hAnsiTheme="minorHAnsi" w:cstheme="minorHAnsi"/>
        </w:rPr>
        <w:lastRenderedPageBreak/>
        <w:t>References</w:t>
      </w:r>
      <w:bookmarkEnd w:id="25"/>
    </w:p>
    <w:p w14:paraId="622759E1" w14:textId="1AAFF93D" w:rsidR="00955BCE" w:rsidRPr="000E55C1" w:rsidRDefault="00955BCE" w:rsidP="00955BCE">
      <w:pPr>
        <w:rPr>
          <w:rFonts w:cstheme="minorHAnsi"/>
        </w:rPr>
      </w:pPr>
    </w:p>
    <w:p w14:paraId="101AA625" w14:textId="3D8A550B" w:rsidR="00E12155" w:rsidRPr="00E12155" w:rsidRDefault="006D5B93" w:rsidP="00E12155">
      <w:pPr>
        <w:widowControl w:val="0"/>
        <w:autoSpaceDE w:val="0"/>
        <w:autoSpaceDN w:val="0"/>
        <w:adjustRightInd w:val="0"/>
        <w:spacing w:line="240" w:lineRule="auto"/>
        <w:ind w:left="640" w:hanging="640"/>
        <w:rPr>
          <w:rFonts w:ascii="Calibri" w:hAnsi="Calibri" w:cs="Calibri"/>
          <w:noProof/>
          <w:szCs w:val="24"/>
        </w:rPr>
      </w:pPr>
      <w:r w:rsidRPr="000E55C1">
        <w:rPr>
          <w:rFonts w:cstheme="minorHAnsi"/>
        </w:rPr>
        <w:fldChar w:fldCharType="begin" w:fldLock="1"/>
      </w:r>
      <w:r w:rsidRPr="000E55C1">
        <w:rPr>
          <w:rFonts w:cstheme="minorHAnsi"/>
        </w:rPr>
        <w:instrText xml:space="preserve">ADDIN Mendeley Bibliography CSL_BIBLIOGRAPHY </w:instrText>
      </w:r>
      <w:r w:rsidRPr="000E55C1">
        <w:rPr>
          <w:rFonts w:cstheme="minorHAnsi"/>
        </w:rPr>
        <w:fldChar w:fldCharType="separate"/>
      </w:r>
      <w:r w:rsidR="00E12155" w:rsidRPr="00E12155">
        <w:rPr>
          <w:rFonts w:ascii="Calibri" w:hAnsi="Calibri" w:cs="Calibri"/>
          <w:noProof/>
          <w:szCs w:val="24"/>
        </w:rPr>
        <w:t>1.</w:t>
      </w:r>
      <w:r w:rsidR="00E12155" w:rsidRPr="00E12155">
        <w:rPr>
          <w:rFonts w:ascii="Calibri" w:hAnsi="Calibri" w:cs="Calibri"/>
          <w:noProof/>
          <w:szCs w:val="24"/>
        </w:rPr>
        <w:tab/>
        <w:t xml:space="preserve">BEIS. </w:t>
      </w:r>
      <w:r w:rsidR="00E12155" w:rsidRPr="00E12155">
        <w:rPr>
          <w:rFonts w:ascii="Calibri" w:hAnsi="Calibri" w:cs="Calibri"/>
          <w:i/>
          <w:iCs/>
          <w:noProof/>
          <w:szCs w:val="24"/>
        </w:rPr>
        <w:t>Energy Consumption in the UK 1970 to 2019</w:t>
      </w:r>
      <w:r w:rsidR="00E12155" w:rsidRPr="00E12155">
        <w:rPr>
          <w:rFonts w:ascii="Calibri" w:hAnsi="Calibri" w:cs="Calibri"/>
          <w:noProof/>
          <w:szCs w:val="24"/>
        </w:rPr>
        <w:t>. https://www.gov.uk/government/collections/digest-of-uk-energy-statistics-dukes (2020).</w:t>
      </w:r>
    </w:p>
    <w:p w14:paraId="69648CC4" w14:textId="77777777" w:rsidR="00E12155" w:rsidRPr="00E12155" w:rsidRDefault="00E12155" w:rsidP="00E12155">
      <w:pPr>
        <w:widowControl w:val="0"/>
        <w:autoSpaceDE w:val="0"/>
        <w:autoSpaceDN w:val="0"/>
        <w:adjustRightInd w:val="0"/>
        <w:spacing w:line="240" w:lineRule="auto"/>
        <w:ind w:left="640" w:hanging="640"/>
        <w:rPr>
          <w:rFonts w:ascii="Calibri" w:hAnsi="Calibri" w:cs="Calibri"/>
          <w:noProof/>
          <w:szCs w:val="24"/>
        </w:rPr>
      </w:pPr>
      <w:r w:rsidRPr="00E12155">
        <w:rPr>
          <w:rFonts w:ascii="Calibri" w:hAnsi="Calibri" w:cs="Calibri"/>
          <w:noProof/>
          <w:szCs w:val="24"/>
        </w:rPr>
        <w:t>2.</w:t>
      </w:r>
      <w:r w:rsidRPr="00E12155">
        <w:rPr>
          <w:rFonts w:ascii="Calibri" w:hAnsi="Calibri" w:cs="Calibri"/>
          <w:noProof/>
          <w:szCs w:val="24"/>
        </w:rPr>
        <w:tab/>
        <w:t xml:space="preserve">Lees, E. &amp; Eyre, N. Thirty years of climate mitigation: lessons from the 1989 options appraisal for the UK. </w:t>
      </w:r>
      <w:r w:rsidRPr="00E12155">
        <w:rPr>
          <w:rFonts w:ascii="Calibri" w:hAnsi="Calibri" w:cs="Calibri"/>
          <w:i/>
          <w:iCs/>
          <w:noProof/>
          <w:szCs w:val="24"/>
        </w:rPr>
        <w:t>Energy Effic.</w:t>
      </w:r>
      <w:r w:rsidRPr="00E12155">
        <w:rPr>
          <w:rFonts w:ascii="Calibri" w:hAnsi="Calibri" w:cs="Calibri"/>
          <w:noProof/>
          <w:szCs w:val="24"/>
        </w:rPr>
        <w:t xml:space="preserve"> </w:t>
      </w:r>
      <w:r w:rsidRPr="00E12155">
        <w:rPr>
          <w:rFonts w:ascii="Calibri" w:hAnsi="Calibri" w:cs="Calibri"/>
          <w:b/>
          <w:bCs/>
          <w:noProof/>
          <w:szCs w:val="24"/>
        </w:rPr>
        <w:t>14</w:t>
      </w:r>
      <w:r w:rsidRPr="00E12155">
        <w:rPr>
          <w:rFonts w:ascii="Calibri" w:hAnsi="Calibri" w:cs="Calibri"/>
          <w:noProof/>
          <w:szCs w:val="24"/>
        </w:rPr>
        <w:t>, (2021).</w:t>
      </w:r>
    </w:p>
    <w:p w14:paraId="5179254D" w14:textId="77777777" w:rsidR="00E12155" w:rsidRPr="00E12155" w:rsidRDefault="00E12155" w:rsidP="00E12155">
      <w:pPr>
        <w:widowControl w:val="0"/>
        <w:autoSpaceDE w:val="0"/>
        <w:autoSpaceDN w:val="0"/>
        <w:adjustRightInd w:val="0"/>
        <w:spacing w:line="240" w:lineRule="auto"/>
        <w:ind w:left="640" w:hanging="640"/>
        <w:rPr>
          <w:rFonts w:ascii="Calibri" w:hAnsi="Calibri" w:cs="Calibri"/>
          <w:noProof/>
          <w:szCs w:val="24"/>
        </w:rPr>
      </w:pPr>
      <w:r w:rsidRPr="00E12155">
        <w:rPr>
          <w:rFonts w:ascii="Calibri" w:hAnsi="Calibri" w:cs="Calibri"/>
          <w:noProof/>
          <w:szCs w:val="24"/>
        </w:rPr>
        <w:t>3.</w:t>
      </w:r>
      <w:r w:rsidRPr="00E12155">
        <w:rPr>
          <w:rFonts w:ascii="Calibri" w:hAnsi="Calibri" w:cs="Calibri"/>
          <w:noProof/>
          <w:szCs w:val="24"/>
        </w:rPr>
        <w:tab/>
        <w:t xml:space="preserve">Hardt, L. </w:t>
      </w:r>
      <w:r w:rsidRPr="00E12155">
        <w:rPr>
          <w:rFonts w:ascii="Calibri" w:hAnsi="Calibri" w:cs="Calibri"/>
          <w:i/>
          <w:iCs/>
          <w:noProof/>
          <w:szCs w:val="24"/>
        </w:rPr>
        <w:t>et al.</w:t>
      </w:r>
      <w:r w:rsidRPr="00E12155">
        <w:rPr>
          <w:rFonts w:ascii="Calibri" w:hAnsi="Calibri" w:cs="Calibri"/>
          <w:noProof/>
          <w:szCs w:val="24"/>
        </w:rPr>
        <w:t xml:space="preserve"> Untangling the drivers of energy reduction in the UK productive sectors: Efficiency or offshoring? </w:t>
      </w:r>
      <w:r w:rsidRPr="00E12155">
        <w:rPr>
          <w:rFonts w:ascii="Calibri" w:hAnsi="Calibri" w:cs="Calibri"/>
          <w:i/>
          <w:iCs/>
          <w:noProof/>
          <w:szCs w:val="24"/>
        </w:rPr>
        <w:t>Appl. Energy</w:t>
      </w:r>
      <w:r w:rsidRPr="00E12155">
        <w:rPr>
          <w:rFonts w:ascii="Calibri" w:hAnsi="Calibri" w:cs="Calibri"/>
          <w:noProof/>
          <w:szCs w:val="24"/>
        </w:rPr>
        <w:t xml:space="preserve"> </w:t>
      </w:r>
      <w:r w:rsidRPr="00E12155">
        <w:rPr>
          <w:rFonts w:ascii="Calibri" w:hAnsi="Calibri" w:cs="Calibri"/>
          <w:b/>
          <w:bCs/>
          <w:noProof/>
          <w:szCs w:val="24"/>
        </w:rPr>
        <w:t>223</w:t>
      </w:r>
      <w:r w:rsidRPr="00E12155">
        <w:rPr>
          <w:rFonts w:ascii="Calibri" w:hAnsi="Calibri" w:cs="Calibri"/>
          <w:noProof/>
          <w:szCs w:val="24"/>
        </w:rPr>
        <w:t>, 124–133 (2018).</w:t>
      </w:r>
    </w:p>
    <w:p w14:paraId="2F98DC9B" w14:textId="77777777" w:rsidR="00E12155" w:rsidRPr="00E12155" w:rsidRDefault="00E12155" w:rsidP="00E12155">
      <w:pPr>
        <w:widowControl w:val="0"/>
        <w:autoSpaceDE w:val="0"/>
        <w:autoSpaceDN w:val="0"/>
        <w:adjustRightInd w:val="0"/>
        <w:spacing w:line="240" w:lineRule="auto"/>
        <w:ind w:left="640" w:hanging="640"/>
        <w:rPr>
          <w:rFonts w:ascii="Calibri" w:hAnsi="Calibri" w:cs="Calibri"/>
          <w:noProof/>
          <w:szCs w:val="24"/>
        </w:rPr>
      </w:pPr>
      <w:r w:rsidRPr="00E12155">
        <w:rPr>
          <w:rFonts w:ascii="Calibri" w:hAnsi="Calibri" w:cs="Calibri"/>
          <w:noProof/>
          <w:szCs w:val="24"/>
        </w:rPr>
        <w:t>4.</w:t>
      </w:r>
      <w:r w:rsidRPr="00E12155">
        <w:rPr>
          <w:rFonts w:ascii="Calibri" w:hAnsi="Calibri" w:cs="Calibri"/>
          <w:noProof/>
          <w:szCs w:val="24"/>
        </w:rPr>
        <w:tab/>
        <w:t xml:space="preserve">BEIS. </w:t>
      </w:r>
      <w:r w:rsidRPr="00E12155">
        <w:rPr>
          <w:rFonts w:ascii="Calibri" w:hAnsi="Calibri" w:cs="Calibri"/>
          <w:i/>
          <w:iCs/>
          <w:noProof/>
          <w:szCs w:val="24"/>
        </w:rPr>
        <w:t>Updated energy and emissions projections 2019</w:t>
      </w:r>
      <w:r w:rsidRPr="00E12155">
        <w:rPr>
          <w:rFonts w:ascii="Calibri" w:hAnsi="Calibri" w:cs="Calibri"/>
          <w:noProof/>
          <w:szCs w:val="24"/>
        </w:rPr>
        <w:t>. www.gov.uk/government/publications (2020).</w:t>
      </w:r>
    </w:p>
    <w:p w14:paraId="1653F3CA" w14:textId="77777777" w:rsidR="00E12155" w:rsidRPr="00E12155" w:rsidRDefault="00E12155" w:rsidP="00E12155">
      <w:pPr>
        <w:widowControl w:val="0"/>
        <w:autoSpaceDE w:val="0"/>
        <w:autoSpaceDN w:val="0"/>
        <w:adjustRightInd w:val="0"/>
        <w:spacing w:line="240" w:lineRule="auto"/>
        <w:ind w:left="640" w:hanging="640"/>
        <w:rPr>
          <w:rFonts w:ascii="Calibri" w:hAnsi="Calibri" w:cs="Calibri"/>
          <w:noProof/>
          <w:szCs w:val="24"/>
        </w:rPr>
      </w:pPr>
      <w:r w:rsidRPr="00E12155">
        <w:rPr>
          <w:rFonts w:ascii="Calibri" w:hAnsi="Calibri" w:cs="Calibri"/>
          <w:noProof/>
          <w:szCs w:val="24"/>
        </w:rPr>
        <w:t>5.</w:t>
      </w:r>
      <w:r w:rsidRPr="00E12155">
        <w:rPr>
          <w:rFonts w:ascii="Calibri" w:hAnsi="Calibri" w:cs="Calibri"/>
          <w:noProof/>
          <w:szCs w:val="24"/>
        </w:rPr>
        <w:tab/>
        <w:t xml:space="preserve">Grubler, A. </w:t>
      </w:r>
      <w:r w:rsidRPr="00E12155">
        <w:rPr>
          <w:rFonts w:ascii="Calibri" w:hAnsi="Calibri" w:cs="Calibri"/>
          <w:i/>
          <w:iCs/>
          <w:noProof/>
          <w:szCs w:val="24"/>
        </w:rPr>
        <w:t>et al.</w:t>
      </w:r>
      <w:r w:rsidRPr="00E12155">
        <w:rPr>
          <w:rFonts w:ascii="Calibri" w:hAnsi="Calibri" w:cs="Calibri"/>
          <w:noProof/>
          <w:szCs w:val="24"/>
        </w:rPr>
        <w:t xml:space="preserve"> A low energy demand scenario for meeting the 1.5 °c target and sustainable development goals without negative emission technologies. </w:t>
      </w:r>
      <w:r w:rsidRPr="00E12155">
        <w:rPr>
          <w:rFonts w:ascii="Calibri" w:hAnsi="Calibri" w:cs="Calibri"/>
          <w:i/>
          <w:iCs/>
          <w:noProof/>
          <w:szCs w:val="24"/>
        </w:rPr>
        <w:t>Nat. Energy</w:t>
      </w:r>
      <w:r w:rsidRPr="00E12155">
        <w:rPr>
          <w:rFonts w:ascii="Calibri" w:hAnsi="Calibri" w:cs="Calibri"/>
          <w:noProof/>
          <w:szCs w:val="24"/>
        </w:rPr>
        <w:t xml:space="preserve"> </w:t>
      </w:r>
      <w:r w:rsidRPr="00E12155">
        <w:rPr>
          <w:rFonts w:ascii="Calibri" w:hAnsi="Calibri" w:cs="Calibri"/>
          <w:b/>
          <w:bCs/>
          <w:noProof/>
          <w:szCs w:val="24"/>
        </w:rPr>
        <w:t>3</w:t>
      </w:r>
      <w:r w:rsidRPr="00E12155">
        <w:rPr>
          <w:rFonts w:ascii="Calibri" w:hAnsi="Calibri" w:cs="Calibri"/>
          <w:noProof/>
          <w:szCs w:val="24"/>
        </w:rPr>
        <w:t>, 515–527 (2018).</w:t>
      </w:r>
    </w:p>
    <w:p w14:paraId="2DBC38D1" w14:textId="77777777" w:rsidR="00E12155" w:rsidRPr="00E12155" w:rsidRDefault="00E12155" w:rsidP="00E12155">
      <w:pPr>
        <w:widowControl w:val="0"/>
        <w:autoSpaceDE w:val="0"/>
        <w:autoSpaceDN w:val="0"/>
        <w:adjustRightInd w:val="0"/>
        <w:spacing w:line="240" w:lineRule="auto"/>
        <w:ind w:left="640" w:hanging="640"/>
        <w:rPr>
          <w:rFonts w:ascii="Calibri" w:hAnsi="Calibri" w:cs="Calibri"/>
          <w:noProof/>
          <w:szCs w:val="24"/>
        </w:rPr>
      </w:pPr>
      <w:r w:rsidRPr="00E12155">
        <w:rPr>
          <w:rFonts w:ascii="Calibri" w:hAnsi="Calibri" w:cs="Calibri"/>
          <w:noProof/>
          <w:szCs w:val="24"/>
        </w:rPr>
        <w:t>6.</w:t>
      </w:r>
      <w:r w:rsidRPr="00E12155">
        <w:rPr>
          <w:rFonts w:ascii="Calibri" w:hAnsi="Calibri" w:cs="Calibri"/>
          <w:noProof/>
          <w:szCs w:val="24"/>
        </w:rPr>
        <w:tab/>
        <w:t xml:space="preserve">IPCC. Summary for Policymakers. in </w:t>
      </w:r>
      <w:r w:rsidRPr="00E12155">
        <w:rPr>
          <w:rFonts w:ascii="Calibri" w:hAnsi="Calibri" w:cs="Calibri"/>
          <w:i/>
          <w:iCs/>
          <w:noProof/>
          <w:szCs w:val="24"/>
        </w:rPr>
        <w:t>Global Warming of 1.5°C. An IPCC Special Report on the impacts of global warming of 1.5°C above pre-industrial levels and related global greenhouse gas emission pathways, in the context of strengthening the global response to the threat of climate change,</w:t>
      </w:r>
      <w:r w:rsidRPr="00E12155">
        <w:rPr>
          <w:rFonts w:ascii="Calibri" w:hAnsi="Calibri" w:cs="Calibri"/>
          <w:noProof/>
          <w:szCs w:val="24"/>
        </w:rPr>
        <w:t xml:space="preserve"> 1–24 (In Press, 2018). doi:10.1016/j.oneear.2019.10.025.</w:t>
      </w:r>
    </w:p>
    <w:p w14:paraId="28DC78C1" w14:textId="77777777" w:rsidR="00E12155" w:rsidRPr="00E12155" w:rsidRDefault="00E12155" w:rsidP="00E12155">
      <w:pPr>
        <w:widowControl w:val="0"/>
        <w:autoSpaceDE w:val="0"/>
        <w:autoSpaceDN w:val="0"/>
        <w:adjustRightInd w:val="0"/>
        <w:spacing w:line="240" w:lineRule="auto"/>
        <w:ind w:left="640" w:hanging="640"/>
        <w:rPr>
          <w:rFonts w:ascii="Calibri" w:hAnsi="Calibri" w:cs="Calibri"/>
          <w:noProof/>
          <w:szCs w:val="24"/>
        </w:rPr>
      </w:pPr>
      <w:r w:rsidRPr="00E12155">
        <w:rPr>
          <w:rFonts w:ascii="Calibri" w:hAnsi="Calibri" w:cs="Calibri"/>
          <w:noProof/>
          <w:szCs w:val="24"/>
        </w:rPr>
        <w:t>7.</w:t>
      </w:r>
      <w:r w:rsidRPr="00E12155">
        <w:rPr>
          <w:rFonts w:ascii="Calibri" w:hAnsi="Calibri" w:cs="Calibri"/>
          <w:noProof/>
          <w:szCs w:val="24"/>
        </w:rPr>
        <w:tab/>
        <w:t xml:space="preserve">Rogelj, J. </w:t>
      </w:r>
      <w:r w:rsidRPr="00E12155">
        <w:rPr>
          <w:rFonts w:ascii="Calibri" w:hAnsi="Calibri" w:cs="Calibri"/>
          <w:i/>
          <w:iCs/>
          <w:noProof/>
          <w:szCs w:val="24"/>
        </w:rPr>
        <w:t>et al.</w:t>
      </w:r>
      <w:r w:rsidRPr="00E12155">
        <w:rPr>
          <w:rFonts w:ascii="Calibri" w:hAnsi="Calibri" w:cs="Calibri"/>
          <w:noProof/>
          <w:szCs w:val="24"/>
        </w:rPr>
        <w:t xml:space="preserve"> Mitigation Pathways Compatible with 1.5°C in the Context of Sustainable Development. </w:t>
      </w:r>
      <w:r w:rsidRPr="00E12155">
        <w:rPr>
          <w:rFonts w:ascii="Calibri" w:hAnsi="Calibri" w:cs="Calibri"/>
          <w:i/>
          <w:iCs/>
          <w:noProof/>
          <w:szCs w:val="24"/>
        </w:rPr>
        <w:t>IPCC An IPCC Spec. Rep. impacts Glob. Warm. 1.5°C above pre-industrial levels Relat. Glob. Greenh. gas Emiss. pathways, Context Strength. Glob. response to Threat Clim. Chang. Sustain. develo</w:t>
      </w:r>
      <w:r w:rsidRPr="00E12155">
        <w:rPr>
          <w:rFonts w:ascii="Calibri" w:hAnsi="Calibri" w:cs="Calibri"/>
          <w:noProof/>
          <w:szCs w:val="24"/>
        </w:rPr>
        <w:t xml:space="preserve"> 82 (2018).</w:t>
      </w:r>
    </w:p>
    <w:p w14:paraId="2D113AE3" w14:textId="77777777" w:rsidR="00E12155" w:rsidRPr="00E12155" w:rsidRDefault="00E12155" w:rsidP="00E12155">
      <w:pPr>
        <w:widowControl w:val="0"/>
        <w:autoSpaceDE w:val="0"/>
        <w:autoSpaceDN w:val="0"/>
        <w:adjustRightInd w:val="0"/>
        <w:spacing w:line="240" w:lineRule="auto"/>
        <w:ind w:left="640" w:hanging="640"/>
        <w:rPr>
          <w:rFonts w:ascii="Calibri" w:hAnsi="Calibri" w:cs="Calibri"/>
          <w:noProof/>
          <w:szCs w:val="24"/>
        </w:rPr>
      </w:pPr>
      <w:r w:rsidRPr="00E12155">
        <w:rPr>
          <w:rFonts w:ascii="Calibri" w:hAnsi="Calibri" w:cs="Calibri"/>
          <w:noProof/>
          <w:szCs w:val="24"/>
        </w:rPr>
        <w:t>8.</w:t>
      </w:r>
      <w:r w:rsidRPr="00E12155">
        <w:rPr>
          <w:rFonts w:ascii="Calibri" w:hAnsi="Calibri" w:cs="Calibri"/>
          <w:noProof/>
          <w:szCs w:val="24"/>
        </w:rPr>
        <w:tab/>
        <w:t xml:space="preserve">International Energy Agency. </w:t>
      </w:r>
      <w:r w:rsidRPr="00E12155">
        <w:rPr>
          <w:rFonts w:ascii="Calibri" w:hAnsi="Calibri" w:cs="Calibri"/>
          <w:i/>
          <w:iCs/>
          <w:noProof/>
          <w:szCs w:val="24"/>
        </w:rPr>
        <w:t>Energy Technology Perspectives 2020</w:t>
      </w:r>
      <w:r w:rsidRPr="00E12155">
        <w:rPr>
          <w:rFonts w:ascii="Calibri" w:hAnsi="Calibri" w:cs="Calibri"/>
          <w:noProof/>
          <w:szCs w:val="24"/>
        </w:rPr>
        <w:t xml:space="preserve">. </w:t>
      </w:r>
      <w:r w:rsidRPr="00E12155">
        <w:rPr>
          <w:rFonts w:ascii="Calibri" w:hAnsi="Calibri" w:cs="Calibri"/>
          <w:i/>
          <w:iCs/>
          <w:noProof/>
          <w:szCs w:val="24"/>
        </w:rPr>
        <w:t>Energy Technology Perspectives 2020</w:t>
      </w:r>
      <w:r w:rsidRPr="00E12155">
        <w:rPr>
          <w:rFonts w:ascii="Calibri" w:hAnsi="Calibri" w:cs="Calibri"/>
          <w:noProof/>
          <w:szCs w:val="24"/>
        </w:rPr>
        <w:t xml:space="preserve"> www.iea.org/t&amp;c/ (2020) doi:10.1787/ab43a9a5-en.</w:t>
      </w:r>
    </w:p>
    <w:p w14:paraId="090CE7D7" w14:textId="77777777" w:rsidR="00E12155" w:rsidRPr="00E12155" w:rsidRDefault="00E12155" w:rsidP="00E12155">
      <w:pPr>
        <w:widowControl w:val="0"/>
        <w:autoSpaceDE w:val="0"/>
        <w:autoSpaceDN w:val="0"/>
        <w:adjustRightInd w:val="0"/>
        <w:spacing w:line="240" w:lineRule="auto"/>
        <w:ind w:left="640" w:hanging="640"/>
        <w:rPr>
          <w:rFonts w:ascii="Calibri" w:hAnsi="Calibri" w:cs="Calibri"/>
          <w:noProof/>
          <w:szCs w:val="24"/>
        </w:rPr>
      </w:pPr>
      <w:r w:rsidRPr="00E12155">
        <w:rPr>
          <w:rFonts w:ascii="Calibri" w:hAnsi="Calibri" w:cs="Calibri"/>
          <w:noProof/>
          <w:szCs w:val="24"/>
        </w:rPr>
        <w:t>9.</w:t>
      </w:r>
      <w:r w:rsidRPr="00E12155">
        <w:rPr>
          <w:rFonts w:ascii="Calibri" w:hAnsi="Calibri" w:cs="Calibri"/>
          <w:noProof/>
          <w:szCs w:val="24"/>
        </w:rPr>
        <w:tab/>
        <w:t xml:space="preserve">Brugger, H., Eichhammer, W., Mikova, N. &amp; Dönitz, E. Energy Efficiency Vision 2050: How will new societal trends influence future energy demand in the European countries? </w:t>
      </w:r>
      <w:r w:rsidRPr="00E12155">
        <w:rPr>
          <w:rFonts w:ascii="Calibri" w:hAnsi="Calibri" w:cs="Calibri"/>
          <w:i/>
          <w:iCs/>
          <w:noProof/>
          <w:szCs w:val="24"/>
        </w:rPr>
        <w:t>Energy Policy</w:t>
      </w:r>
      <w:r w:rsidRPr="00E12155">
        <w:rPr>
          <w:rFonts w:ascii="Calibri" w:hAnsi="Calibri" w:cs="Calibri"/>
          <w:noProof/>
          <w:szCs w:val="24"/>
        </w:rPr>
        <w:t xml:space="preserve"> </w:t>
      </w:r>
      <w:r w:rsidRPr="00E12155">
        <w:rPr>
          <w:rFonts w:ascii="Calibri" w:hAnsi="Calibri" w:cs="Calibri"/>
          <w:b/>
          <w:bCs/>
          <w:noProof/>
          <w:szCs w:val="24"/>
        </w:rPr>
        <w:t>152</w:t>
      </w:r>
      <w:r w:rsidRPr="00E12155">
        <w:rPr>
          <w:rFonts w:ascii="Calibri" w:hAnsi="Calibri" w:cs="Calibri"/>
          <w:noProof/>
          <w:szCs w:val="24"/>
        </w:rPr>
        <w:t>, (2021).</w:t>
      </w:r>
    </w:p>
    <w:p w14:paraId="4F26E09F" w14:textId="77777777" w:rsidR="00E12155" w:rsidRPr="00E12155" w:rsidRDefault="00E12155" w:rsidP="00E12155">
      <w:pPr>
        <w:widowControl w:val="0"/>
        <w:autoSpaceDE w:val="0"/>
        <w:autoSpaceDN w:val="0"/>
        <w:adjustRightInd w:val="0"/>
        <w:spacing w:line="240" w:lineRule="auto"/>
        <w:ind w:left="640" w:hanging="640"/>
        <w:rPr>
          <w:rFonts w:ascii="Calibri" w:hAnsi="Calibri" w:cs="Calibri"/>
          <w:noProof/>
          <w:szCs w:val="24"/>
        </w:rPr>
      </w:pPr>
      <w:r w:rsidRPr="00E12155">
        <w:rPr>
          <w:rFonts w:ascii="Calibri" w:hAnsi="Calibri" w:cs="Calibri"/>
          <w:noProof/>
          <w:szCs w:val="24"/>
        </w:rPr>
        <w:t>10.</w:t>
      </w:r>
      <w:r w:rsidRPr="00E12155">
        <w:rPr>
          <w:rFonts w:ascii="Calibri" w:hAnsi="Calibri" w:cs="Calibri"/>
          <w:noProof/>
          <w:szCs w:val="24"/>
        </w:rPr>
        <w:tab/>
        <w:t xml:space="preserve">Eyre, N., Brand, C., Layberry, R., Anable, J. &amp; Strachan, N. Energy Lifestyles. in </w:t>
      </w:r>
      <w:r w:rsidRPr="00E12155">
        <w:rPr>
          <w:rFonts w:ascii="Calibri" w:hAnsi="Calibri" w:cs="Calibri"/>
          <w:i/>
          <w:iCs/>
          <w:noProof/>
          <w:szCs w:val="24"/>
        </w:rPr>
        <w:t>ENERGY 2050: Making the transition to a secure and low-carbon energy system: Synthesis report</w:t>
      </w:r>
      <w:r w:rsidRPr="00E12155">
        <w:rPr>
          <w:rFonts w:ascii="Calibri" w:hAnsi="Calibri" w:cs="Calibri"/>
          <w:noProof/>
          <w:szCs w:val="24"/>
        </w:rPr>
        <w:t xml:space="preserve"> (eds. Ekins, P. &amp; Skea, J.) 103–118 (UKERC, 2009).</w:t>
      </w:r>
    </w:p>
    <w:p w14:paraId="21841279" w14:textId="77777777" w:rsidR="00E12155" w:rsidRPr="00E12155" w:rsidRDefault="00E12155" w:rsidP="00E12155">
      <w:pPr>
        <w:widowControl w:val="0"/>
        <w:autoSpaceDE w:val="0"/>
        <w:autoSpaceDN w:val="0"/>
        <w:adjustRightInd w:val="0"/>
        <w:spacing w:line="240" w:lineRule="auto"/>
        <w:ind w:left="640" w:hanging="640"/>
        <w:rPr>
          <w:rFonts w:ascii="Calibri" w:hAnsi="Calibri" w:cs="Calibri"/>
          <w:noProof/>
          <w:szCs w:val="24"/>
        </w:rPr>
      </w:pPr>
      <w:r w:rsidRPr="00E12155">
        <w:rPr>
          <w:rFonts w:ascii="Calibri" w:hAnsi="Calibri" w:cs="Calibri"/>
          <w:noProof/>
          <w:szCs w:val="24"/>
        </w:rPr>
        <w:t>11.</w:t>
      </w:r>
      <w:r w:rsidRPr="00E12155">
        <w:rPr>
          <w:rFonts w:ascii="Calibri" w:hAnsi="Calibri" w:cs="Calibri"/>
          <w:noProof/>
          <w:szCs w:val="24"/>
        </w:rPr>
        <w:tab/>
        <w:t xml:space="preserve">van Sluisveld, M. A. E., Martínez, S. H., Daioglou, V. &amp; van Vuuren, D. P. Exploring the implications of lifestyle change in 2°C mitigation scenarios using the IMAGE integrated assessment model. </w:t>
      </w:r>
      <w:r w:rsidRPr="00E12155">
        <w:rPr>
          <w:rFonts w:ascii="Calibri" w:hAnsi="Calibri" w:cs="Calibri"/>
          <w:i/>
          <w:iCs/>
          <w:noProof/>
          <w:szCs w:val="24"/>
        </w:rPr>
        <w:t>Technol. Forecast. Soc. Change</w:t>
      </w:r>
      <w:r w:rsidRPr="00E12155">
        <w:rPr>
          <w:rFonts w:ascii="Calibri" w:hAnsi="Calibri" w:cs="Calibri"/>
          <w:noProof/>
          <w:szCs w:val="24"/>
        </w:rPr>
        <w:t xml:space="preserve"> </w:t>
      </w:r>
      <w:r w:rsidRPr="00E12155">
        <w:rPr>
          <w:rFonts w:ascii="Calibri" w:hAnsi="Calibri" w:cs="Calibri"/>
          <w:b/>
          <w:bCs/>
          <w:noProof/>
          <w:szCs w:val="24"/>
        </w:rPr>
        <w:t>102</w:t>
      </w:r>
      <w:r w:rsidRPr="00E12155">
        <w:rPr>
          <w:rFonts w:ascii="Calibri" w:hAnsi="Calibri" w:cs="Calibri"/>
          <w:noProof/>
          <w:szCs w:val="24"/>
        </w:rPr>
        <w:t>, 309–319 (2016).</w:t>
      </w:r>
    </w:p>
    <w:p w14:paraId="62C57636" w14:textId="77777777" w:rsidR="00E12155" w:rsidRPr="00E12155" w:rsidRDefault="00E12155" w:rsidP="00E12155">
      <w:pPr>
        <w:widowControl w:val="0"/>
        <w:autoSpaceDE w:val="0"/>
        <w:autoSpaceDN w:val="0"/>
        <w:adjustRightInd w:val="0"/>
        <w:spacing w:line="240" w:lineRule="auto"/>
        <w:ind w:left="640" w:hanging="640"/>
        <w:rPr>
          <w:rFonts w:ascii="Calibri" w:hAnsi="Calibri" w:cs="Calibri"/>
          <w:noProof/>
          <w:szCs w:val="24"/>
        </w:rPr>
      </w:pPr>
      <w:r w:rsidRPr="00E12155">
        <w:rPr>
          <w:rFonts w:ascii="Calibri" w:hAnsi="Calibri" w:cs="Calibri"/>
          <w:noProof/>
          <w:szCs w:val="24"/>
        </w:rPr>
        <w:t>12.</w:t>
      </w:r>
      <w:r w:rsidRPr="00E12155">
        <w:rPr>
          <w:rFonts w:ascii="Calibri" w:hAnsi="Calibri" w:cs="Calibri"/>
          <w:noProof/>
          <w:szCs w:val="24"/>
        </w:rPr>
        <w:tab/>
        <w:t xml:space="preserve">Van Vuuren, D. P. </w:t>
      </w:r>
      <w:r w:rsidRPr="00E12155">
        <w:rPr>
          <w:rFonts w:ascii="Calibri" w:hAnsi="Calibri" w:cs="Calibri"/>
          <w:i/>
          <w:iCs/>
          <w:noProof/>
          <w:szCs w:val="24"/>
        </w:rPr>
        <w:t>et al.</w:t>
      </w:r>
      <w:r w:rsidRPr="00E12155">
        <w:rPr>
          <w:rFonts w:ascii="Calibri" w:hAnsi="Calibri" w:cs="Calibri"/>
          <w:noProof/>
          <w:szCs w:val="24"/>
        </w:rPr>
        <w:t xml:space="preserve"> Alternative pathways to the 1.5 °c target reduce the need for negative emission technologies. </w:t>
      </w:r>
      <w:r w:rsidRPr="00E12155">
        <w:rPr>
          <w:rFonts w:ascii="Calibri" w:hAnsi="Calibri" w:cs="Calibri"/>
          <w:i/>
          <w:iCs/>
          <w:noProof/>
          <w:szCs w:val="24"/>
        </w:rPr>
        <w:t>Nat. Clim. Chang.</w:t>
      </w:r>
      <w:r w:rsidRPr="00E12155">
        <w:rPr>
          <w:rFonts w:ascii="Calibri" w:hAnsi="Calibri" w:cs="Calibri"/>
          <w:noProof/>
          <w:szCs w:val="24"/>
        </w:rPr>
        <w:t xml:space="preserve"> </w:t>
      </w:r>
      <w:r w:rsidRPr="00E12155">
        <w:rPr>
          <w:rFonts w:ascii="Calibri" w:hAnsi="Calibri" w:cs="Calibri"/>
          <w:b/>
          <w:bCs/>
          <w:noProof/>
          <w:szCs w:val="24"/>
        </w:rPr>
        <w:t>8</w:t>
      </w:r>
      <w:r w:rsidRPr="00E12155">
        <w:rPr>
          <w:rFonts w:ascii="Calibri" w:hAnsi="Calibri" w:cs="Calibri"/>
          <w:noProof/>
          <w:szCs w:val="24"/>
        </w:rPr>
        <w:t>, 391–397 (2018).</w:t>
      </w:r>
    </w:p>
    <w:p w14:paraId="4C54CFAE" w14:textId="77777777" w:rsidR="00E12155" w:rsidRPr="00E12155" w:rsidRDefault="00E12155" w:rsidP="00E12155">
      <w:pPr>
        <w:widowControl w:val="0"/>
        <w:autoSpaceDE w:val="0"/>
        <w:autoSpaceDN w:val="0"/>
        <w:adjustRightInd w:val="0"/>
        <w:spacing w:line="240" w:lineRule="auto"/>
        <w:ind w:left="640" w:hanging="640"/>
        <w:rPr>
          <w:rFonts w:ascii="Calibri" w:hAnsi="Calibri" w:cs="Calibri"/>
          <w:noProof/>
          <w:szCs w:val="24"/>
        </w:rPr>
      </w:pPr>
      <w:r w:rsidRPr="00E12155">
        <w:rPr>
          <w:rFonts w:ascii="Calibri" w:hAnsi="Calibri" w:cs="Calibri"/>
          <w:noProof/>
          <w:szCs w:val="24"/>
        </w:rPr>
        <w:t>13.</w:t>
      </w:r>
      <w:r w:rsidRPr="00E12155">
        <w:rPr>
          <w:rFonts w:ascii="Calibri" w:hAnsi="Calibri" w:cs="Calibri"/>
          <w:noProof/>
          <w:szCs w:val="24"/>
        </w:rPr>
        <w:tab/>
        <w:t xml:space="preserve">Institute for Global Environmental Strategies, Aalto University,  and D. ltd. 2019. </w:t>
      </w:r>
      <w:r w:rsidRPr="00E12155">
        <w:rPr>
          <w:rFonts w:ascii="Calibri" w:hAnsi="Calibri" w:cs="Calibri"/>
          <w:i/>
          <w:iCs/>
          <w:noProof/>
          <w:szCs w:val="24"/>
        </w:rPr>
        <w:t>1.5-Degree Lifestyles: Targets and options for reducing lifestyle carbon footprints</w:t>
      </w:r>
      <w:r w:rsidRPr="00E12155">
        <w:rPr>
          <w:rFonts w:ascii="Calibri" w:hAnsi="Calibri" w:cs="Calibri"/>
          <w:noProof/>
          <w:szCs w:val="24"/>
        </w:rPr>
        <w:t>. (2019).</w:t>
      </w:r>
    </w:p>
    <w:p w14:paraId="6CB02CC9" w14:textId="77777777" w:rsidR="00E12155" w:rsidRPr="00E12155" w:rsidRDefault="00E12155" w:rsidP="00E12155">
      <w:pPr>
        <w:widowControl w:val="0"/>
        <w:autoSpaceDE w:val="0"/>
        <w:autoSpaceDN w:val="0"/>
        <w:adjustRightInd w:val="0"/>
        <w:spacing w:line="240" w:lineRule="auto"/>
        <w:ind w:left="640" w:hanging="640"/>
        <w:rPr>
          <w:rFonts w:ascii="Calibri" w:hAnsi="Calibri" w:cs="Calibri"/>
          <w:noProof/>
          <w:szCs w:val="24"/>
        </w:rPr>
      </w:pPr>
      <w:r w:rsidRPr="00E12155">
        <w:rPr>
          <w:rFonts w:ascii="Calibri" w:hAnsi="Calibri" w:cs="Calibri"/>
          <w:noProof/>
          <w:szCs w:val="24"/>
        </w:rPr>
        <w:t>14.</w:t>
      </w:r>
      <w:r w:rsidRPr="00E12155">
        <w:rPr>
          <w:rFonts w:ascii="Calibri" w:hAnsi="Calibri" w:cs="Calibri"/>
          <w:noProof/>
          <w:szCs w:val="24"/>
        </w:rPr>
        <w:tab/>
        <w:t xml:space="preserve">Niamir, L., Ivanova, O. &amp; Filatova, T. Economy-wide impacts of behavioral climate change mitigation: Linking agent-based and computable general equilibrium models. </w:t>
      </w:r>
      <w:r w:rsidRPr="00E12155">
        <w:rPr>
          <w:rFonts w:ascii="Calibri" w:hAnsi="Calibri" w:cs="Calibri"/>
          <w:i/>
          <w:iCs/>
          <w:noProof/>
          <w:szCs w:val="24"/>
        </w:rPr>
        <w:t>Environ. Model. Softw.</w:t>
      </w:r>
      <w:r w:rsidRPr="00E12155">
        <w:rPr>
          <w:rFonts w:ascii="Calibri" w:hAnsi="Calibri" w:cs="Calibri"/>
          <w:noProof/>
          <w:szCs w:val="24"/>
        </w:rPr>
        <w:t xml:space="preserve"> </w:t>
      </w:r>
      <w:r w:rsidRPr="00E12155">
        <w:rPr>
          <w:rFonts w:ascii="Calibri" w:hAnsi="Calibri" w:cs="Calibri"/>
          <w:b/>
          <w:bCs/>
          <w:noProof/>
          <w:szCs w:val="24"/>
        </w:rPr>
        <w:t>134</w:t>
      </w:r>
      <w:r w:rsidRPr="00E12155">
        <w:rPr>
          <w:rFonts w:ascii="Calibri" w:hAnsi="Calibri" w:cs="Calibri"/>
          <w:noProof/>
          <w:szCs w:val="24"/>
        </w:rPr>
        <w:t>, 104839 (2020).</w:t>
      </w:r>
    </w:p>
    <w:p w14:paraId="3DB30E69" w14:textId="77777777" w:rsidR="00E12155" w:rsidRPr="00E12155" w:rsidRDefault="00E12155" w:rsidP="00E12155">
      <w:pPr>
        <w:widowControl w:val="0"/>
        <w:autoSpaceDE w:val="0"/>
        <w:autoSpaceDN w:val="0"/>
        <w:adjustRightInd w:val="0"/>
        <w:spacing w:line="240" w:lineRule="auto"/>
        <w:ind w:left="640" w:hanging="640"/>
        <w:rPr>
          <w:rFonts w:ascii="Calibri" w:hAnsi="Calibri" w:cs="Calibri"/>
          <w:noProof/>
          <w:szCs w:val="24"/>
        </w:rPr>
      </w:pPr>
      <w:r w:rsidRPr="00E12155">
        <w:rPr>
          <w:rFonts w:ascii="Calibri" w:hAnsi="Calibri" w:cs="Calibri"/>
          <w:noProof/>
          <w:szCs w:val="24"/>
        </w:rPr>
        <w:t>15.</w:t>
      </w:r>
      <w:r w:rsidRPr="00E12155">
        <w:rPr>
          <w:rFonts w:ascii="Calibri" w:hAnsi="Calibri" w:cs="Calibri"/>
          <w:noProof/>
          <w:szCs w:val="24"/>
        </w:rPr>
        <w:tab/>
        <w:t xml:space="preserve">Ivanova, D. </w:t>
      </w:r>
      <w:r w:rsidRPr="00E12155">
        <w:rPr>
          <w:rFonts w:ascii="Calibri" w:hAnsi="Calibri" w:cs="Calibri"/>
          <w:i/>
          <w:iCs/>
          <w:noProof/>
          <w:szCs w:val="24"/>
        </w:rPr>
        <w:t>et al.</w:t>
      </w:r>
      <w:r w:rsidRPr="00E12155">
        <w:rPr>
          <w:rFonts w:ascii="Calibri" w:hAnsi="Calibri" w:cs="Calibri"/>
          <w:noProof/>
          <w:szCs w:val="24"/>
        </w:rPr>
        <w:t xml:space="preserve"> Quantifying the potential for climate change mitigation of consumption options. </w:t>
      </w:r>
      <w:r w:rsidRPr="00E12155">
        <w:rPr>
          <w:rFonts w:ascii="Calibri" w:hAnsi="Calibri" w:cs="Calibri"/>
          <w:i/>
          <w:iCs/>
          <w:noProof/>
          <w:szCs w:val="24"/>
        </w:rPr>
        <w:t>Environmental Research Letters</w:t>
      </w:r>
      <w:r w:rsidRPr="00E12155">
        <w:rPr>
          <w:rFonts w:ascii="Calibri" w:hAnsi="Calibri" w:cs="Calibri"/>
          <w:noProof/>
          <w:szCs w:val="24"/>
        </w:rPr>
        <w:t xml:space="preserve"> vol. 15 093001 (2020).</w:t>
      </w:r>
    </w:p>
    <w:p w14:paraId="193CA17F" w14:textId="77777777" w:rsidR="00E12155" w:rsidRPr="00E12155" w:rsidRDefault="00E12155" w:rsidP="00E12155">
      <w:pPr>
        <w:widowControl w:val="0"/>
        <w:autoSpaceDE w:val="0"/>
        <w:autoSpaceDN w:val="0"/>
        <w:adjustRightInd w:val="0"/>
        <w:spacing w:line="240" w:lineRule="auto"/>
        <w:ind w:left="640" w:hanging="640"/>
        <w:rPr>
          <w:rFonts w:ascii="Calibri" w:hAnsi="Calibri" w:cs="Calibri"/>
          <w:noProof/>
          <w:szCs w:val="24"/>
        </w:rPr>
      </w:pPr>
      <w:r w:rsidRPr="00E12155">
        <w:rPr>
          <w:rFonts w:ascii="Calibri" w:hAnsi="Calibri" w:cs="Calibri"/>
          <w:noProof/>
          <w:szCs w:val="24"/>
        </w:rPr>
        <w:t>16.</w:t>
      </w:r>
      <w:r w:rsidRPr="00E12155">
        <w:rPr>
          <w:rFonts w:ascii="Calibri" w:hAnsi="Calibri" w:cs="Calibri"/>
          <w:noProof/>
          <w:szCs w:val="24"/>
        </w:rPr>
        <w:tab/>
        <w:t xml:space="preserve">Kuhnhenn, K., Costa, L., Mahnke, E., Schneider, L. &amp; Lange, S. </w:t>
      </w:r>
      <w:r w:rsidRPr="00E12155">
        <w:rPr>
          <w:rFonts w:ascii="Calibri" w:hAnsi="Calibri" w:cs="Calibri"/>
          <w:i/>
          <w:iCs/>
          <w:noProof/>
          <w:szCs w:val="24"/>
        </w:rPr>
        <w:t>A Societal Transformation Scenario for Staying Below 1.5°C</w:t>
      </w:r>
      <w:r w:rsidRPr="00E12155">
        <w:rPr>
          <w:rFonts w:ascii="Calibri" w:hAnsi="Calibri" w:cs="Calibri"/>
          <w:noProof/>
          <w:szCs w:val="24"/>
        </w:rPr>
        <w:t>. https://www.boell.de/en/2020/12/09/societal-</w:t>
      </w:r>
      <w:r w:rsidRPr="00E12155">
        <w:rPr>
          <w:rFonts w:ascii="Calibri" w:hAnsi="Calibri" w:cs="Calibri"/>
          <w:noProof/>
          <w:szCs w:val="24"/>
        </w:rPr>
        <w:lastRenderedPageBreak/>
        <w:t>transformation-scenario-staying-below-15degc (2020).</w:t>
      </w:r>
    </w:p>
    <w:p w14:paraId="460C4653" w14:textId="77777777" w:rsidR="00E12155" w:rsidRPr="00E12155" w:rsidRDefault="00E12155" w:rsidP="00E12155">
      <w:pPr>
        <w:widowControl w:val="0"/>
        <w:autoSpaceDE w:val="0"/>
        <w:autoSpaceDN w:val="0"/>
        <w:adjustRightInd w:val="0"/>
        <w:spacing w:line="240" w:lineRule="auto"/>
        <w:ind w:left="640" w:hanging="640"/>
        <w:rPr>
          <w:rFonts w:ascii="Calibri" w:hAnsi="Calibri" w:cs="Calibri"/>
          <w:noProof/>
          <w:szCs w:val="24"/>
        </w:rPr>
      </w:pPr>
      <w:r w:rsidRPr="00E12155">
        <w:rPr>
          <w:rFonts w:ascii="Calibri" w:hAnsi="Calibri" w:cs="Calibri"/>
          <w:noProof/>
          <w:szCs w:val="24"/>
        </w:rPr>
        <w:t>17.</w:t>
      </w:r>
      <w:r w:rsidRPr="00E12155">
        <w:rPr>
          <w:rFonts w:ascii="Calibri" w:hAnsi="Calibri" w:cs="Calibri"/>
          <w:noProof/>
          <w:szCs w:val="24"/>
        </w:rPr>
        <w:tab/>
        <w:t xml:space="preserve">Keyßer, L. T. &amp; Lenzen, M. 1.5 °C degrowth scenarios suggest the need for new mitigation pathways. </w:t>
      </w:r>
      <w:r w:rsidRPr="00E12155">
        <w:rPr>
          <w:rFonts w:ascii="Calibri" w:hAnsi="Calibri" w:cs="Calibri"/>
          <w:i/>
          <w:iCs/>
          <w:noProof/>
          <w:szCs w:val="24"/>
        </w:rPr>
        <w:t>Nat. Commun.</w:t>
      </w:r>
      <w:r w:rsidRPr="00E12155">
        <w:rPr>
          <w:rFonts w:ascii="Calibri" w:hAnsi="Calibri" w:cs="Calibri"/>
          <w:noProof/>
          <w:szCs w:val="24"/>
        </w:rPr>
        <w:t xml:space="preserve"> </w:t>
      </w:r>
      <w:r w:rsidRPr="00E12155">
        <w:rPr>
          <w:rFonts w:ascii="Calibri" w:hAnsi="Calibri" w:cs="Calibri"/>
          <w:b/>
          <w:bCs/>
          <w:noProof/>
          <w:szCs w:val="24"/>
        </w:rPr>
        <w:t>12</w:t>
      </w:r>
      <w:r w:rsidRPr="00E12155">
        <w:rPr>
          <w:rFonts w:ascii="Calibri" w:hAnsi="Calibri" w:cs="Calibri"/>
          <w:noProof/>
          <w:szCs w:val="24"/>
        </w:rPr>
        <w:t>, (2021).</w:t>
      </w:r>
    </w:p>
    <w:p w14:paraId="5FF2B90A" w14:textId="77777777" w:rsidR="00E12155" w:rsidRPr="00E12155" w:rsidRDefault="00E12155" w:rsidP="00E12155">
      <w:pPr>
        <w:widowControl w:val="0"/>
        <w:autoSpaceDE w:val="0"/>
        <w:autoSpaceDN w:val="0"/>
        <w:adjustRightInd w:val="0"/>
        <w:spacing w:line="240" w:lineRule="auto"/>
        <w:ind w:left="640" w:hanging="640"/>
        <w:rPr>
          <w:rFonts w:ascii="Calibri" w:hAnsi="Calibri" w:cs="Calibri"/>
          <w:noProof/>
          <w:szCs w:val="24"/>
        </w:rPr>
      </w:pPr>
      <w:r w:rsidRPr="00E12155">
        <w:rPr>
          <w:rFonts w:ascii="Calibri" w:hAnsi="Calibri" w:cs="Calibri"/>
          <w:noProof/>
          <w:szCs w:val="24"/>
        </w:rPr>
        <w:t>18.</w:t>
      </w:r>
      <w:r w:rsidRPr="00E12155">
        <w:rPr>
          <w:rFonts w:ascii="Calibri" w:hAnsi="Calibri" w:cs="Calibri"/>
          <w:noProof/>
          <w:szCs w:val="24"/>
        </w:rPr>
        <w:tab/>
        <w:t xml:space="preserve">Sharmina, M. </w:t>
      </w:r>
      <w:r w:rsidRPr="00E12155">
        <w:rPr>
          <w:rFonts w:ascii="Calibri" w:hAnsi="Calibri" w:cs="Calibri"/>
          <w:i/>
          <w:iCs/>
          <w:noProof/>
          <w:szCs w:val="24"/>
        </w:rPr>
        <w:t>et al.</w:t>
      </w:r>
      <w:r w:rsidRPr="00E12155">
        <w:rPr>
          <w:rFonts w:ascii="Calibri" w:hAnsi="Calibri" w:cs="Calibri"/>
          <w:noProof/>
          <w:szCs w:val="24"/>
        </w:rPr>
        <w:t xml:space="preserve"> Decarbonising the critical sectors of aviation, shipping, road freight and industry to limit warming to 1.5–2°C. </w:t>
      </w:r>
      <w:r w:rsidRPr="00E12155">
        <w:rPr>
          <w:rFonts w:ascii="Calibri" w:hAnsi="Calibri" w:cs="Calibri"/>
          <w:i/>
          <w:iCs/>
          <w:noProof/>
          <w:szCs w:val="24"/>
        </w:rPr>
        <w:t>Clim. Policy</w:t>
      </w:r>
      <w:r w:rsidRPr="00E12155">
        <w:rPr>
          <w:rFonts w:ascii="Calibri" w:hAnsi="Calibri" w:cs="Calibri"/>
          <w:noProof/>
          <w:szCs w:val="24"/>
        </w:rPr>
        <w:t xml:space="preserve"> </w:t>
      </w:r>
      <w:r w:rsidRPr="00E12155">
        <w:rPr>
          <w:rFonts w:ascii="Calibri" w:hAnsi="Calibri" w:cs="Calibri"/>
          <w:b/>
          <w:bCs/>
          <w:noProof/>
          <w:szCs w:val="24"/>
        </w:rPr>
        <w:t>21</w:t>
      </w:r>
      <w:r w:rsidRPr="00E12155">
        <w:rPr>
          <w:rFonts w:ascii="Calibri" w:hAnsi="Calibri" w:cs="Calibri"/>
          <w:noProof/>
          <w:szCs w:val="24"/>
        </w:rPr>
        <w:t>, 455–474 (2021).</w:t>
      </w:r>
    </w:p>
    <w:p w14:paraId="7DB19B22" w14:textId="77777777" w:rsidR="00E12155" w:rsidRPr="00E12155" w:rsidRDefault="00E12155" w:rsidP="00E12155">
      <w:pPr>
        <w:widowControl w:val="0"/>
        <w:autoSpaceDE w:val="0"/>
        <w:autoSpaceDN w:val="0"/>
        <w:adjustRightInd w:val="0"/>
        <w:spacing w:line="240" w:lineRule="auto"/>
        <w:ind w:left="640" w:hanging="640"/>
        <w:rPr>
          <w:rFonts w:ascii="Calibri" w:hAnsi="Calibri" w:cs="Calibri"/>
          <w:noProof/>
          <w:szCs w:val="24"/>
        </w:rPr>
      </w:pPr>
      <w:r w:rsidRPr="00E12155">
        <w:rPr>
          <w:rFonts w:ascii="Calibri" w:hAnsi="Calibri" w:cs="Calibri"/>
          <w:noProof/>
          <w:szCs w:val="24"/>
        </w:rPr>
        <w:t>19.</w:t>
      </w:r>
      <w:r w:rsidRPr="00E12155">
        <w:rPr>
          <w:rFonts w:ascii="Calibri" w:hAnsi="Calibri" w:cs="Calibri"/>
          <w:noProof/>
          <w:szCs w:val="24"/>
        </w:rPr>
        <w:tab/>
        <w:t xml:space="preserve">Mata </w:t>
      </w:r>
      <w:r w:rsidRPr="00E12155">
        <w:rPr>
          <w:rFonts w:ascii="Calibri" w:hAnsi="Calibri" w:cs="Calibri"/>
          <w:i/>
          <w:iCs/>
          <w:noProof/>
          <w:szCs w:val="24"/>
        </w:rPr>
        <w:t>et al.</w:t>
      </w:r>
      <w:r w:rsidRPr="00E12155">
        <w:rPr>
          <w:rFonts w:ascii="Calibri" w:hAnsi="Calibri" w:cs="Calibri"/>
          <w:noProof/>
          <w:szCs w:val="24"/>
        </w:rPr>
        <w:t xml:space="preserve"> A map of roadmaps for zero and low energy and carbon buildings worldwide. </w:t>
      </w:r>
      <w:r w:rsidRPr="00E12155">
        <w:rPr>
          <w:rFonts w:ascii="Calibri" w:hAnsi="Calibri" w:cs="Calibri"/>
          <w:i/>
          <w:iCs/>
          <w:noProof/>
          <w:szCs w:val="24"/>
        </w:rPr>
        <w:t>Environmental Research Letters</w:t>
      </w:r>
      <w:r w:rsidRPr="00E12155">
        <w:rPr>
          <w:rFonts w:ascii="Calibri" w:hAnsi="Calibri" w:cs="Calibri"/>
          <w:noProof/>
          <w:szCs w:val="24"/>
        </w:rPr>
        <w:t xml:space="preserve"> vol. 15 113003 (2020).</w:t>
      </w:r>
    </w:p>
    <w:p w14:paraId="219953C6" w14:textId="77777777" w:rsidR="00E12155" w:rsidRPr="00E12155" w:rsidRDefault="00E12155" w:rsidP="00E12155">
      <w:pPr>
        <w:widowControl w:val="0"/>
        <w:autoSpaceDE w:val="0"/>
        <w:autoSpaceDN w:val="0"/>
        <w:adjustRightInd w:val="0"/>
        <w:spacing w:line="240" w:lineRule="auto"/>
        <w:ind w:left="640" w:hanging="640"/>
        <w:rPr>
          <w:rFonts w:ascii="Calibri" w:hAnsi="Calibri" w:cs="Calibri"/>
          <w:noProof/>
          <w:szCs w:val="24"/>
        </w:rPr>
      </w:pPr>
      <w:r w:rsidRPr="00E12155">
        <w:rPr>
          <w:rFonts w:ascii="Calibri" w:hAnsi="Calibri" w:cs="Calibri"/>
          <w:noProof/>
          <w:szCs w:val="24"/>
        </w:rPr>
        <w:t>20.</w:t>
      </w:r>
      <w:r w:rsidRPr="00E12155">
        <w:rPr>
          <w:rFonts w:ascii="Calibri" w:hAnsi="Calibri" w:cs="Calibri"/>
          <w:noProof/>
          <w:szCs w:val="24"/>
        </w:rPr>
        <w:tab/>
        <w:t xml:space="preserve">Poore, J. &amp; Nemecek, T. Reducing food’s environmental impacts through producers and consumers. </w:t>
      </w:r>
      <w:r w:rsidRPr="00E12155">
        <w:rPr>
          <w:rFonts w:ascii="Calibri" w:hAnsi="Calibri" w:cs="Calibri"/>
          <w:i/>
          <w:iCs/>
          <w:noProof/>
          <w:szCs w:val="24"/>
        </w:rPr>
        <w:t>Science (80-. ).</w:t>
      </w:r>
      <w:r w:rsidRPr="00E12155">
        <w:rPr>
          <w:rFonts w:ascii="Calibri" w:hAnsi="Calibri" w:cs="Calibri"/>
          <w:noProof/>
          <w:szCs w:val="24"/>
        </w:rPr>
        <w:t xml:space="preserve"> </w:t>
      </w:r>
      <w:r w:rsidRPr="00E12155">
        <w:rPr>
          <w:rFonts w:ascii="Calibri" w:hAnsi="Calibri" w:cs="Calibri"/>
          <w:b/>
          <w:bCs/>
          <w:noProof/>
          <w:szCs w:val="24"/>
        </w:rPr>
        <w:t>360</w:t>
      </w:r>
      <w:r w:rsidRPr="00E12155">
        <w:rPr>
          <w:rFonts w:ascii="Calibri" w:hAnsi="Calibri" w:cs="Calibri"/>
          <w:noProof/>
          <w:szCs w:val="24"/>
        </w:rPr>
        <w:t>, 987–992 (2018).</w:t>
      </w:r>
    </w:p>
    <w:p w14:paraId="122FA67A" w14:textId="77777777" w:rsidR="00E12155" w:rsidRPr="00E12155" w:rsidRDefault="00E12155" w:rsidP="00E12155">
      <w:pPr>
        <w:widowControl w:val="0"/>
        <w:autoSpaceDE w:val="0"/>
        <w:autoSpaceDN w:val="0"/>
        <w:adjustRightInd w:val="0"/>
        <w:spacing w:line="240" w:lineRule="auto"/>
        <w:ind w:left="640" w:hanging="640"/>
        <w:rPr>
          <w:rFonts w:ascii="Calibri" w:hAnsi="Calibri" w:cs="Calibri"/>
          <w:noProof/>
          <w:szCs w:val="24"/>
        </w:rPr>
      </w:pPr>
      <w:r w:rsidRPr="00E12155">
        <w:rPr>
          <w:rFonts w:ascii="Calibri" w:hAnsi="Calibri" w:cs="Calibri"/>
          <w:noProof/>
          <w:szCs w:val="24"/>
        </w:rPr>
        <w:t>21.</w:t>
      </w:r>
      <w:r w:rsidRPr="00E12155">
        <w:rPr>
          <w:rFonts w:ascii="Calibri" w:hAnsi="Calibri" w:cs="Calibri"/>
          <w:noProof/>
          <w:szCs w:val="24"/>
        </w:rPr>
        <w:tab/>
        <w:t xml:space="preserve">Garvey, A., Norman, J. B., Owen, A. &amp; Barrett, J. Towards net zero nutrition: The contribution of demand-side change to mitigating UK food emissions. </w:t>
      </w:r>
      <w:r w:rsidRPr="00E12155">
        <w:rPr>
          <w:rFonts w:ascii="Calibri" w:hAnsi="Calibri" w:cs="Calibri"/>
          <w:i/>
          <w:iCs/>
          <w:noProof/>
          <w:szCs w:val="24"/>
        </w:rPr>
        <w:t>J. Clean. Prod.</w:t>
      </w:r>
      <w:r w:rsidRPr="00E12155">
        <w:rPr>
          <w:rFonts w:ascii="Calibri" w:hAnsi="Calibri" w:cs="Calibri"/>
          <w:noProof/>
          <w:szCs w:val="24"/>
        </w:rPr>
        <w:t xml:space="preserve"> </w:t>
      </w:r>
      <w:r w:rsidRPr="00E12155">
        <w:rPr>
          <w:rFonts w:ascii="Calibri" w:hAnsi="Calibri" w:cs="Calibri"/>
          <w:b/>
          <w:bCs/>
          <w:noProof/>
          <w:szCs w:val="24"/>
        </w:rPr>
        <w:t>290</w:t>
      </w:r>
      <w:r w:rsidRPr="00E12155">
        <w:rPr>
          <w:rFonts w:ascii="Calibri" w:hAnsi="Calibri" w:cs="Calibri"/>
          <w:noProof/>
          <w:szCs w:val="24"/>
        </w:rPr>
        <w:t>, 125672 (2021).</w:t>
      </w:r>
    </w:p>
    <w:p w14:paraId="49125E1A" w14:textId="77777777" w:rsidR="00E12155" w:rsidRPr="00E12155" w:rsidRDefault="00E12155" w:rsidP="00E12155">
      <w:pPr>
        <w:widowControl w:val="0"/>
        <w:autoSpaceDE w:val="0"/>
        <w:autoSpaceDN w:val="0"/>
        <w:adjustRightInd w:val="0"/>
        <w:spacing w:line="240" w:lineRule="auto"/>
        <w:ind w:left="640" w:hanging="640"/>
        <w:rPr>
          <w:rFonts w:ascii="Calibri" w:hAnsi="Calibri" w:cs="Calibri"/>
          <w:noProof/>
          <w:szCs w:val="24"/>
        </w:rPr>
      </w:pPr>
      <w:r w:rsidRPr="00E12155">
        <w:rPr>
          <w:rFonts w:ascii="Calibri" w:hAnsi="Calibri" w:cs="Calibri"/>
          <w:noProof/>
          <w:szCs w:val="24"/>
        </w:rPr>
        <w:t>22.</w:t>
      </w:r>
      <w:r w:rsidRPr="00E12155">
        <w:rPr>
          <w:rFonts w:ascii="Calibri" w:hAnsi="Calibri" w:cs="Calibri"/>
          <w:noProof/>
          <w:szCs w:val="24"/>
        </w:rPr>
        <w:tab/>
        <w:t xml:space="preserve">Khalili, S., Rantanen, E., Bogdanov, D. &amp; Breyer, C. Global Transportation Demand Development with Impacts on the Energy Demand and Greenhouse Gas Emissions in a Climate-Constrained World. </w:t>
      </w:r>
      <w:r w:rsidRPr="00E12155">
        <w:rPr>
          <w:rFonts w:ascii="Calibri" w:hAnsi="Calibri" w:cs="Calibri"/>
          <w:i/>
          <w:iCs/>
          <w:noProof/>
          <w:szCs w:val="24"/>
        </w:rPr>
        <w:t>Energies</w:t>
      </w:r>
      <w:r w:rsidRPr="00E12155">
        <w:rPr>
          <w:rFonts w:ascii="Calibri" w:hAnsi="Calibri" w:cs="Calibri"/>
          <w:noProof/>
          <w:szCs w:val="24"/>
        </w:rPr>
        <w:t xml:space="preserve"> </w:t>
      </w:r>
      <w:r w:rsidRPr="00E12155">
        <w:rPr>
          <w:rFonts w:ascii="Calibri" w:hAnsi="Calibri" w:cs="Calibri"/>
          <w:b/>
          <w:bCs/>
          <w:noProof/>
          <w:szCs w:val="24"/>
        </w:rPr>
        <w:t>12</w:t>
      </w:r>
      <w:r w:rsidRPr="00E12155">
        <w:rPr>
          <w:rFonts w:ascii="Calibri" w:hAnsi="Calibri" w:cs="Calibri"/>
          <w:noProof/>
          <w:szCs w:val="24"/>
        </w:rPr>
        <w:t>, 3870 (2019).</w:t>
      </w:r>
    </w:p>
    <w:p w14:paraId="60B0E5BB" w14:textId="77777777" w:rsidR="00E12155" w:rsidRPr="00E12155" w:rsidRDefault="00E12155" w:rsidP="00E12155">
      <w:pPr>
        <w:widowControl w:val="0"/>
        <w:autoSpaceDE w:val="0"/>
        <w:autoSpaceDN w:val="0"/>
        <w:adjustRightInd w:val="0"/>
        <w:spacing w:line="240" w:lineRule="auto"/>
        <w:ind w:left="640" w:hanging="640"/>
        <w:rPr>
          <w:rFonts w:ascii="Calibri" w:hAnsi="Calibri" w:cs="Calibri"/>
          <w:noProof/>
          <w:szCs w:val="24"/>
        </w:rPr>
      </w:pPr>
      <w:r w:rsidRPr="00E12155">
        <w:rPr>
          <w:rFonts w:ascii="Calibri" w:hAnsi="Calibri" w:cs="Calibri"/>
          <w:noProof/>
          <w:szCs w:val="24"/>
        </w:rPr>
        <w:t>23.</w:t>
      </w:r>
      <w:r w:rsidRPr="00E12155">
        <w:rPr>
          <w:rFonts w:ascii="Calibri" w:hAnsi="Calibri" w:cs="Calibri"/>
          <w:noProof/>
          <w:szCs w:val="24"/>
        </w:rPr>
        <w:tab/>
        <w:t xml:space="preserve">Brand, C., Anable, J. &amp; Morton, C. Lifestyle, efficiency and limits: modelling transport energy and emissions using a socio-technical approach. </w:t>
      </w:r>
      <w:r w:rsidRPr="00E12155">
        <w:rPr>
          <w:rFonts w:ascii="Calibri" w:hAnsi="Calibri" w:cs="Calibri"/>
          <w:i/>
          <w:iCs/>
          <w:noProof/>
          <w:szCs w:val="24"/>
        </w:rPr>
        <w:t>Energy Effic.</w:t>
      </w:r>
      <w:r w:rsidRPr="00E12155">
        <w:rPr>
          <w:rFonts w:ascii="Calibri" w:hAnsi="Calibri" w:cs="Calibri"/>
          <w:noProof/>
          <w:szCs w:val="24"/>
        </w:rPr>
        <w:t xml:space="preserve"> </w:t>
      </w:r>
      <w:r w:rsidRPr="00E12155">
        <w:rPr>
          <w:rFonts w:ascii="Calibri" w:hAnsi="Calibri" w:cs="Calibri"/>
          <w:b/>
          <w:bCs/>
          <w:noProof/>
          <w:szCs w:val="24"/>
        </w:rPr>
        <w:t>12</w:t>
      </w:r>
      <w:r w:rsidRPr="00E12155">
        <w:rPr>
          <w:rFonts w:ascii="Calibri" w:hAnsi="Calibri" w:cs="Calibri"/>
          <w:noProof/>
          <w:szCs w:val="24"/>
        </w:rPr>
        <w:t>, 187–207 (2019).</w:t>
      </w:r>
    </w:p>
    <w:p w14:paraId="7D6A3269" w14:textId="77777777" w:rsidR="00E12155" w:rsidRPr="00E12155" w:rsidRDefault="00E12155" w:rsidP="00E12155">
      <w:pPr>
        <w:widowControl w:val="0"/>
        <w:autoSpaceDE w:val="0"/>
        <w:autoSpaceDN w:val="0"/>
        <w:adjustRightInd w:val="0"/>
        <w:spacing w:line="240" w:lineRule="auto"/>
        <w:ind w:left="640" w:hanging="640"/>
        <w:rPr>
          <w:rFonts w:ascii="Calibri" w:hAnsi="Calibri" w:cs="Calibri"/>
          <w:noProof/>
          <w:szCs w:val="24"/>
        </w:rPr>
      </w:pPr>
      <w:r w:rsidRPr="00E12155">
        <w:rPr>
          <w:rFonts w:ascii="Calibri" w:hAnsi="Calibri" w:cs="Calibri"/>
          <w:noProof/>
          <w:szCs w:val="24"/>
        </w:rPr>
        <w:t>24.</w:t>
      </w:r>
      <w:r w:rsidRPr="00E12155">
        <w:rPr>
          <w:rFonts w:ascii="Calibri" w:hAnsi="Calibri" w:cs="Calibri"/>
          <w:noProof/>
          <w:szCs w:val="24"/>
        </w:rPr>
        <w:tab/>
        <w:t xml:space="preserve">CCC. </w:t>
      </w:r>
      <w:r w:rsidRPr="00E12155">
        <w:rPr>
          <w:rFonts w:ascii="Calibri" w:hAnsi="Calibri" w:cs="Calibri"/>
          <w:i/>
          <w:iCs/>
          <w:noProof/>
          <w:szCs w:val="24"/>
        </w:rPr>
        <w:t>Sixth Carbon Budget: The UK’s Path to Net Zero</w:t>
      </w:r>
      <w:r w:rsidRPr="00E12155">
        <w:rPr>
          <w:rFonts w:ascii="Calibri" w:hAnsi="Calibri" w:cs="Calibri"/>
          <w:noProof/>
          <w:szCs w:val="24"/>
        </w:rPr>
        <w:t>. https://www.theccc.org.uk/publication/sixth-carbon-budget/ (2020).</w:t>
      </w:r>
    </w:p>
    <w:p w14:paraId="6E1CF388" w14:textId="77777777" w:rsidR="00E12155" w:rsidRPr="00E12155" w:rsidRDefault="00E12155" w:rsidP="00E12155">
      <w:pPr>
        <w:widowControl w:val="0"/>
        <w:autoSpaceDE w:val="0"/>
        <w:autoSpaceDN w:val="0"/>
        <w:adjustRightInd w:val="0"/>
        <w:spacing w:line="240" w:lineRule="auto"/>
        <w:ind w:left="640" w:hanging="640"/>
        <w:rPr>
          <w:rFonts w:ascii="Calibri" w:hAnsi="Calibri" w:cs="Calibri"/>
          <w:noProof/>
          <w:szCs w:val="24"/>
        </w:rPr>
      </w:pPr>
      <w:r w:rsidRPr="00E12155">
        <w:rPr>
          <w:rFonts w:ascii="Calibri" w:hAnsi="Calibri" w:cs="Calibri"/>
          <w:noProof/>
          <w:szCs w:val="24"/>
        </w:rPr>
        <w:t>25.</w:t>
      </w:r>
      <w:r w:rsidRPr="00E12155">
        <w:rPr>
          <w:rFonts w:ascii="Calibri" w:hAnsi="Calibri" w:cs="Calibri"/>
          <w:noProof/>
          <w:szCs w:val="24"/>
        </w:rPr>
        <w:tab/>
        <w:t xml:space="preserve">Sakai, M., Brockway, P. E., Barrett, J. R. &amp; Taylor, P. G. Thermodynamic Efficiency Gains and their Role as a Key ‘Engine of Economic Growth’. Supplementary Materials: The UK MAcroeconometric Resource COnsumption Model (MARCO-UK). </w:t>
      </w:r>
      <w:r w:rsidRPr="00E12155">
        <w:rPr>
          <w:rFonts w:ascii="Calibri" w:hAnsi="Calibri" w:cs="Calibri"/>
          <w:i/>
          <w:iCs/>
          <w:noProof/>
          <w:szCs w:val="24"/>
        </w:rPr>
        <w:t>Energies</w:t>
      </w:r>
      <w:r w:rsidRPr="00E12155">
        <w:rPr>
          <w:rFonts w:ascii="Calibri" w:hAnsi="Calibri" w:cs="Calibri"/>
          <w:noProof/>
          <w:szCs w:val="24"/>
        </w:rPr>
        <w:t xml:space="preserve"> </w:t>
      </w:r>
      <w:r w:rsidRPr="00E12155">
        <w:rPr>
          <w:rFonts w:ascii="Calibri" w:hAnsi="Calibri" w:cs="Calibri"/>
          <w:b/>
          <w:bCs/>
          <w:noProof/>
          <w:szCs w:val="24"/>
        </w:rPr>
        <w:t>12</w:t>
      </w:r>
      <w:r w:rsidRPr="00E12155">
        <w:rPr>
          <w:rFonts w:ascii="Calibri" w:hAnsi="Calibri" w:cs="Calibri"/>
          <w:noProof/>
          <w:szCs w:val="24"/>
        </w:rPr>
        <w:t>, (2019).</w:t>
      </w:r>
    </w:p>
    <w:p w14:paraId="67B79F51" w14:textId="77777777" w:rsidR="00E12155" w:rsidRPr="00E12155" w:rsidRDefault="00E12155" w:rsidP="00E12155">
      <w:pPr>
        <w:widowControl w:val="0"/>
        <w:autoSpaceDE w:val="0"/>
        <w:autoSpaceDN w:val="0"/>
        <w:adjustRightInd w:val="0"/>
        <w:spacing w:line="240" w:lineRule="auto"/>
        <w:ind w:left="640" w:hanging="640"/>
        <w:rPr>
          <w:rFonts w:ascii="Calibri" w:hAnsi="Calibri" w:cs="Calibri"/>
          <w:noProof/>
          <w:szCs w:val="24"/>
        </w:rPr>
      </w:pPr>
      <w:r w:rsidRPr="00E12155">
        <w:rPr>
          <w:rFonts w:ascii="Calibri" w:hAnsi="Calibri" w:cs="Calibri"/>
          <w:noProof/>
          <w:szCs w:val="24"/>
        </w:rPr>
        <w:t>26.</w:t>
      </w:r>
      <w:r w:rsidRPr="00E12155">
        <w:rPr>
          <w:rFonts w:ascii="Calibri" w:hAnsi="Calibri" w:cs="Calibri"/>
          <w:noProof/>
          <w:szCs w:val="24"/>
        </w:rPr>
        <w:tab/>
        <w:t xml:space="preserve">Cooper, S. J. G. </w:t>
      </w:r>
      <w:r w:rsidRPr="00E12155">
        <w:rPr>
          <w:rFonts w:ascii="Calibri" w:hAnsi="Calibri" w:cs="Calibri"/>
          <w:i/>
          <w:iCs/>
          <w:noProof/>
          <w:szCs w:val="24"/>
        </w:rPr>
        <w:t>et al.</w:t>
      </w:r>
      <w:r w:rsidRPr="00E12155">
        <w:rPr>
          <w:rFonts w:ascii="Calibri" w:hAnsi="Calibri" w:cs="Calibri"/>
          <w:noProof/>
          <w:szCs w:val="24"/>
        </w:rPr>
        <w:t xml:space="preserve"> Thermodynamic insights and assessment of the ‘circular economy’’’. </w:t>
      </w:r>
      <w:r w:rsidRPr="00E12155">
        <w:rPr>
          <w:rFonts w:ascii="Calibri" w:hAnsi="Calibri" w:cs="Calibri"/>
          <w:i/>
          <w:iCs/>
          <w:noProof/>
          <w:szCs w:val="24"/>
        </w:rPr>
        <w:t>J. Clean. Prod.</w:t>
      </w:r>
      <w:r w:rsidRPr="00E12155">
        <w:rPr>
          <w:rFonts w:ascii="Calibri" w:hAnsi="Calibri" w:cs="Calibri"/>
          <w:noProof/>
          <w:szCs w:val="24"/>
        </w:rPr>
        <w:t xml:space="preserve"> </w:t>
      </w:r>
      <w:r w:rsidRPr="00E12155">
        <w:rPr>
          <w:rFonts w:ascii="Calibri" w:hAnsi="Calibri" w:cs="Calibri"/>
          <w:b/>
          <w:bCs/>
          <w:noProof/>
          <w:szCs w:val="24"/>
        </w:rPr>
        <w:t>162</w:t>
      </w:r>
      <w:r w:rsidRPr="00E12155">
        <w:rPr>
          <w:rFonts w:ascii="Calibri" w:hAnsi="Calibri" w:cs="Calibri"/>
          <w:noProof/>
          <w:szCs w:val="24"/>
        </w:rPr>
        <w:t>, 1356–1367 (2017).</w:t>
      </w:r>
    </w:p>
    <w:p w14:paraId="0A67CA75" w14:textId="77777777" w:rsidR="00E12155" w:rsidRPr="00E12155" w:rsidRDefault="00E12155" w:rsidP="00E12155">
      <w:pPr>
        <w:widowControl w:val="0"/>
        <w:autoSpaceDE w:val="0"/>
        <w:autoSpaceDN w:val="0"/>
        <w:adjustRightInd w:val="0"/>
        <w:spacing w:line="240" w:lineRule="auto"/>
        <w:ind w:left="640" w:hanging="640"/>
        <w:rPr>
          <w:rFonts w:ascii="Calibri" w:hAnsi="Calibri" w:cs="Calibri"/>
          <w:noProof/>
          <w:szCs w:val="24"/>
        </w:rPr>
      </w:pPr>
      <w:r w:rsidRPr="00E12155">
        <w:rPr>
          <w:rFonts w:ascii="Calibri" w:hAnsi="Calibri" w:cs="Calibri"/>
          <w:noProof/>
          <w:szCs w:val="24"/>
        </w:rPr>
        <w:t>27.</w:t>
      </w:r>
      <w:r w:rsidRPr="00E12155">
        <w:rPr>
          <w:rFonts w:ascii="Calibri" w:hAnsi="Calibri" w:cs="Calibri"/>
          <w:noProof/>
          <w:szCs w:val="24"/>
        </w:rPr>
        <w:tab/>
        <w:t xml:space="preserve">Creutzig, F. </w:t>
      </w:r>
      <w:r w:rsidRPr="00E12155">
        <w:rPr>
          <w:rFonts w:ascii="Calibri" w:hAnsi="Calibri" w:cs="Calibri"/>
          <w:i/>
          <w:iCs/>
          <w:noProof/>
          <w:szCs w:val="24"/>
        </w:rPr>
        <w:t>et al.</w:t>
      </w:r>
      <w:r w:rsidRPr="00E12155">
        <w:rPr>
          <w:rFonts w:ascii="Calibri" w:hAnsi="Calibri" w:cs="Calibri"/>
          <w:noProof/>
          <w:szCs w:val="24"/>
        </w:rPr>
        <w:t xml:space="preserve"> Towards demand-side solutions for mitigating climate change. </w:t>
      </w:r>
      <w:r w:rsidRPr="00E12155">
        <w:rPr>
          <w:rFonts w:ascii="Calibri" w:hAnsi="Calibri" w:cs="Calibri"/>
          <w:i/>
          <w:iCs/>
          <w:noProof/>
          <w:szCs w:val="24"/>
        </w:rPr>
        <w:t>Nature Climate Change</w:t>
      </w:r>
      <w:r w:rsidRPr="00E12155">
        <w:rPr>
          <w:rFonts w:ascii="Calibri" w:hAnsi="Calibri" w:cs="Calibri"/>
          <w:noProof/>
          <w:szCs w:val="24"/>
        </w:rPr>
        <w:t xml:space="preserve"> vol. 8 268–271 (2018).</w:t>
      </w:r>
    </w:p>
    <w:p w14:paraId="4ACEB0C9" w14:textId="77777777" w:rsidR="00E12155" w:rsidRPr="00E12155" w:rsidRDefault="00E12155" w:rsidP="00E12155">
      <w:pPr>
        <w:widowControl w:val="0"/>
        <w:autoSpaceDE w:val="0"/>
        <w:autoSpaceDN w:val="0"/>
        <w:adjustRightInd w:val="0"/>
        <w:spacing w:line="240" w:lineRule="auto"/>
        <w:ind w:left="640" w:hanging="640"/>
        <w:rPr>
          <w:rFonts w:ascii="Calibri" w:hAnsi="Calibri" w:cs="Calibri"/>
          <w:noProof/>
          <w:szCs w:val="24"/>
        </w:rPr>
      </w:pPr>
      <w:r w:rsidRPr="00E12155">
        <w:rPr>
          <w:rFonts w:ascii="Calibri" w:hAnsi="Calibri" w:cs="Calibri"/>
          <w:noProof/>
          <w:szCs w:val="24"/>
        </w:rPr>
        <w:t>28.</w:t>
      </w:r>
      <w:r w:rsidRPr="00E12155">
        <w:rPr>
          <w:rFonts w:ascii="Calibri" w:hAnsi="Calibri" w:cs="Calibri"/>
          <w:noProof/>
          <w:szCs w:val="24"/>
        </w:rPr>
        <w:tab/>
        <w:t xml:space="preserve">Rhodes, A. Digitalisation of Energy: An Energy Futures Lab Briefling Paper. </w:t>
      </w:r>
      <w:r w:rsidRPr="00E12155">
        <w:rPr>
          <w:rFonts w:ascii="Calibri" w:hAnsi="Calibri" w:cs="Calibri"/>
          <w:i/>
          <w:iCs/>
          <w:noProof/>
          <w:szCs w:val="24"/>
        </w:rPr>
        <w:t>Imp. Coll. London</w:t>
      </w:r>
      <w:r w:rsidRPr="00E12155">
        <w:rPr>
          <w:rFonts w:ascii="Calibri" w:hAnsi="Calibri" w:cs="Calibri"/>
          <w:noProof/>
          <w:szCs w:val="24"/>
        </w:rPr>
        <w:t xml:space="preserve"> (2020).</w:t>
      </w:r>
    </w:p>
    <w:p w14:paraId="7660F764" w14:textId="77777777" w:rsidR="00E12155" w:rsidRPr="00E12155" w:rsidRDefault="00E12155" w:rsidP="00E12155">
      <w:pPr>
        <w:widowControl w:val="0"/>
        <w:autoSpaceDE w:val="0"/>
        <w:autoSpaceDN w:val="0"/>
        <w:adjustRightInd w:val="0"/>
        <w:spacing w:line="240" w:lineRule="auto"/>
        <w:ind w:left="640" w:hanging="640"/>
        <w:rPr>
          <w:rFonts w:ascii="Calibri" w:hAnsi="Calibri" w:cs="Calibri"/>
          <w:noProof/>
          <w:szCs w:val="24"/>
        </w:rPr>
      </w:pPr>
      <w:r w:rsidRPr="00E12155">
        <w:rPr>
          <w:rFonts w:ascii="Calibri" w:hAnsi="Calibri" w:cs="Calibri"/>
          <w:noProof/>
          <w:szCs w:val="24"/>
        </w:rPr>
        <w:t>29.</w:t>
      </w:r>
      <w:r w:rsidRPr="00E12155">
        <w:rPr>
          <w:rFonts w:ascii="Calibri" w:hAnsi="Calibri" w:cs="Calibri"/>
          <w:noProof/>
          <w:szCs w:val="24"/>
        </w:rPr>
        <w:tab/>
        <w:t xml:space="preserve">Court, V. &amp; Sorrell, S. Digitalisation of goods: A systematic review of the determinants and magnitude of the impacts on energy consumption. </w:t>
      </w:r>
      <w:r w:rsidRPr="00E12155">
        <w:rPr>
          <w:rFonts w:ascii="Calibri" w:hAnsi="Calibri" w:cs="Calibri"/>
          <w:i/>
          <w:iCs/>
          <w:noProof/>
          <w:szCs w:val="24"/>
        </w:rPr>
        <w:t>Environ. Res. Lett.</w:t>
      </w:r>
      <w:r w:rsidRPr="00E12155">
        <w:rPr>
          <w:rFonts w:ascii="Calibri" w:hAnsi="Calibri" w:cs="Calibri"/>
          <w:noProof/>
          <w:szCs w:val="24"/>
        </w:rPr>
        <w:t xml:space="preserve"> </w:t>
      </w:r>
      <w:r w:rsidRPr="00E12155">
        <w:rPr>
          <w:rFonts w:ascii="Calibri" w:hAnsi="Calibri" w:cs="Calibri"/>
          <w:b/>
          <w:bCs/>
          <w:noProof/>
          <w:szCs w:val="24"/>
        </w:rPr>
        <w:t>15</w:t>
      </w:r>
      <w:r w:rsidRPr="00E12155">
        <w:rPr>
          <w:rFonts w:ascii="Calibri" w:hAnsi="Calibri" w:cs="Calibri"/>
          <w:noProof/>
          <w:szCs w:val="24"/>
        </w:rPr>
        <w:t>, 043001 (2020).</w:t>
      </w:r>
    </w:p>
    <w:p w14:paraId="00FFB882" w14:textId="77777777" w:rsidR="00E12155" w:rsidRPr="00E12155" w:rsidRDefault="00E12155" w:rsidP="00E12155">
      <w:pPr>
        <w:widowControl w:val="0"/>
        <w:autoSpaceDE w:val="0"/>
        <w:autoSpaceDN w:val="0"/>
        <w:adjustRightInd w:val="0"/>
        <w:spacing w:line="240" w:lineRule="auto"/>
        <w:ind w:left="640" w:hanging="640"/>
        <w:rPr>
          <w:rFonts w:ascii="Calibri" w:hAnsi="Calibri" w:cs="Calibri"/>
          <w:noProof/>
          <w:szCs w:val="24"/>
        </w:rPr>
      </w:pPr>
      <w:r w:rsidRPr="00E12155">
        <w:rPr>
          <w:rFonts w:ascii="Calibri" w:hAnsi="Calibri" w:cs="Calibri"/>
          <w:noProof/>
          <w:szCs w:val="24"/>
        </w:rPr>
        <w:t>30.</w:t>
      </w:r>
      <w:r w:rsidRPr="00E12155">
        <w:rPr>
          <w:rFonts w:ascii="Calibri" w:hAnsi="Calibri" w:cs="Calibri"/>
          <w:noProof/>
          <w:szCs w:val="24"/>
        </w:rPr>
        <w:tab/>
        <w:t xml:space="preserve">Lange, S., Pohl, J. &amp; Santarius, T. Digitalization and energy consumption. Does ICT reduce energy demand? </w:t>
      </w:r>
      <w:r w:rsidRPr="00E12155">
        <w:rPr>
          <w:rFonts w:ascii="Calibri" w:hAnsi="Calibri" w:cs="Calibri"/>
          <w:i/>
          <w:iCs/>
          <w:noProof/>
          <w:szCs w:val="24"/>
        </w:rPr>
        <w:t>Ecol. Econ.</w:t>
      </w:r>
      <w:r w:rsidRPr="00E12155">
        <w:rPr>
          <w:rFonts w:ascii="Calibri" w:hAnsi="Calibri" w:cs="Calibri"/>
          <w:noProof/>
          <w:szCs w:val="24"/>
        </w:rPr>
        <w:t xml:space="preserve"> </w:t>
      </w:r>
      <w:r w:rsidRPr="00E12155">
        <w:rPr>
          <w:rFonts w:ascii="Calibri" w:hAnsi="Calibri" w:cs="Calibri"/>
          <w:b/>
          <w:bCs/>
          <w:noProof/>
          <w:szCs w:val="24"/>
        </w:rPr>
        <w:t>176</w:t>
      </w:r>
      <w:r w:rsidRPr="00E12155">
        <w:rPr>
          <w:rFonts w:ascii="Calibri" w:hAnsi="Calibri" w:cs="Calibri"/>
          <w:noProof/>
          <w:szCs w:val="24"/>
        </w:rPr>
        <w:t>, 106760 (2020).</w:t>
      </w:r>
    </w:p>
    <w:p w14:paraId="6D560C65" w14:textId="77777777" w:rsidR="00E12155" w:rsidRPr="00E12155" w:rsidRDefault="00E12155" w:rsidP="00E12155">
      <w:pPr>
        <w:widowControl w:val="0"/>
        <w:autoSpaceDE w:val="0"/>
        <w:autoSpaceDN w:val="0"/>
        <w:adjustRightInd w:val="0"/>
        <w:spacing w:line="240" w:lineRule="auto"/>
        <w:ind w:left="640" w:hanging="640"/>
        <w:rPr>
          <w:rFonts w:ascii="Calibri" w:hAnsi="Calibri" w:cs="Calibri"/>
          <w:noProof/>
          <w:szCs w:val="24"/>
        </w:rPr>
      </w:pPr>
      <w:r w:rsidRPr="00E12155">
        <w:rPr>
          <w:rFonts w:ascii="Calibri" w:hAnsi="Calibri" w:cs="Calibri"/>
          <w:noProof/>
          <w:szCs w:val="24"/>
        </w:rPr>
        <w:t>31.</w:t>
      </w:r>
      <w:r w:rsidRPr="00E12155">
        <w:rPr>
          <w:rFonts w:ascii="Calibri" w:hAnsi="Calibri" w:cs="Calibri"/>
          <w:noProof/>
          <w:szCs w:val="24"/>
        </w:rPr>
        <w:tab/>
        <w:t xml:space="preserve">Noussan, M. &amp; Tagliapietra, S. The effect of digitalization in the energy consumption of passenger transport: An analysis of future scenarios for Europe. </w:t>
      </w:r>
      <w:r w:rsidRPr="00E12155">
        <w:rPr>
          <w:rFonts w:ascii="Calibri" w:hAnsi="Calibri" w:cs="Calibri"/>
          <w:i/>
          <w:iCs/>
          <w:noProof/>
          <w:szCs w:val="24"/>
        </w:rPr>
        <w:t>J. Clean. Prod.</w:t>
      </w:r>
      <w:r w:rsidRPr="00E12155">
        <w:rPr>
          <w:rFonts w:ascii="Calibri" w:hAnsi="Calibri" w:cs="Calibri"/>
          <w:noProof/>
          <w:szCs w:val="24"/>
        </w:rPr>
        <w:t xml:space="preserve"> </w:t>
      </w:r>
      <w:r w:rsidRPr="00E12155">
        <w:rPr>
          <w:rFonts w:ascii="Calibri" w:hAnsi="Calibri" w:cs="Calibri"/>
          <w:b/>
          <w:bCs/>
          <w:noProof/>
          <w:szCs w:val="24"/>
        </w:rPr>
        <w:t>258</w:t>
      </w:r>
      <w:r w:rsidRPr="00E12155">
        <w:rPr>
          <w:rFonts w:ascii="Calibri" w:hAnsi="Calibri" w:cs="Calibri"/>
          <w:noProof/>
          <w:szCs w:val="24"/>
        </w:rPr>
        <w:t>, 120926 (2020).</w:t>
      </w:r>
    </w:p>
    <w:p w14:paraId="19266F3D" w14:textId="77777777" w:rsidR="00E12155" w:rsidRPr="00E12155" w:rsidRDefault="00E12155" w:rsidP="00E12155">
      <w:pPr>
        <w:widowControl w:val="0"/>
        <w:autoSpaceDE w:val="0"/>
        <w:autoSpaceDN w:val="0"/>
        <w:adjustRightInd w:val="0"/>
        <w:spacing w:line="240" w:lineRule="auto"/>
        <w:ind w:left="640" w:hanging="640"/>
        <w:rPr>
          <w:rFonts w:ascii="Calibri" w:hAnsi="Calibri" w:cs="Calibri"/>
          <w:noProof/>
          <w:szCs w:val="24"/>
        </w:rPr>
      </w:pPr>
      <w:r w:rsidRPr="00E12155">
        <w:rPr>
          <w:rFonts w:ascii="Calibri" w:hAnsi="Calibri" w:cs="Calibri"/>
          <w:noProof/>
          <w:szCs w:val="24"/>
        </w:rPr>
        <w:t>32.</w:t>
      </w:r>
      <w:r w:rsidRPr="00E12155">
        <w:rPr>
          <w:rFonts w:ascii="Calibri" w:hAnsi="Calibri" w:cs="Calibri"/>
          <w:noProof/>
          <w:szCs w:val="24"/>
        </w:rPr>
        <w:tab/>
        <w:t xml:space="preserve">Marsden, G., Anable, J., Bray, J., Seagriff, E. &amp; Spurling, N. </w:t>
      </w:r>
      <w:r w:rsidRPr="00E12155">
        <w:rPr>
          <w:rFonts w:ascii="Calibri" w:hAnsi="Calibri" w:cs="Calibri"/>
          <w:i/>
          <w:iCs/>
          <w:noProof/>
          <w:szCs w:val="24"/>
        </w:rPr>
        <w:t>Shared mobility-where now, where next? Second report of the Commission on Travel Demand About the Commission on Travel Demand Shared Mobility Inquiry</w:t>
      </w:r>
      <w:r w:rsidRPr="00E12155">
        <w:rPr>
          <w:rFonts w:ascii="Calibri" w:hAnsi="Calibri" w:cs="Calibri"/>
          <w:noProof/>
          <w:szCs w:val="24"/>
        </w:rPr>
        <w:t>. https://www.creds.ac.uk/wp-content/uploads/CREDS-Shared-mobility-comm-report-WEB.pdf (2019).</w:t>
      </w:r>
    </w:p>
    <w:p w14:paraId="72862F6E" w14:textId="77777777" w:rsidR="00E12155" w:rsidRPr="00E12155" w:rsidRDefault="00E12155" w:rsidP="00E12155">
      <w:pPr>
        <w:widowControl w:val="0"/>
        <w:autoSpaceDE w:val="0"/>
        <w:autoSpaceDN w:val="0"/>
        <w:adjustRightInd w:val="0"/>
        <w:spacing w:line="240" w:lineRule="auto"/>
        <w:ind w:left="640" w:hanging="640"/>
        <w:rPr>
          <w:rFonts w:ascii="Calibri" w:hAnsi="Calibri" w:cs="Calibri"/>
          <w:noProof/>
          <w:szCs w:val="24"/>
        </w:rPr>
      </w:pPr>
      <w:r w:rsidRPr="00E12155">
        <w:rPr>
          <w:rFonts w:ascii="Calibri" w:hAnsi="Calibri" w:cs="Calibri"/>
          <w:noProof/>
          <w:szCs w:val="24"/>
        </w:rPr>
        <w:t>33.</w:t>
      </w:r>
      <w:r w:rsidRPr="00E12155">
        <w:rPr>
          <w:rFonts w:ascii="Calibri" w:hAnsi="Calibri" w:cs="Calibri"/>
          <w:noProof/>
          <w:szCs w:val="24"/>
        </w:rPr>
        <w:tab/>
        <w:t xml:space="preserve">Carplus. </w:t>
      </w:r>
      <w:r w:rsidRPr="00E12155">
        <w:rPr>
          <w:rFonts w:ascii="Calibri" w:hAnsi="Calibri" w:cs="Calibri"/>
          <w:i/>
          <w:iCs/>
          <w:noProof/>
          <w:szCs w:val="24"/>
        </w:rPr>
        <w:t>Carplus Annual Survey of Car Clubs 2016/17</w:t>
      </w:r>
      <w:r w:rsidRPr="00E12155">
        <w:rPr>
          <w:rFonts w:ascii="Calibri" w:hAnsi="Calibri" w:cs="Calibri"/>
          <w:noProof/>
          <w:szCs w:val="24"/>
        </w:rPr>
        <w:t>. https://como.org.uk/wp-content/uploads/2018/06/Carplus-Annual-Survey-of-Car-Clubs-2016-17-London.pdf (2016).</w:t>
      </w:r>
    </w:p>
    <w:p w14:paraId="20D6789D" w14:textId="77777777" w:rsidR="00E12155" w:rsidRPr="00E12155" w:rsidRDefault="00E12155" w:rsidP="00E12155">
      <w:pPr>
        <w:widowControl w:val="0"/>
        <w:autoSpaceDE w:val="0"/>
        <w:autoSpaceDN w:val="0"/>
        <w:adjustRightInd w:val="0"/>
        <w:spacing w:line="240" w:lineRule="auto"/>
        <w:ind w:left="640" w:hanging="640"/>
        <w:rPr>
          <w:rFonts w:ascii="Calibri" w:hAnsi="Calibri" w:cs="Calibri"/>
          <w:noProof/>
          <w:szCs w:val="24"/>
        </w:rPr>
      </w:pPr>
      <w:r w:rsidRPr="00E12155">
        <w:rPr>
          <w:rFonts w:ascii="Calibri" w:hAnsi="Calibri" w:cs="Calibri"/>
          <w:noProof/>
          <w:szCs w:val="24"/>
        </w:rPr>
        <w:t>34.</w:t>
      </w:r>
      <w:r w:rsidRPr="00E12155">
        <w:rPr>
          <w:rFonts w:ascii="Calibri" w:hAnsi="Calibri" w:cs="Calibri"/>
          <w:noProof/>
          <w:szCs w:val="24"/>
        </w:rPr>
        <w:tab/>
        <w:t xml:space="preserve">Hahladakis, J. N., Iacovidou, E. &amp; Gerassimidou, S. Plastic waste in a circular economy. in </w:t>
      </w:r>
      <w:r w:rsidRPr="00E12155">
        <w:rPr>
          <w:rFonts w:ascii="Calibri" w:hAnsi="Calibri" w:cs="Calibri"/>
          <w:i/>
          <w:iCs/>
          <w:noProof/>
          <w:szCs w:val="24"/>
        </w:rPr>
        <w:lastRenderedPageBreak/>
        <w:t>Plastic Waste and Recycling</w:t>
      </w:r>
      <w:r w:rsidRPr="00E12155">
        <w:rPr>
          <w:rFonts w:ascii="Calibri" w:hAnsi="Calibri" w:cs="Calibri"/>
          <w:noProof/>
          <w:szCs w:val="24"/>
        </w:rPr>
        <w:t xml:space="preserve"> 481–512 (Elsevier, 2020). doi:10.1016/b978-0-12-817880-5.00019-0.</w:t>
      </w:r>
    </w:p>
    <w:p w14:paraId="5EDDD701" w14:textId="77777777" w:rsidR="00E12155" w:rsidRPr="00E12155" w:rsidRDefault="00E12155" w:rsidP="00E12155">
      <w:pPr>
        <w:widowControl w:val="0"/>
        <w:autoSpaceDE w:val="0"/>
        <w:autoSpaceDN w:val="0"/>
        <w:adjustRightInd w:val="0"/>
        <w:spacing w:line="240" w:lineRule="auto"/>
        <w:ind w:left="640" w:hanging="640"/>
        <w:rPr>
          <w:rFonts w:ascii="Calibri" w:hAnsi="Calibri" w:cs="Calibri"/>
          <w:noProof/>
          <w:szCs w:val="24"/>
        </w:rPr>
      </w:pPr>
      <w:r w:rsidRPr="00E12155">
        <w:rPr>
          <w:rFonts w:ascii="Calibri" w:hAnsi="Calibri" w:cs="Calibri"/>
          <w:noProof/>
          <w:szCs w:val="24"/>
        </w:rPr>
        <w:t>35.</w:t>
      </w:r>
      <w:r w:rsidRPr="00E12155">
        <w:rPr>
          <w:rFonts w:ascii="Calibri" w:hAnsi="Calibri" w:cs="Calibri"/>
          <w:noProof/>
          <w:szCs w:val="24"/>
        </w:rPr>
        <w:tab/>
        <w:t xml:space="preserve">Scott, K., Giesekam, J., Barrett, J. &amp; Owen, A. Bridging the climate mitigation gap with economy-wide material productivity. </w:t>
      </w:r>
      <w:r w:rsidRPr="00E12155">
        <w:rPr>
          <w:rFonts w:ascii="Calibri" w:hAnsi="Calibri" w:cs="Calibri"/>
          <w:i/>
          <w:iCs/>
          <w:noProof/>
          <w:szCs w:val="24"/>
        </w:rPr>
        <w:t>J. Ind. Ecol.</w:t>
      </w:r>
      <w:r w:rsidRPr="00E12155">
        <w:rPr>
          <w:rFonts w:ascii="Calibri" w:hAnsi="Calibri" w:cs="Calibri"/>
          <w:noProof/>
          <w:szCs w:val="24"/>
        </w:rPr>
        <w:t xml:space="preserve"> </w:t>
      </w:r>
      <w:r w:rsidRPr="00E12155">
        <w:rPr>
          <w:rFonts w:ascii="Calibri" w:hAnsi="Calibri" w:cs="Calibri"/>
          <w:b/>
          <w:bCs/>
          <w:noProof/>
          <w:szCs w:val="24"/>
        </w:rPr>
        <w:t>23</w:t>
      </w:r>
      <w:r w:rsidRPr="00E12155">
        <w:rPr>
          <w:rFonts w:ascii="Calibri" w:hAnsi="Calibri" w:cs="Calibri"/>
          <w:noProof/>
          <w:szCs w:val="24"/>
        </w:rPr>
        <w:t>, 918–931 (2019).</w:t>
      </w:r>
    </w:p>
    <w:p w14:paraId="7F8E3580" w14:textId="77777777" w:rsidR="00E12155" w:rsidRPr="00E12155" w:rsidRDefault="00E12155" w:rsidP="00E12155">
      <w:pPr>
        <w:widowControl w:val="0"/>
        <w:autoSpaceDE w:val="0"/>
        <w:autoSpaceDN w:val="0"/>
        <w:adjustRightInd w:val="0"/>
        <w:spacing w:line="240" w:lineRule="auto"/>
        <w:ind w:left="640" w:hanging="640"/>
        <w:rPr>
          <w:rFonts w:ascii="Calibri" w:hAnsi="Calibri" w:cs="Calibri"/>
          <w:noProof/>
          <w:szCs w:val="24"/>
        </w:rPr>
      </w:pPr>
      <w:r w:rsidRPr="00E12155">
        <w:rPr>
          <w:rFonts w:ascii="Calibri" w:hAnsi="Calibri" w:cs="Calibri"/>
          <w:noProof/>
          <w:szCs w:val="24"/>
        </w:rPr>
        <w:t>36.</w:t>
      </w:r>
      <w:r w:rsidRPr="00E12155">
        <w:rPr>
          <w:rFonts w:ascii="Calibri" w:hAnsi="Calibri" w:cs="Calibri"/>
          <w:noProof/>
          <w:szCs w:val="24"/>
        </w:rPr>
        <w:tab/>
        <w:t xml:space="preserve">DEFRA. </w:t>
      </w:r>
      <w:r w:rsidRPr="00E12155">
        <w:rPr>
          <w:rFonts w:ascii="Calibri" w:hAnsi="Calibri" w:cs="Calibri"/>
          <w:i/>
          <w:iCs/>
          <w:noProof/>
          <w:szCs w:val="24"/>
        </w:rPr>
        <w:t>Prevention is better than cure The role of waste prevention in moving to a more resource efficient economy</w:t>
      </w:r>
      <w:r w:rsidRPr="00E12155">
        <w:rPr>
          <w:rFonts w:ascii="Calibri" w:hAnsi="Calibri" w:cs="Calibri"/>
          <w:noProof/>
          <w:szCs w:val="24"/>
        </w:rPr>
        <w:t>. www.nationalarchives.gov.uk/doc/open-government- (2013).</w:t>
      </w:r>
    </w:p>
    <w:p w14:paraId="0DA75E2C" w14:textId="77777777" w:rsidR="00E12155" w:rsidRPr="00E12155" w:rsidRDefault="00E12155" w:rsidP="00E12155">
      <w:pPr>
        <w:widowControl w:val="0"/>
        <w:autoSpaceDE w:val="0"/>
        <w:autoSpaceDN w:val="0"/>
        <w:adjustRightInd w:val="0"/>
        <w:spacing w:line="240" w:lineRule="auto"/>
        <w:ind w:left="640" w:hanging="640"/>
        <w:rPr>
          <w:rFonts w:ascii="Calibri" w:hAnsi="Calibri" w:cs="Calibri"/>
          <w:noProof/>
          <w:szCs w:val="24"/>
        </w:rPr>
      </w:pPr>
      <w:r w:rsidRPr="00E12155">
        <w:rPr>
          <w:rFonts w:ascii="Calibri" w:hAnsi="Calibri" w:cs="Calibri"/>
          <w:noProof/>
          <w:szCs w:val="24"/>
        </w:rPr>
        <w:t>37.</w:t>
      </w:r>
      <w:r w:rsidRPr="00E12155">
        <w:rPr>
          <w:rFonts w:ascii="Calibri" w:hAnsi="Calibri" w:cs="Calibri"/>
          <w:noProof/>
          <w:szCs w:val="24"/>
        </w:rPr>
        <w:tab/>
        <w:t xml:space="preserve">European Commission. Closing the Loop - an EU action plan for the circular economy. </w:t>
      </w:r>
      <w:r w:rsidRPr="00E12155">
        <w:rPr>
          <w:rFonts w:ascii="Calibri" w:hAnsi="Calibri" w:cs="Calibri"/>
          <w:i/>
          <w:iCs/>
          <w:noProof/>
          <w:szCs w:val="24"/>
        </w:rPr>
        <w:t>Communication to the European Parliament</w:t>
      </w:r>
      <w:r w:rsidRPr="00E12155">
        <w:rPr>
          <w:rFonts w:ascii="Calibri" w:hAnsi="Calibri" w:cs="Calibri"/>
          <w:noProof/>
          <w:szCs w:val="24"/>
        </w:rPr>
        <w:t xml:space="preserve"> (2015).</w:t>
      </w:r>
    </w:p>
    <w:p w14:paraId="68D47C66" w14:textId="77777777" w:rsidR="00E12155" w:rsidRPr="00E12155" w:rsidRDefault="00E12155" w:rsidP="00E12155">
      <w:pPr>
        <w:widowControl w:val="0"/>
        <w:autoSpaceDE w:val="0"/>
        <w:autoSpaceDN w:val="0"/>
        <w:adjustRightInd w:val="0"/>
        <w:spacing w:line="240" w:lineRule="auto"/>
        <w:ind w:left="640" w:hanging="640"/>
        <w:rPr>
          <w:rFonts w:ascii="Calibri" w:hAnsi="Calibri" w:cs="Calibri"/>
          <w:noProof/>
          <w:szCs w:val="24"/>
        </w:rPr>
      </w:pPr>
      <w:r w:rsidRPr="00E12155">
        <w:rPr>
          <w:rFonts w:ascii="Calibri" w:hAnsi="Calibri" w:cs="Calibri"/>
          <w:noProof/>
          <w:szCs w:val="24"/>
        </w:rPr>
        <w:t>38.</w:t>
      </w:r>
      <w:r w:rsidRPr="00E12155">
        <w:rPr>
          <w:rFonts w:ascii="Calibri" w:hAnsi="Calibri" w:cs="Calibri"/>
          <w:noProof/>
          <w:szCs w:val="24"/>
        </w:rPr>
        <w:tab/>
        <w:t xml:space="preserve">Cooper, S. J. G. </w:t>
      </w:r>
      <w:r w:rsidRPr="00E12155">
        <w:rPr>
          <w:rFonts w:ascii="Calibri" w:hAnsi="Calibri" w:cs="Calibri"/>
          <w:i/>
          <w:iCs/>
          <w:noProof/>
          <w:szCs w:val="24"/>
        </w:rPr>
        <w:t>et al.</w:t>
      </w:r>
      <w:r w:rsidRPr="00E12155">
        <w:rPr>
          <w:rFonts w:ascii="Calibri" w:hAnsi="Calibri" w:cs="Calibri"/>
          <w:noProof/>
          <w:szCs w:val="24"/>
        </w:rPr>
        <w:t xml:space="preserve"> Thermodynamic insights and assessment of the ‘circular economy’. </w:t>
      </w:r>
      <w:r w:rsidRPr="00E12155">
        <w:rPr>
          <w:rFonts w:ascii="Calibri" w:hAnsi="Calibri" w:cs="Calibri"/>
          <w:i/>
          <w:iCs/>
          <w:noProof/>
          <w:szCs w:val="24"/>
        </w:rPr>
        <w:t>J. Clean. Prod.</w:t>
      </w:r>
      <w:r w:rsidRPr="00E12155">
        <w:rPr>
          <w:rFonts w:ascii="Calibri" w:hAnsi="Calibri" w:cs="Calibri"/>
          <w:noProof/>
          <w:szCs w:val="24"/>
        </w:rPr>
        <w:t xml:space="preserve"> </w:t>
      </w:r>
      <w:r w:rsidRPr="00E12155">
        <w:rPr>
          <w:rFonts w:ascii="Calibri" w:hAnsi="Calibri" w:cs="Calibri"/>
          <w:b/>
          <w:bCs/>
          <w:noProof/>
          <w:szCs w:val="24"/>
        </w:rPr>
        <w:t>162</w:t>
      </w:r>
      <w:r w:rsidRPr="00E12155">
        <w:rPr>
          <w:rFonts w:ascii="Calibri" w:hAnsi="Calibri" w:cs="Calibri"/>
          <w:noProof/>
          <w:szCs w:val="24"/>
        </w:rPr>
        <w:t>, 1356–1367 (2017).</w:t>
      </w:r>
    </w:p>
    <w:p w14:paraId="3AB53AA8" w14:textId="77777777" w:rsidR="00E12155" w:rsidRPr="00E12155" w:rsidRDefault="00E12155" w:rsidP="00E12155">
      <w:pPr>
        <w:widowControl w:val="0"/>
        <w:autoSpaceDE w:val="0"/>
        <w:autoSpaceDN w:val="0"/>
        <w:adjustRightInd w:val="0"/>
        <w:spacing w:line="240" w:lineRule="auto"/>
        <w:ind w:left="640" w:hanging="640"/>
        <w:rPr>
          <w:rFonts w:ascii="Calibri" w:hAnsi="Calibri" w:cs="Calibri"/>
          <w:noProof/>
          <w:szCs w:val="24"/>
        </w:rPr>
      </w:pPr>
      <w:r w:rsidRPr="00E12155">
        <w:rPr>
          <w:rFonts w:ascii="Calibri" w:hAnsi="Calibri" w:cs="Calibri"/>
          <w:noProof/>
          <w:szCs w:val="24"/>
        </w:rPr>
        <w:t>39.</w:t>
      </w:r>
      <w:r w:rsidRPr="00E12155">
        <w:rPr>
          <w:rFonts w:ascii="Calibri" w:hAnsi="Calibri" w:cs="Calibri"/>
          <w:noProof/>
          <w:szCs w:val="24"/>
        </w:rPr>
        <w:tab/>
        <w:t xml:space="preserve">Cullen, J. M., Allwood, J. M. &amp; Borgstein, E. H. Reducing energy demand: What are the practical limits? </w:t>
      </w:r>
      <w:r w:rsidRPr="00E12155">
        <w:rPr>
          <w:rFonts w:ascii="Calibri" w:hAnsi="Calibri" w:cs="Calibri"/>
          <w:i/>
          <w:iCs/>
          <w:noProof/>
          <w:szCs w:val="24"/>
        </w:rPr>
        <w:t>Environ. Sci. Technol.</w:t>
      </w:r>
      <w:r w:rsidRPr="00E12155">
        <w:rPr>
          <w:rFonts w:ascii="Calibri" w:hAnsi="Calibri" w:cs="Calibri"/>
          <w:noProof/>
          <w:szCs w:val="24"/>
        </w:rPr>
        <w:t xml:space="preserve"> </w:t>
      </w:r>
      <w:r w:rsidRPr="00E12155">
        <w:rPr>
          <w:rFonts w:ascii="Calibri" w:hAnsi="Calibri" w:cs="Calibri"/>
          <w:b/>
          <w:bCs/>
          <w:noProof/>
          <w:szCs w:val="24"/>
        </w:rPr>
        <w:t>45</w:t>
      </w:r>
      <w:r w:rsidRPr="00E12155">
        <w:rPr>
          <w:rFonts w:ascii="Calibri" w:hAnsi="Calibri" w:cs="Calibri"/>
          <w:noProof/>
          <w:szCs w:val="24"/>
        </w:rPr>
        <w:t>, 1711–1718 (2011).</w:t>
      </w:r>
    </w:p>
    <w:p w14:paraId="5598248F" w14:textId="77777777" w:rsidR="00E12155" w:rsidRPr="00E12155" w:rsidRDefault="00E12155" w:rsidP="00E12155">
      <w:pPr>
        <w:widowControl w:val="0"/>
        <w:autoSpaceDE w:val="0"/>
        <w:autoSpaceDN w:val="0"/>
        <w:adjustRightInd w:val="0"/>
        <w:spacing w:line="240" w:lineRule="auto"/>
        <w:ind w:left="640" w:hanging="640"/>
        <w:rPr>
          <w:rFonts w:ascii="Calibri" w:hAnsi="Calibri" w:cs="Calibri"/>
          <w:noProof/>
          <w:szCs w:val="24"/>
        </w:rPr>
      </w:pPr>
      <w:r w:rsidRPr="00E12155">
        <w:rPr>
          <w:rFonts w:ascii="Calibri" w:hAnsi="Calibri" w:cs="Calibri"/>
          <w:noProof/>
          <w:szCs w:val="24"/>
        </w:rPr>
        <w:t>40.</w:t>
      </w:r>
      <w:r w:rsidRPr="00E12155">
        <w:rPr>
          <w:rFonts w:ascii="Calibri" w:hAnsi="Calibri" w:cs="Calibri"/>
          <w:noProof/>
          <w:szCs w:val="24"/>
        </w:rPr>
        <w:tab/>
        <w:t xml:space="preserve">TWI2050. </w:t>
      </w:r>
      <w:r w:rsidRPr="00E12155">
        <w:rPr>
          <w:rFonts w:ascii="Calibri" w:hAnsi="Calibri" w:cs="Calibri"/>
          <w:i/>
          <w:iCs/>
          <w:noProof/>
          <w:szCs w:val="24"/>
        </w:rPr>
        <w:t>Transformations to Achieve the Sustainable Development Goals - Report prepared by The World in 2050 initiative</w:t>
      </w:r>
      <w:r w:rsidRPr="00E12155">
        <w:rPr>
          <w:rFonts w:ascii="Calibri" w:hAnsi="Calibri" w:cs="Calibri"/>
          <w:noProof/>
          <w:szCs w:val="24"/>
        </w:rPr>
        <w:t xml:space="preserve">. </w:t>
      </w:r>
      <w:r w:rsidRPr="00E12155">
        <w:rPr>
          <w:rFonts w:ascii="Calibri" w:hAnsi="Calibri" w:cs="Calibri"/>
          <w:i/>
          <w:iCs/>
          <w:noProof/>
          <w:szCs w:val="24"/>
        </w:rPr>
        <w:t>International Institute for Applied Systems Analysis</w:t>
      </w:r>
      <w:r w:rsidRPr="00E12155">
        <w:rPr>
          <w:rFonts w:ascii="Calibri" w:hAnsi="Calibri" w:cs="Calibri"/>
          <w:noProof/>
          <w:szCs w:val="24"/>
        </w:rPr>
        <w:t xml:space="preserve"> http://pure.iiasa.ac.at/15347 (2018) doi:10.22022/TNT/07-2018.15347.</w:t>
      </w:r>
    </w:p>
    <w:p w14:paraId="48BF6082" w14:textId="77777777" w:rsidR="00E12155" w:rsidRPr="00E12155" w:rsidRDefault="00E12155" w:rsidP="00E12155">
      <w:pPr>
        <w:widowControl w:val="0"/>
        <w:autoSpaceDE w:val="0"/>
        <w:autoSpaceDN w:val="0"/>
        <w:adjustRightInd w:val="0"/>
        <w:spacing w:line="240" w:lineRule="auto"/>
        <w:ind w:left="640" w:hanging="640"/>
        <w:rPr>
          <w:rFonts w:ascii="Calibri" w:hAnsi="Calibri" w:cs="Calibri"/>
          <w:noProof/>
          <w:szCs w:val="24"/>
        </w:rPr>
      </w:pPr>
      <w:r w:rsidRPr="00E12155">
        <w:rPr>
          <w:rFonts w:ascii="Calibri" w:hAnsi="Calibri" w:cs="Calibri"/>
          <w:noProof/>
          <w:szCs w:val="24"/>
        </w:rPr>
        <w:t>41.</w:t>
      </w:r>
      <w:r w:rsidRPr="00E12155">
        <w:rPr>
          <w:rFonts w:ascii="Calibri" w:hAnsi="Calibri" w:cs="Calibri"/>
          <w:noProof/>
          <w:szCs w:val="24"/>
        </w:rPr>
        <w:tab/>
        <w:t xml:space="preserve">National Academy of Sciences, National Academy of Engineering &amp; National Research Council. </w:t>
      </w:r>
      <w:r w:rsidRPr="00E12155">
        <w:rPr>
          <w:rFonts w:ascii="Calibri" w:hAnsi="Calibri" w:cs="Calibri"/>
          <w:i/>
          <w:iCs/>
          <w:noProof/>
          <w:szCs w:val="24"/>
        </w:rPr>
        <w:t>Real Prospects for Energy Efficiency in the United States</w:t>
      </w:r>
      <w:r w:rsidRPr="00E12155">
        <w:rPr>
          <w:rFonts w:ascii="Calibri" w:hAnsi="Calibri" w:cs="Calibri"/>
          <w:noProof/>
          <w:szCs w:val="24"/>
        </w:rPr>
        <w:t xml:space="preserve">. </w:t>
      </w:r>
      <w:r w:rsidRPr="00E12155">
        <w:rPr>
          <w:rFonts w:ascii="Calibri" w:hAnsi="Calibri" w:cs="Calibri"/>
          <w:i/>
          <w:iCs/>
          <w:noProof/>
          <w:szCs w:val="24"/>
        </w:rPr>
        <w:t>Real Prospects for Energy Efficiency in the United States</w:t>
      </w:r>
      <w:r w:rsidRPr="00E12155">
        <w:rPr>
          <w:rFonts w:ascii="Calibri" w:hAnsi="Calibri" w:cs="Calibri"/>
          <w:noProof/>
          <w:szCs w:val="24"/>
        </w:rPr>
        <w:t xml:space="preserve"> https://doi.org/10.17226/12621 (2010) doi:10.17226/12621.</w:t>
      </w:r>
    </w:p>
    <w:p w14:paraId="70E63DE8" w14:textId="77777777" w:rsidR="00E12155" w:rsidRPr="00E12155" w:rsidRDefault="00E12155" w:rsidP="00E12155">
      <w:pPr>
        <w:widowControl w:val="0"/>
        <w:autoSpaceDE w:val="0"/>
        <w:autoSpaceDN w:val="0"/>
        <w:adjustRightInd w:val="0"/>
        <w:spacing w:line="240" w:lineRule="auto"/>
        <w:ind w:left="640" w:hanging="640"/>
        <w:rPr>
          <w:rFonts w:ascii="Calibri" w:hAnsi="Calibri" w:cs="Calibri"/>
          <w:noProof/>
          <w:szCs w:val="24"/>
        </w:rPr>
      </w:pPr>
      <w:r w:rsidRPr="00E12155">
        <w:rPr>
          <w:rFonts w:ascii="Calibri" w:hAnsi="Calibri" w:cs="Calibri"/>
          <w:noProof/>
          <w:szCs w:val="24"/>
        </w:rPr>
        <w:t>42.</w:t>
      </w:r>
      <w:r w:rsidRPr="00E12155">
        <w:rPr>
          <w:rFonts w:ascii="Calibri" w:hAnsi="Calibri" w:cs="Calibri"/>
          <w:noProof/>
          <w:szCs w:val="24"/>
        </w:rPr>
        <w:tab/>
        <w:t xml:space="preserve">Eyre, N. &amp; Fawcett, T. </w:t>
      </w:r>
      <w:r w:rsidRPr="00E12155">
        <w:rPr>
          <w:rFonts w:ascii="Calibri" w:hAnsi="Calibri" w:cs="Calibri"/>
          <w:i/>
          <w:iCs/>
          <w:noProof/>
          <w:szCs w:val="24"/>
        </w:rPr>
        <w:t>Policy for Energy Demand Reduction</w:t>
      </w:r>
      <w:r w:rsidRPr="00E12155">
        <w:rPr>
          <w:rFonts w:ascii="Calibri" w:hAnsi="Calibri" w:cs="Calibri"/>
          <w:noProof/>
          <w:szCs w:val="24"/>
        </w:rPr>
        <w:t>. (2020).</w:t>
      </w:r>
    </w:p>
    <w:p w14:paraId="4BE1CF96" w14:textId="77777777" w:rsidR="00E12155" w:rsidRPr="00E12155" w:rsidRDefault="00E12155" w:rsidP="00E12155">
      <w:pPr>
        <w:widowControl w:val="0"/>
        <w:autoSpaceDE w:val="0"/>
        <w:autoSpaceDN w:val="0"/>
        <w:adjustRightInd w:val="0"/>
        <w:spacing w:line="240" w:lineRule="auto"/>
        <w:ind w:left="640" w:hanging="640"/>
        <w:rPr>
          <w:rFonts w:ascii="Calibri" w:hAnsi="Calibri" w:cs="Calibri"/>
          <w:noProof/>
          <w:szCs w:val="24"/>
        </w:rPr>
      </w:pPr>
      <w:r w:rsidRPr="00E12155">
        <w:rPr>
          <w:rFonts w:ascii="Calibri" w:hAnsi="Calibri" w:cs="Calibri"/>
          <w:noProof/>
          <w:szCs w:val="24"/>
        </w:rPr>
        <w:t>43.</w:t>
      </w:r>
      <w:r w:rsidRPr="00E12155">
        <w:rPr>
          <w:rFonts w:ascii="Calibri" w:hAnsi="Calibri" w:cs="Calibri"/>
          <w:noProof/>
          <w:szCs w:val="24"/>
        </w:rPr>
        <w:tab/>
        <w:t xml:space="preserve">Hamilton, I. </w:t>
      </w:r>
      <w:r w:rsidRPr="00E12155">
        <w:rPr>
          <w:rFonts w:ascii="Calibri" w:hAnsi="Calibri" w:cs="Calibri"/>
          <w:i/>
          <w:iCs/>
          <w:noProof/>
          <w:szCs w:val="24"/>
        </w:rPr>
        <w:t>et al.</w:t>
      </w:r>
      <w:r w:rsidRPr="00E12155">
        <w:rPr>
          <w:rFonts w:ascii="Calibri" w:hAnsi="Calibri" w:cs="Calibri"/>
          <w:noProof/>
          <w:szCs w:val="24"/>
        </w:rPr>
        <w:t xml:space="preserve"> The public health implications of the Paris Agreement: a modelling study. </w:t>
      </w:r>
      <w:r w:rsidRPr="00E12155">
        <w:rPr>
          <w:rFonts w:ascii="Calibri" w:hAnsi="Calibri" w:cs="Calibri"/>
          <w:i/>
          <w:iCs/>
          <w:noProof/>
          <w:szCs w:val="24"/>
        </w:rPr>
        <w:t>Lancet Planet. Heal.</w:t>
      </w:r>
      <w:r w:rsidRPr="00E12155">
        <w:rPr>
          <w:rFonts w:ascii="Calibri" w:hAnsi="Calibri" w:cs="Calibri"/>
          <w:noProof/>
          <w:szCs w:val="24"/>
        </w:rPr>
        <w:t xml:space="preserve"> </w:t>
      </w:r>
      <w:r w:rsidRPr="00E12155">
        <w:rPr>
          <w:rFonts w:ascii="Calibri" w:hAnsi="Calibri" w:cs="Calibri"/>
          <w:b/>
          <w:bCs/>
          <w:noProof/>
          <w:szCs w:val="24"/>
        </w:rPr>
        <w:t>5</w:t>
      </w:r>
      <w:r w:rsidRPr="00E12155">
        <w:rPr>
          <w:rFonts w:ascii="Calibri" w:hAnsi="Calibri" w:cs="Calibri"/>
          <w:noProof/>
          <w:szCs w:val="24"/>
        </w:rPr>
        <w:t>, e74–e83 (2021).</w:t>
      </w:r>
    </w:p>
    <w:p w14:paraId="30E59352" w14:textId="77777777" w:rsidR="00E12155" w:rsidRPr="00E12155" w:rsidRDefault="00E12155" w:rsidP="00E12155">
      <w:pPr>
        <w:widowControl w:val="0"/>
        <w:autoSpaceDE w:val="0"/>
        <w:autoSpaceDN w:val="0"/>
        <w:adjustRightInd w:val="0"/>
        <w:spacing w:line="240" w:lineRule="auto"/>
        <w:ind w:left="640" w:hanging="640"/>
        <w:rPr>
          <w:rFonts w:ascii="Calibri" w:hAnsi="Calibri" w:cs="Calibri"/>
          <w:noProof/>
          <w:szCs w:val="24"/>
        </w:rPr>
      </w:pPr>
      <w:r w:rsidRPr="00E12155">
        <w:rPr>
          <w:rFonts w:ascii="Calibri" w:hAnsi="Calibri" w:cs="Calibri"/>
          <w:noProof/>
          <w:szCs w:val="24"/>
        </w:rPr>
        <w:t>44.</w:t>
      </w:r>
      <w:r w:rsidRPr="00E12155">
        <w:rPr>
          <w:rFonts w:ascii="Calibri" w:hAnsi="Calibri" w:cs="Calibri"/>
          <w:noProof/>
          <w:szCs w:val="24"/>
        </w:rPr>
        <w:tab/>
        <w:t>Waitrose &amp; Partners. Food and Drink Report 2018-2019. https://www.waitrose.com/content/dam/waitrose/Inspiration/Waitrose &amp; Partners Food and Drink Report 2018.pdf (2019).</w:t>
      </w:r>
    </w:p>
    <w:p w14:paraId="725184DB" w14:textId="77777777" w:rsidR="00E12155" w:rsidRPr="00E12155" w:rsidRDefault="00E12155" w:rsidP="00E12155">
      <w:pPr>
        <w:widowControl w:val="0"/>
        <w:autoSpaceDE w:val="0"/>
        <w:autoSpaceDN w:val="0"/>
        <w:adjustRightInd w:val="0"/>
        <w:spacing w:line="240" w:lineRule="auto"/>
        <w:ind w:left="640" w:hanging="640"/>
        <w:rPr>
          <w:rFonts w:ascii="Calibri" w:hAnsi="Calibri" w:cs="Calibri"/>
          <w:noProof/>
          <w:szCs w:val="24"/>
        </w:rPr>
      </w:pPr>
      <w:r w:rsidRPr="00E12155">
        <w:rPr>
          <w:rFonts w:ascii="Calibri" w:hAnsi="Calibri" w:cs="Calibri"/>
          <w:noProof/>
          <w:szCs w:val="24"/>
        </w:rPr>
        <w:t>45.</w:t>
      </w:r>
      <w:r w:rsidRPr="00E12155">
        <w:rPr>
          <w:rFonts w:ascii="Calibri" w:hAnsi="Calibri" w:cs="Calibri"/>
          <w:noProof/>
          <w:szCs w:val="24"/>
        </w:rPr>
        <w:tab/>
        <w:t>NHS Digital. Part 3: Adult overweight and obesity - NHS Digital. https://digital.nhs.uk/data-and-information/publications/statistical/statistics-on-obesity-physical-activity-and-diet/england-2020/part-3-adult-obesity-copy (2019).</w:t>
      </w:r>
    </w:p>
    <w:p w14:paraId="3C62BE1E" w14:textId="77777777" w:rsidR="00E12155" w:rsidRPr="00E12155" w:rsidRDefault="00E12155" w:rsidP="00E12155">
      <w:pPr>
        <w:widowControl w:val="0"/>
        <w:autoSpaceDE w:val="0"/>
        <w:autoSpaceDN w:val="0"/>
        <w:adjustRightInd w:val="0"/>
        <w:spacing w:line="240" w:lineRule="auto"/>
        <w:ind w:left="640" w:hanging="640"/>
        <w:rPr>
          <w:rFonts w:ascii="Calibri" w:hAnsi="Calibri" w:cs="Calibri"/>
          <w:noProof/>
          <w:szCs w:val="24"/>
        </w:rPr>
      </w:pPr>
      <w:r w:rsidRPr="00E12155">
        <w:rPr>
          <w:rFonts w:ascii="Calibri" w:hAnsi="Calibri" w:cs="Calibri"/>
          <w:noProof/>
          <w:szCs w:val="24"/>
        </w:rPr>
        <w:t>46.</w:t>
      </w:r>
      <w:r w:rsidRPr="00E12155">
        <w:rPr>
          <w:rFonts w:ascii="Calibri" w:hAnsi="Calibri" w:cs="Calibri"/>
          <w:noProof/>
          <w:szCs w:val="24"/>
        </w:rPr>
        <w:tab/>
        <w:t xml:space="preserve">Public Health England. </w:t>
      </w:r>
      <w:r w:rsidRPr="00E12155">
        <w:rPr>
          <w:rFonts w:ascii="Calibri" w:hAnsi="Calibri" w:cs="Calibri"/>
          <w:i/>
          <w:iCs/>
          <w:noProof/>
          <w:szCs w:val="24"/>
        </w:rPr>
        <w:t>Working Together to Promote Active Travel A briefing for local authorities</w:t>
      </w:r>
      <w:r w:rsidRPr="00E12155">
        <w:rPr>
          <w:rFonts w:ascii="Calibri" w:hAnsi="Calibri" w:cs="Calibri"/>
          <w:noProof/>
          <w:szCs w:val="24"/>
        </w:rPr>
        <w:t>. www.gov.uk/phe (2016).</w:t>
      </w:r>
    </w:p>
    <w:p w14:paraId="332468C7" w14:textId="77777777" w:rsidR="00E12155" w:rsidRPr="00E12155" w:rsidRDefault="00E12155" w:rsidP="00E12155">
      <w:pPr>
        <w:widowControl w:val="0"/>
        <w:autoSpaceDE w:val="0"/>
        <w:autoSpaceDN w:val="0"/>
        <w:adjustRightInd w:val="0"/>
        <w:spacing w:line="240" w:lineRule="auto"/>
        <w:ind w:left="640" w:hanging="640"/>
        <w:rPr>
          <w:rFonts w:ascii="Calibri" w:hAnsi="Calibri" w:cs="Calibri"/>
          <w:noProof/>
          <w:szCs w:val="24"/>
        </w:rPr>
      </w:pPr>
      <w:r w:rsidRPr="00E12155">
        <w:rPr>
          <w:rFonts w:ascii="Calibri" w:hAnsi="Calibri" w:cs="Calibri"/>
          <w:noProof/>
          <w:szCs w:val="24"/>
        </w:rPr>
        <w:t>47.</w:t>
      </w:r>
      <w:r w:rsidRPr="00E12155">
        <w:rPr>
          <w:rFonts w:ascii="Calibri" w:hAnsi="Calibri" w:cs="Calibri"/>
          <w:noProof/>
          <w:szCs w:val="24"/>
        </w:rPr>
        <w:tab/>
        <w:t xml:space="preserve">Bull, F. C. </w:t>
      </w:r>
      <w:r w:rsidRPr="00E12155">
        <w:rPr>
          <w:rFonts w:ascii="Calibri" w:hAnsi="Calibri" w:cs="Calibri"/>
          <w:i/>
          <w:iCs/>
          <w:noProof/>
          <w:szCs w:val="24"/>
        </w:rPr>
        <w:t>et al.</w:t>
      </w:r>
      <w:r w:rsidRPr="00E12155">
        <w:rPr>
          <w:rFonts w:ascii="Calibri" w:hAnsi="Calibri" w:cs="Calibri"/>
          <w:noProof/>
          <w:szCs w:val="24"/>
        </w:rPr>
        <w:t xml:space="preserve"> World Health Organization 2020 guidelines on physical activity and sedentary behaviour. </w:t>
      </w:r>
      <w:r w:rsidRPr="00E12155">
        <w:rPr>
          <w:rFonts w:ascii="Calibri" w:hAnsi="Calibri" w:cs="Calibri"/>
          <w:i/>
          <w:iCs/>
          <w:noProof/>
          <w:szCs w:val="24"/>
        </w:rPr>
        <w:t>British Journal of Sports Medicine</w:t>
      </w:r>
      <w:r w:rsidRPr="00E12155">
        <w:rPr>
          <w:rFonts w:ascii="Calibri" w:hAnsi="Calibri" w:cs="Calibri"/>
          <w:noProof/>
          <w:szCs w:val="24"/>
        </w:rPr>
        <w:t xml:space="preserve"> vol. 54 1451–1462 (2020).</w:t>
      </w:r>
    </w:p>
    <w:p w14:paraId="16D47901" w14:textId="77777777" w:rsidR="00E12155" w:rsidRPr="00E12155" w:rsidRDefault="00E12155" w:rsidP="00E12155">
      <w:pPr>
        <w:widowControl w:val="0"/>
        <w:autoSpaceDE w:val="0"/>
        <w:autoSpaceDN w:val="0"/>
        <w:adjustRightInd w:val="0"/>
        <w:spacing w:line="240" w:lineRule="auto"/>
        <w:ind w:left="640" w:hanging="640"/>
        <w:rPr>
          <w:rFonts w:ascii="Calibri" w:hAnsi="Calibri" w:cs="Calibri"/>
          <w:noProof/>
          <w:szCs w:val="24"/>
        </w:rPr>
      </w:pPr>
      <w:r w:rsidRPr="00E12155">
        <w:rPr>
          <w:rFonts w:ascii="Calibri" w:hAnsi="Calibri" w:cs="Calibri"/>
          <w:noProof/>
          <w:szCs w:val="24"/>
        </w:rPr>
        <w:t>48.</w:t>
      </w:r>
      <w:r w:rsidRPr="00E12155">
        <w:rPr>
          <w:rFonts w:ascii="Calibri" w:hAnsi="Calibri" w:cs="Calibri"/>
          <w:noProof/>
          <w:szCs w:val="24"/>
        </w:rPr>
        <w:tab/>
        <w:t xml:space="preserve">WHO. </w:t>
      </w:r>
      <w:r w:rsidRPr="00E12155">
        <w:rPr>
          <w:rFonts w:ascii="Calibri" w:hAnsi="Calibri" w:cs="Calibri"/>
          <w:i/>
          <w:iCs/>
          <w:noProof/>
          <w:szCs w:val="24"/>
        </w:rPr>
        <w:t>Global Action Plan on Physical Activity 2018-2030: More Active People for a Healthier World</w:t>
      </w:r>
      <w:r w:rsidRPr="00E12155">
        <w:rPr>
          <w:rFonts w:ascii="Calibri" w:hAnsi="Calibri" w:cs="Calibri"/>
          <w:noProof/>
          <w:szCs w:val="24"/>
        </w:rPr>
        <w:t>. https://apps.who.int/iris/bitstream/handle/10665/272722/9789241514187-eng.pdf?sequence=1&amp;isAllowed=y (2018).</w:t>
      </w:r>
    </w:p>
    <w:p w14:paraId="7032E59D" w14:textId="77777777" w:rsidR="00E12155" w:rsidRPr="00E12155" w:rsidRDefault="00E12155" w:rsidP="00E12155">
      <w:pPr>
        <w:widowControl w:val="0"/>
        <w:autoSpaceDE w:val="0"/>
        <w:autoSpaceDN w:val="0"/>
        <w:adjustRightInd w:val="0"/>
        <w:spacing w:line="240" w:lineRule="auto"/>
        <w:ind w:left="640" w:hanging="640"/>
        <w:rPr>
          <w:rFonts w:ascii="Calibri" w:hAnsi="Calibri" w:cs="Calibri"/>
          <w:noProof/>
          <w:szCs w:val="24"/>
        </w:rPr>
      </w:pPr>
      <w:r w:rsidRPr="00E12155">
        <w:rPr>
          <w:rFonts w:ascii="Calibri" w:hAnsi="Calibri" w:cs="Calibri"/>
          <w:noProof/>
          <w:szCs w:val="24"/>
        </w:rPr>
        <w:t>49.</w:t>
      </w:r>
      <w:r w:rsidRPr="00E12155">
        <w:rPr>
          <w:rFonts w:ascii="Calibri" w:hAnsi="Calibri" w:cs="Calibri"/>
          <w:noProof/>
          <w:szCs w:val="24"/>
        </w:rPr>
        <w:tab/>
        <w:t xml:space="preserve">WHO. </w:t>
      </w:r>
      <w:r w:rsidRPr="00E12155">
        <w:rPr>
          <w:rFonts w:ascii="Calibri" w:hAnsi="Calibri" w:cs="Calibri"/>
          <w:i/>
          <w:iCs/>
          <w:noProof/>
          <w:szCs w:val="24"/>
        </w:rPr>
        <w:t>Ambient air pollution: A global assessment of exposure and burden of disease</w:t>
      </w:r>
      <w:r w:rsidRPr="00E12155">
        <w:rPr>
          <w:rFonts w:ascii="Calibri" w:hAnsi="Calibri" w:cs="Calibri"/>
          <w:noProof/>
          <w:szCs w:val="24"/>
        </w:rPr>
        <w:t>. (2016).</w:t>
      </w:r>
    </w:p>
    <w:p w14:paraId="6B9FB876" w14:textId="77777777" w:rsidR="00E12155" w:rsidRPr="00E12155" w:rsidRDefault="00E12155" w:rsidP="00E12155">
      <w:pPr>
        <w:widowControl w:val="0"/>
        <w:autoSpaceDE w:val="0"/>
        <w:autoSpaceDN w:val="0"/>
        <w:adjustRightInd w:val="0"/>
        <w:spacing w:line="240" w:lineRule="auto"/>
        <w:ind w:left="640" w:hanging="640"/>
        <w:rPr>
          <w:rFonts w:ascii="Calibri" w:hAnsi="Calibri" w:cs="Calibri"/>
          <w:noProof/>
          <w:szCs w:val="24"/>
        </w:rPr>
      </w:pPr>
      <w:r w:rsidRPr="00E12155">
        <w:rPr>
          <w:rFonts w:ascii="Calibri" w:hAnsi="Calibri" w:cs="Calibri"/>
          <w:noProof/>
          <w:szCs w:val="24"/>
        </w:rPr>
        <w:t>50.</w:t>
      </w:r>
      <w:r w:rsidRPr="00E12155">
        <w:rPr>
          <w:rFonts w:ascii="Calibri" w:hAnsi="Calibri" w:cs="Calibri"/>
          <w:noProof/>
          <w:szCs w:val="24"/>
        </w:rPr>
        <w:tab/>
        <w:t xml:space="preserve">Watts, N. </w:t>
      </w:r>
      <w:r w:rsidRPr="00E12155">
        <w:rPr>
          <w:rFonts w:ascii="Calibri" w:hAnsi="Calibri" w:cs="Calibri"/>
          <w:i/>
          <w:iCs/>
          <w:noProof/>
          <w:szCs w:val="24"/>
        </w:rPr>
        <w:t>et al.</w:t>
      </w:r>
      <w:r w:rsidRPr="00E12155">
        <w:rPr>
          <w:rFonts w:ascii="Calibri" w:hAnsi="Calibri" w:cs="Calibri"/>
          <w:noProof/>
          <w:szCs w:val="24"/>
        </w:rPr>
        <w:t xml:space="preserve"> The 2020 report of The Lancet Countdown on health and climate change: responding to converging crises. </w:t>
      </w:r>
      <w:r w:rsidRPr="00E12155">
        <w:rPr>
          <w:rFonts w:ascii="Calibri" w:hAnsi="Calibri" w:cs="Calibri"/>
          <w:i/>
          <w:iCs/>
          <w:noProof/>
          <w:szCs w:val="24"/>
        </w:rPr>
        <w:t>Lancet</w:t>
      </w:r>
      <w:r w:rsidRPr="00E12155">
        <w:rPr>
          <w:rFonts w:ascii="Calibri" w:hAnsi="Calibri" w:cs="Calibri"/>
          <w:noProof/>
          <w:szCs w:val="24"/>
        </w:rPr>
        <w:t xml:space="preserve"> </w:t>
      </w:r>
      <w:r w:rsidRPr="00E12155">
        <w:rPr>
          <w:rFonts w:ascii="Calibri" w:hAnsi="Calibri" w:cs="Calibri"/>
          <w:b/>
          <w:bCs/>
          <w:noProof/>
          <w:szCs w:val="24"/>
        </w:rPr>
        <w:t>397</w:t>
      </w:r>
      <w:r w:rsidRPr="00E12155">
        <w:rPr>
          <w:rFonts w:ascii="Calibri" w:hAnsi="Calibri" w:cs="Calibri"/>
          <w:noProof/>
          <w:szCs w:val="24"/>
        </w:rPr>
        <w:t>, 129–170 (2021).</w:t>
      </w:r>
    </w:p>
    <w:p w14:paraId="69746D97" w14:textId="77777777" w:rsidR="00E12155" w:rsidRPr="00E12155" w:rsidRDefault="00E12155" w:rsidP="00E12155">
      <w:pPr>
        <w:widowControl w:val="0"/>
        <w:autoSpaceDE w:val="0"/>
        <w:autoSpaceDN w:val="0"/>
        <w:adjustRightInd w:val="0"/>
        <w:spacing w:line="240" w:lineRule="auto"/>
        <w:ind w:left="640" w:hanging="640"/>
        <w:rPr>
          <w:rFonts w:ascii="Calibri" w:hAnsi="Calibri" w:cs="Calibri"/>
          <w:noProof/>
          <w:szCs w:val="24"/>
        </w:rPr>
      </w:pPr>
      <w:r w:rsidRPr="00E12155">
        <w:rPr>
          <w:rFonts w:ascii="Calibri" w:hAnsi="Calibri" w:cs="Calibri"/>
          <w:noProof/>
          <w:szCs w:val="24"/>
        </w:rPr>
        <w:t>51.</w:t>
      </w:r>
      <w:r w:rsidRPr="00E12155">
        <w:rPr>
          <w:rFonts w:ascii="Calibri" w:hAnsi="Calibri" w:cs="Calibri"/>
          <w:noProof/>
          <w:szCs w:val="24"/>
        </w:rPr>
        <w:tab/>
        <w:t>YouGov. The most important issues facing the country. https://yougov.co.uk/topics/politics/trackers/the-most-important-issues-facing-the-country (2021).</w:t>
      </w:r>
    </w:p>
    <w:p w14:paraId="329D3B42" w14:textId="77777777" w:rsidR="00E12155" w:rsidRPr="00E12155" w:rsidRDefault="00E12155" w:rsidP="00E12155">
      <w:pPr>
        <w:widowControl w:val="0"/>
        <w:autoSpaceDE w:val="0"/>
        <w:autoSpaceDN w:val="0"/>
        <w:adjustRightInd w:val="0"/>
        <w:spacing w:line="240" w:lineRule="auto"/>
        <w:ind w:left="640" w:hanging="640"/>
        <w:rPr>
          <w:rFonts w:ascii="Calibri" w:hAnsi="Calibri" w:cs="Calibri"/>
          <w:noProof/>
          <w:szCs w:val="24"/>
        </w:rPr>
      </w:pPr>
      <w:r w:rsidRPr="00E12155">
        <w:rPr>
          <w:rFonts w:ascii="Calibri" w:hAnsi="Calibri" w:cs="Calibri"/>
          <w:noProof/>
          <w:szCs w:val="24"/>
        </w:rPr>
        <w:t>52.</w:t>
      </w:r>
      <w:r w:rsidRPr="00E12155">
        <w:rPr>
          <w:rFonts w:ascii="Calibri" w:hAnsi="Calibri" w:cs="Calibri"/>
          <w:noProof/>
          <w:szCs w:val="24"/>
        </w:rPr>
        <w:tab/>
        <w:t xml:space="preserve">Pidgeon, N. Public understanding of, and attitudes to, climate change: UK and international </w:t>
      </w:r>
      <w:r w:rsidRPr="00E12155">
        <w:rPr>
          <w:rFonts w:ascii="Calibri" w:hAnsi="Calibri" w:cs="Calibri"/>
          <w:noProof/>
          <w:szCs w:val="24"/>
        </w:rPr>
        <w:lastRenderedPageBreak/>
        <w:t xml:space="preserve">perspectives and policy. </w:t>
      </w:r>
      <w:r w:rsidRPr="00E12155">
        <w:rPr>
          <w:rFonts w:ascii="Calibri" w:hAnsi="Calibri" w:cs="Calibri"/>
          <w:i/>
          <w:iCs/>
          <w:noProof/>
          <w:szCs w:val="24"/>
        </w:rPr>
        <w:t>Clim. Policy</w:t>
      </w:r>
      <w:r w:rsidRPr="00E12155">
        <w:rPr>
          <w:rFonts w:ascii="Calibri" w:hAnsi="Calibri" w:cs="Calibri"/>
          <w:noProof/>
          <w:szCs w:val="24"/>
        </w:rPr>
        <w:t xml:space="preserve"> </w:t>
      </w:r>
      <w:r w:rsidRPr="00E12155">
        <w:rPr>
          <w:rFonts w:ascii="Calibri" w:hAnsi="Calibri" w:cs="Calibri"/>
          <w:b/>
          <w:bCs/>
          <w:noProof/>
          <w:szCs w:val="24"/>
        </w:rPr>
        <w:t>12</w:t>
      </w:r>
      <w:r w:rsidRPr="00E12155">
        <w:rPr>
          <w:rFonts w:ascii="Calibri" w:hAnsi="Calibri" w:cs="Calibri"/>
          <w:noProof/>
          <w:szCs w:val="24"/>
        </w:rPr>
        <w:t>, (2012).</w:t>
      </w:r>
    </w:p>
    <w:p w14:paraId="54F7210D" w14:textId="77777777" w:rsidR="00E12155" w:rsidRPr="00E12155" w:rsidRDefault="00E12155" w:rsidP="00E12155">
      <w:pPr>
        <w:widowControl w:val="0"/>
        <w:autoSpaceDE w:val="0"/>
        <w:autoSpaceDN w:val="0"/>
        <w:adjustRightInd w:val="0"/>
        <w:spacing w:line="240" w:lineRule="auto"/>
        <w:ind w:left="640" w:hanging="640"/>
        <w:rPr>
          <w:rFonts w:ascii="Calibri" w:hAnsi="Calibri" w:cs="Calibri"/>
          <w:noProof/>
          <w:szCs w:val="24"/>
        </w:rPr>
      </w:pPr>
      <w:r w:rsidRPr="00E12155">
        <w:rPr>
          <w:rFonts w:ascii="Calibri" w:hAnsi="Calibri" w:cs="Calibri"/>
          <w:noProof/>
          <w:szCs w:val="24"/>
        </w:rPr>
        <w:t>53.</w:t>
      </w:r>
      <w:r w:rsidRPr="00E12155">
        <w:rPr>
          <w:rFonts w:ascii="Calibri" w:hAnsi="Calibri" w:cs="Calibri"/>
          <w:noProof/>
          <w:szCs w:val="24"/>
        </w:rPr>
        <w:tab/>
        <w:t xml:space="preserve">YouGov. </w:t>
      </w:r>
      <w:r w:rsidRPr="00E12155">
        <w:rPr>
          <w:rFonts w:ascii="Calibri" w:hAnsi="Calibri" w:cs="Calibri"/>
          <w:i/>
          <w:iCs/>
          <w:noProof/>
          <w:szCs w:val="24"/>
        </w:rPr>
        <w:t>YouGov / Eating Better Survey Results</w:t>
      </w:r>
      <w:r w:rsidRPr="00E12155">
        <w:rPr>
          <w:rFonts w:ascii="Calibri" w:hAnsi="Calibri" w:cs="Calibri"/>
          <w:noProof/>
          <w:szCs w:val="24"/>
        </w:rPr>
        <w:t>. https://www.eating-better.org/uploads/Documents/2017/YouGov survey for Eating Better 2017_EatingLessMeat_W_170424.pdf (2017).</w:t>
      </w:r>
    </w:p>
    <w:p w14:paraId="27BBD3E7" w14:textId="77777777" w:rsidR="00E12155" w:rsidRPr="00E12155" w:rsidRDefault="00E12155" w:rsidP="00E12155">
      <w:pPr>
        <w:widowControl w:val="0"/>
        <w:autoSpaceDE w:val="0"/>
        <w:autoSpaceDN w:val="0"/>
        <w:adjustRightInd w:val="0"/>
        <w:spacing w:line="240" w:lineRule="auto"/>
        <w:ind w:left="640" w:hanging="640"/>
        <w:rPr>
          <w:rFonts w:ascii="Calibri" w:hAnsi="Calibri" w:cs="Calibri"/>
          <w:noProof/>
          <w:szCs w:val="24"/>
        </w:rPr>
      </w:pPr>
      <w:r w:rsidRPr="00E12155">
        <w:rPr>
          <w:rFonts w:ascii="Calibri" w:hAnsi="Calibri" w:cs="Calibri"/>
          <w:noProof/>
          <w:szCs w:val="24"/>
        </w:rPr>
        <w:t>54.</w:t>
      </w:r>
      <w:r w:rsidRPr="00E12155">
        <w:rPr>
          <w:rFonts w:ascii="Calibri" w:hAnsi="Calibri" w:cs="Calibri"/>
          <w:noProof/>
          <w:szCs w:val="24"/>
        </w:rPr>
        <w:tab/>
        <w:t>Finder UK. UK diet trends 2021 | Finder UK. https://www.finder.com/uk/uk-diet-trends (2021).</w:t>
      </w:r>
    </w:p>
    <w:p w14:paraId="6BBD1923" w14:textId="77777777" w:rsidR="00E12155" w:rsidRPr="00E12155" w:rsidRDefault="00E12155" w:rsidP="00E12155">
      <w:pPr>
        <w:widowControl w:val="0"/>
        <w:autoSpaceDE w:val="0"/>
        <w:autoSpaceDN w:val="0"/>
        <w:adjustRightInd w:val="0"/>
        <w:spacing w:line="240" w:lineRule="auto"/>
        <w:ind w:left="640" w:hanging="640"/>
        <w:rPr>
          <w:rFonts w:ascii="Calibri" w:hAnsi="Calibri" w:cs="Calibri"/>
          <w:noProof/>
          <w:szCs w:val="24"/>
        </w:rPr>
      </w:pPr>
      <w:r w:rsidRPr="00E12155">
        <w:rPr>
          <w:rFonts w:ascii="Calibri" w:hAnsi="Calibri" w:cs="Calibri"/>
          <w:noProof/>
          <w:szCs w:val="24"/>
        </w:rPr>
        <w:t>55.</w:t>
      </w:r>
      <w:r w:rsidRPr="00E12155">
        <w:rPr>
          <w:rFonts w:ascii="Calibri" w:hAnsi="Calibri" w:cs="Calibri"/>
          <w:noProof/>
          <w:szCs w:val="24"/>
        </w:rPr>
        <w:tab/>
        <w:t xml:space="preserve">Norton, E. UK meat consumption. </w:t>
      </w:r>
      <w:r w:rsidRPr="00E12155">
        <w:rPr>
          <w:rFonts w:ascii="Calibri" w:hAnsi="Calibri" w:cs="Calibri"/>
          <w:i/>
          <w:iCs/>
          <w:noProof/>
          <w:szCs w:val="24"/>
        </w:rPr>
        <w:t>Savils</w:t>
      </w:r>
      <w:r w:rsidRPr="00E12155">
        <w:rPr>
          <w:rFonts w:ascii="Calibri" w:hAnsi="Calibri" w:cs="Calibri"/>
          <w:noProof/>
          <w:szCs w:val="24"/>
        </w:rPr>
        <w:t xml:space="preserve"> https://www.savills.co.uk/research_articles/229130/298951-0 (2020).</w:t>
      </w:r>
    </w:p>
    <w:p w14:paraId="507A33D9" w14:textId="77777777" w:rsidR="00E12155" w:rsidRPr="00E12155" w:rsidRDefault="00E12155" w:rsidP="00E12155">
      <w:pPr>
        <w:widowControl w:val="0"/>
        <w:autoSpaceDE w:val="0"/>
        <w:autoSpaceDN w:val="0"/>
        <w:adjustRightInd w:val="0"/>
        <w:spacing w:line="240" w:lineRule="auto"/>
        <w:ind w:left="640" w:hanging="640"/>
        <w:rPr>
          <w:rFonts w:ascii="Calibri" w:hAnsi="Calibri" w:cs="Calibri"/>
          <w:noProof/>
          <w:szCs w:val="24"/>
        </w:rPr>
      </w:pPr>
      <w:r w:rsidRPr="00E12155">
        <w:rPr>
          <w:rFonts w:ascii="Calibri" w:hAnsi="Calibri" w:cs="Calibri"/>
          <w:noProof/>
          <w:szCs w:val="24"/>
        </w:rPr>
        <w:t>56.</w:t>
      </w:r>
      <w:r w:rsidRPr="00E12155">
        <w:rPr>
          <w:rFonts w:ascii="Calibri" w:hAnsi="Calibri" w:cs="Calibri"/>
          <w:noProof/>
          <w:szCs w:val="24"/>
        </w:rPr>
        <w:tab/>
        <w:t xml:space="preserve">Bryant, C. J. We Can’t Keep Meating Like This: Attitudes towards Vegetarian and Vegan Diets in the United Kingdom. </w:t>
      </w:r>
      <w:r w:rsidRPr="00E12155">
        <w:rPr>
          <w:rFonts w:ascii="Calibri" w:hAnsi="Calibri" w:cs="Calibri"/>
          <w:i/>
          <w:iCs/>
          <w:noProof/>
          <w:szCs w:val="24"/>
        </w:rPr>
        <w:t>Sustainability</w:t>
      </w:r>
      <w:r w:rsidRPr="00E12155">
        <w:rPr>
          <w:rFonts w:ascii="Calibri" w:hAnsi="Calibri" w:cs="Calibri"/>
          <w:noProof/>
          <w:szCs w:val="24"/>
        </w:rPr>
        <w:t xml:space="preserve"> </w:t>
      </w:r>
      <w:r w:rsidRPr="00E12155">
        <w:rPr>
          <w:rFonts w:ascii="Calibri" w:hAnsi="Calibri" w:cs="Calibri"/>
          <w:b/>
          <w:bCs/>
          <w:noProof/>
          <w:szCs w:val="24"/>
        </w:rPr>
        <w:t>11</w:t>
      </w:r>
      <w:r w:rsidRPr="00E12155">
        <w:rPr>
          <w:rFonts w:ascii="Calibri" w:hAnsi="Calibri" w:cs="Calibri"/>
          <w:noProof/>
          <w:szCs w:val="24"/>
        </w:rPr>
        <w:t>, 6844 (2019).</w:t>
      </w:r>
    </w:p>
    <w:p w14:paraId="7B23E777" w14:textId="77777777" w:rsidR="00E12155" w:rsidRPr="00E12155" w:rsidRDefault="00E12155" w:rsidP="00E12155">
      <w:pPr>
        <w:widowControl w:val="0"/>
        <w:autoSpaceDE w:val="0"/>
        <w:autoSpaceDN w:val="0"/>
        <w:adjustRightInd w:val="0"/>
        <w:spacing w:line="240" w:lineRule="auto"/>
        <w:ind w:left="640" w:hanging="640"/>
        <w:rPr>
          <w:rFonts w:ascii="Calibri" w:hAnsi="Calibri" w:cs="Calibri"/>
          <w:noProof/>
          <w:szCs w:val="24"/>
        </w:rPr>
      </w:pPr>
      <w:r w:rsidRPr="00E12155">
        <w:rPr>
          <w:rFonts w:ascii="Calibri" w:hAnsi="Calibri" w:cs="Calibri"/>
          <w:noProof/>
          <w:szCs w:val="24"/>
        </w:rPr>
        <w:t>57.</w:t>
      </w:r>
      <w:r w:rsidRPr="00E12155">
        <w:rPr>
          <w:rFonts w:ascii="Calibri" w:hAnsi="Calibri" w:cs="Calibri"/>
          <w:noProof/>
          <w:szCs w:val="24"/>
        </w:rPr>
        <w:tab/>
        <w:t xml:space="preserve">Shahbaz, M., Shahzad, S. J. H., Alam, S. &amp; Apergis, N. Globalisation, economic growth and energy consumption in the BRICS region: The importance of asymmetries. </w:t>
      </w:r>
      <w:r w:rsidRPr="00E12155">
        <w:rPr>
          <w:rFonts w:ascii="Calibri" w:hAnsi="Calibri" w:cs="Calibri"/>
          <w:i/>
          <w:iCs/>
          <w:noProof/>
          <w:szCs w:val="24"/>
        </w:rPr>
        <w:t>J. Int. Trade Econ. Dev.</w:t>
      </w:r>
      <w:r w:rsidRPr="00E12155">
        <w:rPr>
          <w:rFonts w:ascii="Calibri" w:hAnsi="Calibri" w:cs="Calibri"/>
          <w:noProof/>
          <w:szCs w:val="24"/>
        </w:rPr>
        <w:t xml:space="preserve"> </w:t>
      </w:r>
      <w:r w:rsidRPr="00E12155">
        <w:rPr>
          <w:rFonts w:ascii="Calibri" w:hAnsi="Calibri" w:cs="Calibri"/>
          <w:b/>
          <w:bCs/>
          <w:noProof/>
          <w:szCs w:val="24"/>
        </w:rPr>
        <w:t>27</w:t>
      </w:r>
      <w:r w:rsidRPr="00E12155">
        <w:rPr>
          <w:rFonts w:ascii="Calibri" w:hAnsi="Calibri" w:cs="Calibri"/>
          <w:noProof/>
          <w:szCs w:val="24"/>
        </w:rPr>
        <w:t>, 985–1009 (2018).</w:t>
      </w:r>
    </w:p>
    <w:p w14:paraId="2B73C60E" w14:textId="77777777" w:rsidR="00E12155" w:rsidRPr="00E12155" w:rsidRDefault="00E12155" w:rsidP="00E12155">
      <w:pPr>
        <w:widowControl w:val="0"/>
        <w:autoSpaceDE w:val="0"/>
        <w:autoSpaceDN w:val="0"/>
        <w:adjustRightInd w:val="0"/>
        <w:spacing w:line="240" w:lineRule="auto"/>
        <w:ind w:left="640" w:hanging="640"/>
        <w:rPr>
          <w:rFonts w:ascii="Calibri" w:hAnsi="Calibri" w:cs="Calibri"/>
          <w:noProof/>
          <w:szCs w:val="24"/>
        </w:rPr>
      </w:pPr>
      <w:r w:rsidRPr="00E12155">
        <w:rPr>
          <w:rFonts w:ascii="Calibri" w:hAnsi="Calibri" w:cs="Calibri"/>
          <w:noProof/>
          <w:szCs w:val="24"/>
        </w:rPr>
        <w:t>58.</w:t>
      </w:r>
      <w:r w:rsidRPr="00E12155">
        <w:rPr>
          <w:rFonts w:ascii="Calibri" w:hAnsi="Calibri" w:cs="Calibri"/>
          <w:noProof/>
          <w:szCs w:val="24"/>
        </w:rPr>
        <w:tab/>
        <w:t xml:space="preserve">Andrew, R. M. &amp; Peters, G. P. A MULTI-REGION INPUT-OUTPUT TABLE BASED ON THE GLOBAL TRADE ANALYSIS PROJECT DATABASE (GTAP-MRIO). </w:t>
      </w:r>
      <w:r w:rsidRPr="00E12155">
        <w:rPr>
          <w:rFonts w:ascii="Calibri" w:hAnsi="Calibri" w:cs="Calibri"/>
          <w:i/>
          <w:iCs/>
          <w:noProof/>
          <w:szCs w:val="24"/>
        </w:rPr>
        <w:t>Econ. Syst. Res.</w:t>
      </w:r>
      <w:r w:rsidRPr="00E12155">
        <w:rPr>
          <w:rFonts w:ascii="Calibri" w:hAnsi="Calibri" w:cs="Calibri"/>
          <w:noProof/>
          <w:szCs w:val="24"/>
        </w:rPr>
        <w:t xml:space="preserve"> </w:t>
      </w:r>
      <w:r w:rsidRPr="00E12155">
        <w:rPr>
          <w:rFonts w:ascii="Calibri" w:hAnsi="Calibri" w:cs="Calibri"/>
          <w:b/>
          <w:bCs/>
          <w:noProof/>
          <w:szCs w:val="24"/>
        </w:rPr>
        <w:t>25</w:t>
      </w:r>
      <w:r w:rsidRPr="00E12155">
        <w:rPr>
          <w:rFonts w:ascii="Calibri" w:hAnsi="Calibri" w:cs="Calibri"/>
          <w:noProof/>
          <w:szCs w:val="24"/>
        </w:rPr>
        <w:t>, 99–121 (2013).</w:t>
      </w:r>
    </w:p>
    <w:p w14:paraId="1381CA73" w14:textId="77777777" w:rsidR="00E12155" w:rsidRPr="00E12155" w:rsidRDefault="00E12155" w:rsidP="00E12155">
      <w:pPr>
        <w:widowControl w:val="0"/>
        <w:autoSpaceDE w:val="0"/>
        <w:autoSpaceDN w:val="0"/>
        <w:adjustRightInd w:val="0"/>
        <w:spacing w:line="240" w:lineRule="auto"/>
        <w:ind w:left="640" w:hanging="640"/>
        <w:rPr>
          <w:rFonts w:ascii="Calibri" w:hAnsi="Calibri" w:cs="Calibri"/>
          <w:noProof/>
          <w:szCs w:val="24"/>
        </w:rPr>
      </w:pPr>
      <w:r w:rsidRPr="00E12155">
        <w:rPr>
          <w:rFonts w:ascii="Calibri" w:hAnsi="Calibri" w:cs="Calibri"/>
          <w:noProof/>
          <w:szCs w:val="24"/>
        </w:rPr>
        <w:t>59.</w:t>
      </w:r>
      <w:r w:rsidRPr="00E12155">
        <w:rPr>
          <w:rFonts w:ascii="Calibri" w:hAnsi="Calibri" w:cs="Calibri"/>
          <w:noProof/>
          <w:szCs w:val="24"/>
        </w:rPr>
        <w:tab/>
        <w:t xml:space="preserve">Davis, S. J., Peters, G. P. &amp; Caldeira, K. The supply chain of CO 2 emissions. </w:t>
      </w:r>
      <w:r w:rsidRPr="00E12155">
        <w:rPr>
          <w:rFonts w:ascii="Calibri" w:hAnsi="Calibri" w:cs="Calibri"/>
          <w:i/>
          <w:iCs/>
          <w:noProof/>
          <w:szCs w:val="24"/>
        </w:rPr>
        <w:t>Proc. Natl. Acad. Sci. U. S. A.</w:t>
      </w:r>
      <w:r w:rsidRPr="00E12155">
        <w:rPr>
          <w:rFonts w:ascii="Calibri" w:hAnsi="Calibri" w:cs="Calibri"/>
          <w:noProof/>
          <w:szCs w:val="24"/>
        </w:rPr>
        <w:t xml:space="preserve"> </w:t>
      </w:r>
      <w:r w:rsidRPr="00E12155">
        <w:rPr>
          <w:rFonts w:ascii="Calibri" w:hAnsi="Calibri" w:cs="Calibri"/>
          <w:b/>
          <w:bCs/>
          <w:noProof/>
          <w:szCs w:val="24"/>
        </w:rPr>
        <w:t>108</w:t>
      </w:r>
      <w:r w:rsidRPr="00E12155">
        <w:rPr>
          <w:rFonts w:ascii="Calibri" w:hAnsi="Calibri" w:cs="Calibri"/>
          <w:noProof/>
          <w:szCs w:val="24"/>
        </w:rPr>
        <w:t>, 18554–18559 (2011).</w:t>
      </w:r>
    </w:p>
    <w:p w14:paraId="75405C90" w14:textId="77777777" w:rsidR="00E12155" w:rsidRPr="00E12155" w:rsidRDefault="00E12155" w:rsidP="00E12155">
      <w:pPr>
        <w:widowControl w:val="0"/>
        <w:autoSpaceDE w:val="0"/>
        <w:autoSpaceDN w:val="0"/>
        <w:adjustRightInd w:val="0"/>
        <w:spacing w:line="240" w:lineRule="auto"/>
        <w:ind w:left="640" w:hanging="640"/>
        <w:rPr>
          <w:rFonts w:ascii="Calibri" w:hAnsi="Calibri" w:cs="Calibri"/>
          <w:noProof/>
          <w:szCs w:val="24"/>
        </w:rPr>
      </w:pPr>
      <w:r w:rsidRPr="00E12155">
        <w:rPr>
          <w:rFonts w:ascii="Calibri" w:hAnsi="Calibri" w:cs="Calibri"/>
          <w:noProof/>
          <w:szCs w:val="24"/>
        </w:rPr>
        <w:t>60.</w:t>
      </w:r>
      <w:r w:rsidRPr="00E12155">
        <w:rPr>
          <w:rFonts w:ascii="Calibri" w:hAnsi="Calibri" w:cs="Calibri"/>
          <w:noProof/>
          <w:szCs w:val="24"/>
        </w:rPr>
        <w:tab/>
        <w:t xml:space="preserve">Meng, B., Peters, G. P., Wang, Z. &amp; Li, M. Tracing CO2 emissions in global value chains. </w:t>
      </w:r>
      <w:r w:rsidRPr="00E12155">
        <w:rPr>
          <w:rFonts w:ascii="Calibri" w:hAnsi="Calibri" w:cs="Calibri"/>
          <w:i/>
          <w:iCs/>
          <w:noProof/>
          <w:szCs w:val="24"/>
        </w:rPr>
        <w:t>Energy Econ.</w:t>
      </w:r>
      <w:r w:rsidRPr="00E12155">
        <w:rPr>
          <w:rFonts w:ascii="Calibri" w:hAnsi="Calibri" w:cs="Calibri"/>
          <w:noProof/>
          <w:szCs w:val="24"/>
        </w:rPr>
        <w:t xml:space="preserve"> </w:t>
      </w:r>
      <w:r w:rsidRPr="00E12155">
        <w:rPr>
          <w:rFonts w:ascii="Calibri" w:hAnsi="Calibri" w:cs="Calibri"/>
          <w:b/>
          <w:bCs/>
          <w:noProof/>
          <w:szCs w:val="24"/>
        </w:rPr>
        <w:t>73</w:t>
      </w:r>
      <w:r w:rsidRPr="00E12155">
        <w:rPr>
          <w:rFonts w:ascii="Calibri" w:hAnsi="Calibri" w:cs="Calibri"/>
          <w:noProof/>
          <w:szCs w:val="24"/>
        </w:rPr>
        <w:t>, 24–42 (2018).</w:t>
      </w:r>
    </w:p>
    <w:p w14:paraId="412C08C2" w14:textId="77777777" w:rsidR="00E12155" w:rsidRPr="00E12155" w:rsidRDefault="00E12155" w:rsidP="00E12155">
      <w:pPr>
        <w:widowControl w:val="0"/>
        <w:autoSpaceDE w:val="0"/>
        <w:autoSpaceDN w:val="0"/>
        <w:adjustRightInd w:val="0"/>
        <w:spacing w:line="240" w:lineRule="auto"/>
        <w:ind w:left="640" w:hanging="640"/>
        <w:rPr>
          <w:rFonts w:ascii="Calibri" w:hAnsi="Calibri" w:cs="Calibri"/>
          <w:noProof/>
          <w:szCs w:val="24"/>
        </w:rPr>
      </w:pPr>
      <w:r w:rsidRPr="00E12155">
        <w:rPr>
          <w:rFonts w:ascii="Calibri" w:hAnsi="Calibri" w:cs="Calibri"/>
          <w:noProof/>
          <w:szCs w:val="24"/>
        </w:rPr>
        <w:t>61.</w:t>
      </w:r>
      <w:r w:rsidRPr="00E12155">
        <w:rPr>
          <w:rFonts w:ascii="Calibri" w:hAnsi="Calibri" w:cs="Calibri"/>
          <w:noProof/>
          <w:szCs w:val="24"/>
        </w:rPr>
        <w:tab/>
        <w:t xml:space="preserve">Davis, S. J. &amp; Caldeira, K. Consumption-based accounting of CO2 emissions. </w:t>
      </w:r>
      <w:r w:rsidRPr="00E12155">
        <w:rPr>
          <w:rFonts w:ascii="Calibri" w:hAnsi="Calibri" w:cs="Calibri"/>
          <w:i/>
          <w:iCs/>
          <w:noProof/>
          <w:szCs w:val="24"/>
        </w:rPr>
        <w:t>Proc. Natl. Acad. Sci. U. S. A.</w:t>
      </w:r>
      <w:r w:rsidRPr="00E12155">
        <w:rPr>
          <w:rFonts w:ascii="Calibri" w:hAnsi="Calibri" w:cs="Calibri"/>
          <w:noProof/>
          <w:szCs w:val="24"/>
        </w:rPr>
        <w:t xml:space="preserve"> </w:t>
      </w:r>
      <w:r w:rsidRPr="00E12155">
        <w:rPr>
          <w:rFonts w:ascii="Calibri" w:hAnsi="Calibri" w:cs="Calibri"/>
          <w:b/>
          <w:bCs/>
          <w:noProof/>
          <w:szCs w:val="24"/>
        </w:rPr>
        <w:t>107</w:t>
      </w:r>
      <w:r w:rsidRPr="00E12155">
        <w:rPr>
          <w:rFonts w:ascii="Calibri" w:hAnsi="Calibri" w:cs="Calibri"/>
          <w:noProof/>
          <w:szCs w:val="24"/>
        </w:rPr>
        <w:t>, 5687–5692 (2010).</w:t>
      </w:r>
    </w:p>
    <w:p w14:paraId="5158CB79" w14:textId="77777777" w:rsidR="00E12155" w:rsidRPr="00E12155" w:rsidRDefault="00E12155" w:rsidP="00E12155">
      <w:pPr>
        <w:widowControl w:val="0"/>
        <w:autoSpaceDE w:val="0"/>
        <w:autoSpaceDN w:val="0"/>
        <w:adjustRightInd w:val="0"/>
        <w:spacing w:line="240" w:lineRule="auto"/>
        <w:ind w:left="640" w:hanging="640"/>
        <w:rPr>
          <w:rFonts w:ascii="Calibri" w:hAnsi="Calibri" w:cs="Calibri"/>
          <w:noProof/>
          <w:szCs w:val="24"/>
        </w:rPr>
      </w:pPr>
      <w:r w:rsidRPr="00E12155">
        <w:rPr>
          <w:rFonts w:ascii="Calibri" w:hAnsi="Calibri" w:cs="Calibri"/>
          <w:noProof/>
          <w:szCs w:val="24"/>
        </w:rPr>
        <w:t>62.</w:t>
      </w:r>
      <w:r w:rsidRPr="00E12155">
        <w:rPr>
          <w:rFonts w:ascii="Calibri" w:hAnsi="Calibri" w:cs="Calibri"/>
          <w:noProof/>
          <w:szCs w:val="24"/>
        </w:rPr>
        <w:tab/>
        <w:t xml:space="preserve">Graeber, D. On the Phenomenon of Bullshit Jobs. </w:t>
      </w:r>
      <w:r w:rsidRPr="00E12155">
        <w:rPr>
          <w:rFonts w:ascii="Calibri" w:hAnsi="Calibri" w:cs="Calibri"/>
          <w:i/>
          <w:iCs/>
          <w:noProof/>
          <w:szCs w:val="24"/>
        </w:rPr>
        <w:t>Strike! Magazine</w:t>
      </w:r>
      <w:r w:rsidRPr="00E12155">
        <w:rPr>
          <w:rFonts w:ascii="Calibri" w:hAnsi="Calibri" w:cs="Calibri"/>
          <w:noProof/>
          <w:szCs w:val="24"/>
        </w:rPr>
        <w:t xml:space="preserve"> (2013).</w:t>
      </w:r>
    </w:p>
    <w:p w14:paraId="5682C85B" w14:textId="77777777" w:rsidR="00E12155" w:rsidRPr="00E12155" w:rsidRDefault="00E12155" w:rsidP="00E12155">
      <w:pPr>
        <w:widowControl w:val="0"/>
        <w:autoSpaceDE w:val="0"/>
        <w:autoSpaceDN w:val="0"/>
        <w:adjustRightInd w:val="0"/>
        <w:spacing w:line="240" w:lineRule="auto"/>
        <w:ind w:left="640" w:hanging="640"/>
        <w:rPr>
          <w:rFonts w:ascii="Calibri" w:hAnsi="Calibri" w:cs="Calibri"/>
          <w:noProof/>
          <w:szCs w:val="24"/>
        </w:rPr>
      </w:pPr>
      <w:r w:rsidRPr="00E12155">
        <w:rPr>
          <w:rFonts w:ascii="Calibri" w:hAnsi="Calibri" w:cs="Calibri"/>
          <w:noProof/>
          <w:szCs w:val="24"/>
        </w:rPr>
        <w:t>63.</w:t>
      </w:r>
      <w:r w:rsidRPr="00E12155">
        <w:rPr>
          <w:rFonts w:ascii="Calibri" w:hAnsi="Calibri" w:cs="Calibri"/>
          <w:noProof/>
          <w:szCs w:val="24"/>
        </w:rPr>
        <w:tab/>
        <w:t xml:space="preserve">Frey, C. B. &amp; Osborne, M. A. The future of employment: How susceptible are jobs to computerisation? </w:t>
      </w:r>
      <w:r w:rsidRPr="00E12155">
        <w:rPr>
          <w:rFonts w:ascii="Calibri" w:hAnsi="Calibri" w:cs="Calibri"/>
          <w:i/>
          <w:iCs/>
          <w:noProof/>
          <w:szCs w:val="24"/>
        </w:rPr>
        <w:t>Technol. Forecast. Soc. Change</w:t>
      </w:r>
      <w:r w:rsidRPr="00E12155">
        <w:rPr>
          <w:rFonts w:ascii="Calibri" w:hAnsi="Calibri" w:cs="Calibri"/>
          <w:noProof/>
          <w:szCs w:val="24"/>
        </w:rPr>
        <w:t xml:space="preserve"> </w:t>
      </w:r>
      <w:r w:rsidRPr="00E12155">
        <w:rPr>
          <w:rFonts w:ascii="Calibri" w:hAnsi="Calibri" w:cs="Calibri"/>
          <w:b/>
          <w:bCs/>
          <w:noProof/>
          <w:szCs w:val="24"/>
        </w:rPr>
        <w:t>114</w:t>
      </w:r>
      <w:r w:rsidRPr="00E12155">
        <w:rPr>
          <w:rFonts w:ascii="Calibri" w:hAnsi="Calibri" w:cs="Calibri"/>
          <w:noProof/>
          <w:szCs w:val="24"/>
        </w:rPr>
        <w:t>, 254–280 (2017).</w:t>
      </w:r>
    </w:p>
    <w:p w14:paraId="724D3E5F" w14:textId="77777777" w:rsidR="00E12155" w:rsidRPr="00E12155" w:rsidRDefault="00E12155" w:rsidP="00E12155">
      <w:pPr>
        <w:widowControl w:val="0"/>
        <w:autoSpaceDE w:val="0"/>
        <w:autoSpaceDN w:val="0"/>
        <w:adjustRightInd w:val="0"/>
        <w:spacing w:line="240" w:lineRule="auto"/>
        <w:ind w:left="640" w:hanging="640"/>
        <w:rPr>
          <w:rFonts w:ascii="Calibri" w:hAnsi="Calibri" w:cs="Calibri"/>
          <w:noProof/>
          <w:szCs w:val="24"/>
        </w:rPr>
      </w:pPr>
      <w:r w:rsidRPr="00E12155">
        <w:rPr>
          <w:rFonts w:ascii="Calibri" w:hAnsi="Calibri" w:cs="Calibri"/>
          <w:noProof/>
          <w:szCs w:val="24"/>
        </w:rPr>
        <w:t>64.</w:t>
      </w:r>
      <w:r w:rsidRPr="00E12155">
        <w:rPr>
          <w:rFonts w:ascii="Calibri" w:hAnsi="Calibri" w:cs="Calibri"/>
          <w:noProof/>
          <w:szCs w:val="24"/>
        </w:rPr>
        <w:tab/>
        <w:t>ONS. The probability of automation in England . https://www.ons.gov.uk/employmentandlabourmarket/peopleinwork/employmentandemployeetypes/articles/theprobabilityofautomationinengland/2011and2017 (2017).</w:t>
      </w:r>
    </w:p>
    <w:p w14:paraId="185EB142" w14:textId="77777777" w:rsidR="00E12155" w:rsidRPr="00E12155" w:rsidRDefault="00E12155" w:rsidP="00E12155">
      <w:pPr>
        <w:widowControl w:val="0"/>
        <w:autoSpaceDE w:val="0"/>
        <w:autoSpaceDN w:val="0"/>
        <w:adjustRightInd w:val="0"/>
        <w:spacing w:line="240" w:lineRule="auto"/>
        <w:ind w:left="640" w:hanging="640"/>
        <w:rPr>
          <w:rFonts w:ascii="Calibri" w:hAnsi="Calibri" w:cs="Calibri"/>
          <w:noProof/>
          <w:szCs w:val="24"/>
        </w:rPr>
      </w:pPr>
      <w:r w:rsidRPr="00E12155">
        <w:rPr>
          <w:rFonts w:ascii="Calibri" w:hAnsi="Calibri" w:cs="Calibri"/>
          <w:noProof/>
          <w:szCs w:val="24"/>
        </w:rPr>
        <w:t>65.</w:t>
      </w:r>
      <w:r w:rsidRPr="00E12155">
        <w:rPr>
          <w:rFonts w:ascii="Calibri" w:hAnsi="Calibri" w:cs="Calibri"/>
          <w:noProof/>
          <w:szCs w:val="24"/>
        </w:rPr>
        <w:tab/>
        <w:t xml:space="preserve">BEIS Parliamentary Committee. </w:t>
      </w:r>
      <w:r w:rsidRPr="00E12155">
        <w:rPr>
          <w:rFonts w:ascii="Calibri" w:hAnsi="Calibri" w:cs="Calibri"/>
          <w:i/>
          <w:iCs/>
          <w:noProof/>
          <w:szCs w:val="24"/>
        </w:rPr>
        <w:t>Automation and the future of work Twenty-third Report of Session 2017-19 Report, together with formal minutes relating to the report</w:t>
      </w:r>
      <w:r w:rsidRPr="00E12155">
        <w:rPr>
          <w:rFonts w:ascii="Calibri" w:hAnsi="Calibri" w:cs="Calibri"/>
          <w:noProof/>
          <w:szCs w:val="24"/>
        </w:rPr>
        <w:t>. https://publications.parliament.uk/pa/cm201719/cmselect/cmbeis/1093/1093.pdf (2019).</w:t>
      </w:r>
    </w:p>
    <w:p w14:paraId="03C2F670" w14:textId="77777777" w:rsidR="00E12155" w:rsidRPr="00E12155" w:rsidRDefault="00E12155" w:rsidP="00E12155">
      <w:pPr>
        <w:widowControl w:val="0"/>
        <w:autoSpaceDE w:val="0"/>
        <w:autoSpaceDN w:val="0"/>
        <w:adjustRightInd w:val="0"/>
        <w:spacing w:line="240" w:lineRule="auto"/>
        <w:ind w:left="640" w:hanging="640"/>
        <w:rPr>
          <w:rFonts w:ascii="Calibri" w:hAnsi="Calibri" w:cs="Calibri"/>
          <w:noProof/>
          <w:szCs w:val="24"/>
        </w:rPr>
      </w:pPr>
      <w:r w:rsidRPr="00E12155">
        <w:rPr>
          <w:rFonts w:ascii="Calibri" w:hAnsi="Calibri" w:cs="Calibri"/>
          <w:noProof/>
          <w:szCs w:val="24"/>
        </w:rPr>
        <w:t>66.</w:t>
      </w:r>
      <w:r w:rsidRPr="00E12155">
        <w:rPr>
          <w:rFonts w:ascii="Calibri" w:hAnsi="Calibri" w:cs="Calibri"/>
          <w:noProof/>
          <w:szCs w:val="24"/>
        </w:rPr>
        <w:tab/>
        <w:t xml:space="preserve">ONS. Average actual weekly hours of work for full-time workers (seasonally adjusted) - Office for National Statistics. </w:t>
      </w:r>
      <w:r w:rsidRPr="00E12155">
        <w:rPr>
          <w:rFonts w:ascii="Calibri" w:hAnsi="Calibri" w:cs="Calibri"/>
          <w:i/>
          <w:iCs/>
          <w:noProof/>
          <w:szCs w:val="24"/>
        </w:rPr>
        <w:t>Labour Market Statistics Time Series</w:t>
      </w:r>
      <w:r w:rsidRPr="00E12155">
        <w:rPr>
          <w:rFonts w:ascii="Calibri" w:hAnsi="Calibri" w:cs="Calibri"/>
          <w:noProof/>
          <w:szCs w:val="24"/>
        </w:rPr>
        <w:t xml:space="preserve"> https://www.ons.gov.uk/employmentandlabourmarket/peopleinwork/earningsandworkinghours/timeseries/ybuy/lms (2021).</w:t>
      </w:r>
    </w:p>
    <w:p w14:paraId="6974E8C6" w14:textId="77777777" w:rsidR="00E12155" w:rsidRPr="00E12155" w:rsidRDefault="00E12155" w:rsidP="00E12155">
      <w:pPr>
        <w:widowControl w:val="0"/>
        <w:autoSpaceDE w:val="0"/>
        <w:autoSpaceDN w:val="0"/>
        <w:adjustRightInd w:val="0"/>
        <w:spacing w:line="240" w:lineRule="auto"/>
        <w:ind w:left="640" w:hanging="640"/>
        <w:rPr>
          <w:rFonts w:ascii="Calibri" w:hAnsi="Calibri" w:cs="Calibri"/>
          <w:noProof/>
          <w:szCs w:val="24"/>
        </w:rPr>
      </w:pPr>
      <w:r w:rsidRPr="00E12155">
        <w:rPr>
          <w:rFonts w:ascii="Calibri" w:hAnsi="Calibri" w:cs="Calibri"/>
          <w:noProof/>
          <w:szCs w:val="24"/>
        </w:rPr>
        <w:t>67.</w:t>
      </w:r>
      <w:r w:rsidRPr="00E12155">
        <w:rPr>
          <w:rFonts w:ascii="Calibri" w:hAnsi="Calibri" w:cs="Calibri"/>
          <w:noProof/>
          <w:szCs w:val="24"/>
        </w:rPr>
        <w:tab/>
        <w:t xml:space="preserve">Schor, J. B. </w:t>
      </w:r>
      <w:r w:rsidRPr="00E12155">
        <w:rPr>
          <w:rFonts w:ascii="Calibri" w:hAnsi="Calibri" w:cs="Calibri"/>
          <w:i/>
          <w:iCs/>
          <w:noProof/>
          <w:szCs w:val="24"/>
        </w:rPr>
        <w:t>The Overworked American: The Unexpected Decline of Leisure.</w:t>
      </w:r>
      <w:r w:rsidRPr="00E12155">
        <w:rPr>
          <w:rFonts w:ascii="Calibri" w:hAnsi="Calibri" w:cs="Calibri"/>
          <w:noProof/>
          <w:szCs w:val="24"/>
        </w:rPr>
        <w:t xml:space="preserve"> (Basic Books, 1992).</w:t>
      </w:r>
    </w:p>
    <w:p w14:paraId="4512D5B6" w14:textId="77777777" w:rsidR="00E12155" w:rsidRPr="00E12155" w:rsidRDefault="00E12155" w:rsidP="00E12155">
      <w:pPr>
        <w:widowControl w:val="0"/>
        <w:autoSpaceDE w:val="0"/>
        <w:autoSpaceDN w:val="0"/>
        <w:adjustRightInd w:val="0"/>
        <w:spacing w:line="240" w:lineRule="auto"/>
        <w:ind w:left="640" w:hanging="640"/>
        <w:rPr>
          <w:rFonts w:ascii="Calibri" w:hAnsi="Calibri" w:cs="Calibri"/>
          <w:noProof/>
          <w:szCs w:val="24"/>
        </w:rPr>
      </w:pPr>
      <w:r w:rsidRPr="00E12155">
        <w:rPr>
          <w:rFonts w:ascii="Calibri" w:hAnsi="Calibri" w:cs="Calibri"/>
          <w:noProof/>
          <w:szCs w:val="24"/>
        </w:rPr>
        <w:t>68.</w:t>
      </w:r>
      <w:r w:rsidRPr="00E12155">
        <w:rPr>
          <w:rFonts w:ascii="Calibri" w:hAnsi="Calibri" w:cs="Calibri"/>
          <w:noProof/>
          <w:szCs w:val="24"/>
        </w:rPr>
        <w:tab/>
        <w:t xml:space="preserve">Stronge, W. &amp; Harper, A. </w:t>
      </w:r>
      <w:r w:rsidRPr="00E12155">
        <w:rPr>
          <w:rFonts w:ascii="Calibri" w:hAnsi="Calibri" w:cs="Calibri"/>
          <w:i/>
          <w:iCs/>
          <w:noProof/>
          <w:szCs w:val="24"/>
        </w:rPr>
        <w:t>The Shorter Working Week</w:t>
      </w:r>
      <w:r w:rsidRPr="00E12155">
        <w:rPr>
          <w:rFonts w:ascii="Calibri" w:hAnsi="Calibri" w:cs="Calibri"/>
          <w:noProof/>
          <w:szCs w:val="24"/>
        </w:rPr>
        <w:t>. https://autonomy.work/wp-content/uploads/2019/03/Shorter-working-week-docV6.pdf (2019).</w:t>
      </w:r>
    </w:p>
    <w:p w14:paraId="7E9D8287" w14:textId="77777777" w:rsidR="00E12155" w:rsidRPr="00E12155" w:rsidRDefault="00E12155" w:rsidP="00E12155">
      <w:pPr>
        <w:widowControl w:val="0"/>
        <w:autoSpaceDE w:val="0"/>
        <w:autoSpaceDN w:val="0"/>
        <w:adjustRightInd w:val="0"/>
        <w:spacing w:line="240" w:lineRule="auto"/>
        <w:ind w:left="640" w:hanging="640"/>
        <w:rPr>
          <w:rFonts w:ascii="Calibri" w:hAnsi="Calibri" w:cs="Calibri"/>
          <w:noProof/>
          <w:szCs w:val="24"/>
        </w:rPr>
      </w:pPr>
      <w:r w:rsidRPr="00E12155">
        <w:rPr>
          <w:rFonts w:ascii="Calibri" w:hAnsi="Calibri" w:cs="Calibri"/>
          <w:noProof/>
          <w:szCs w:val="24"/>
        </w:rPr>
        <w:t>69.</w:t>
      </w:r>
      <w:r w:rsidRPr="00E12155">
        <w:rPr>
          <w:rFonts w:ascii="Calibri" w:hAnsi="Calibri" w:cs="Calibri"/>
          <w:noProof/>
          <w:szCs w:val="24"/>
        </w:rPr>
        <w:tab/>
        <w:t xml:space="preserve">Committee on Climate Change. </w:t>
      </w:r>
      <w:r w:rsidRPr="00E12155">
        <w:rPr>
          <w:rFonts w:ascii="Calibri" w:hAnsi="Calibri" w:cs="Calibri"/>
          <w:i/>
          <w:iCs/>
          <w:noProof/>
          <w:szCs w:val="24"/>
        </w:rPr>
        <w:t>The Sixth Carbon Budget: The UK’s Path to Net Zero</w:t>
      </w:r>
      <w:r w:rsidRPr="00E12155">
        <w:rPr>
          <w:rFonts w:ascii="Calibri" w:hAnsi="Calibri" w:cs="Calibri"/>
          <w:noProof/>
          <w:szCs w:val="24"/>
        </w:rPr>
        <w:t>. www.theccc.org.uk/publications (2020).</w:t>
      </w:r>
    </w:p>
    <w:p w14:paraId="7BA565F5" w14:textId="77777777" w:rsidR="00E12155" w:rsidRPr="00E12155" w:rsidRDefault="00E12155" w:rsidP="00E12155">
      <w:pPr>
        <w:widowControl w:val="0"/>
        <w:autoSpaceDE w:val="0"/>
        <w:autoSpaceDN w:val="0"/>
        <w:adjustRightInd w:val="0"/>
        <w:spacing w:line="240" w:lineRule="auto"/>
        <w:ind w:left="640" w:hanging="640"/>
        <w:rPr>
          <w:rFonts w:ascii="Calibri" w:hAnsi="Calibri" w:cs="Calibri"/>
          <w:noProof/>
          <w:szCs w:val="24"/>
        </w:rPr>
      </w:pPr>
      <w:r w:rsidRPr="00E12155">
        <w:rPr>
          <w:rFonts w:ascii="Calibri" w:hAnsi="Calibri" w:cs="Calibri"/>
          <w:noProof/>
          <w:szCs w:val="24"/>
        </w:rPr>
        <w:lastRenderedPageBreak/>
        <w:t>70.</w:t>
      </w:r>
      <w:r w:rsidRPr="00E12155">
        <w:rPr>
          <w:rFonts w:ascii="Calibri" w:hAnsi="Calibri" w:cs="Calibri"/>
          <w:noProof/>
          <w:szCs w:val="24"/>
        </w:rPr>
        <w:tab/>
        <w:t xml:space="preserve">CCC. </w:t>
      </w:r>
      <w:r w:rsidRPr="00E12155">
        <w:rPr>
          <w:rFonts w:ascii="Calibri" w:hAnsi="Calibri" w:cs="Calibri"/>
          <w:i/>
          <w:iCs/>
          <w:noProof/>
          <w:szCs w:val="24"/>
        </w:rPr>
        <w:t>Land use: Reducing emissions and preparing for climate change - Climate Change Committee</w:t>
      </w:r>
      <w:r w:rsidRPr="00E12155">
        <w:rPr>
          <w:rFonts w:ascii="Calibri" w:hAnsi="Calibri" w:cs="Calibri"/>
          <w:noProof/>
          <w:szCs w:val="24"/>
        </w:rPr>
        <w:t>. https://www.theccc.org.uk/publication/land-use-reducing-emissions-and-preparing-for-climate-change/ (2018).</w:t>
      </w:r>
    </w:p>
    <w:p w14:paraId="13455E05" w14:textId="77777777" w:rsidR="00E12155" w:rsidRPr="00E12155" w:rsidRDefault="00E12155" w:rsidP="00E12155">
      <w:pPr>
        <w:widowControl w:val="0"/>
        <w:autoSpaceDE w:val="0"/>
        <w:autoSpaceDN w:val="0"/>
        <w:adjustRightInd w:val="0"/>
        <w:spacing w:line="240" w:lineRule="auto"/>
        <w:ind w:left="640" w:hanging="640"/>
        <w:rPr>
          <w:rFonts w:ascii="Calibri" w:hAnsi="Calibri" w:cs="Calibri"/>
          <w:noProof/>
          <w:szCs w:val="24"/>
        </w:rPr>
      </w:pPr>
      <w:r w:rsidRPr="00E12155">
        <w:rPr>
          <w:rFonts w:ascii="Calibri" w:hAnsi="Calibri" w:cs="Calibri"/>
          <w:noProof/>
          <w:szCs w:val="24"/>
        </w:rPr>
        <w:t>71.</w:t>
      </w:r>
      <w:r w:rsidRPr="00E12155">
        <w:rPr>
          <w:rFonts w:ascii="Calibri" w:hAnsi="Calibri" w:cs="Calibri"/>
          <w:noProof/>
          <w:szCs w:val="24"/>
        </w:rPr>
        <w:tab/>
        <w:t xml:space="preserve">Hammond, G. </w:t>
      </w:r>
      <w:r w:rsidRPr="00E12155">
        <w:rPr>
          <w:rFonts w:ascii="Calibri" w:hAnsi="Calibri" w:cs="Calibri"/>
          <w:i/>
          <w:iCs/>
          <w:noProof/>
          <w:szCs w:val="24"/>
        </w:rPr>
        <w:t>Sector analysis of Industrial Energy</w:t>
      </w:r>
      <w:r w:rsidRPr="00E12155">
        <w:rPr>
          <w:rFonts w:ascii="Calibri" w:hAnsi="Calibri" w:cs="Calibri"/>
          <w:noProof/>
          <w:szCs w:val="24"/>
        </w:rPr>
        <w:t>. (2018).</w:t>
      </w:r>
    </w:p>
    <w:p w14:paraId="67349C96" w14:textId="77777777" w:rsidR="00E12155" w:rsidRPr="00E12155" w:rsidRDefault="00E12155" w:rsidP="00E12155">
      <w:pPr>
        <w:widowControl w:val="0"/>
        <w:autoSpaceDE w:val="0"/>
        <w:autoSpaceDN w:val="0"/>
        <w:adjustRightInd w:val="0"/>
        <w:spacing w:line="240" w:lineRule="auto"/>
        <w:ind w:left="640" w:hanging="640"/>
        <w:rPr>
          <w:rFonts w:ascii="Calibri" w:hAnsi="Calibri" w:cs="Calibri"/>
          <w:noProof/>
          <w:szCs w:val="24"/>
        </w:rPr>
      </w:pPr>
      <w:r w:rsidRPr="00E12155">
        <w:rPr>
          <w:rFonts w:ascii="Calibri" w:hAnsi="Calibri" w:cs="Calibri"/>
          <w:noProof/>
          <w:szCs w:val="24"/>
        </w:rPr>
        <w:t>72.</w:t>
      </w:r>
      <w:r w:rsidRPr="00E12155">
        <w:rPr>
          <w:rFonts w:ascii="Calibri" w:hAnsi="Calibri" w:cs="Calibri"/>
          <w:noProof/>
          <w:szCs w:val="24"/>
        </w:rPr>
        <w:tab/>
        <w:t>NHS Digital. Health Survey for England 2017. https://digital.nhs.uk/data-and-information/publications/statistical/health-survey-for-england/2017 (2017).</w:t>
      </w:r>
    </w:p>
    <w:p w14:paraId="68681E3A" w14:textId="77777777" w:rsidR="00E12155" w:rsidRPr="00E12155" w:rsidRDefault="00E12155" w:rsidP="00E12155">
      <w:pPr>
        <w:widowControl w:val="0"/>
        <w:autoSpaceDE w:val="0"/>
        <w:autoSpaceDN w:val="0"/>
        <w:adjustRightInd w:val="0"/>
        <w:spacing w:line="240" w:lineRule="auto"/>
        <w:ind w:left="640" w:hanging="640"/>
        <w:rPr>
          <w:rFonts w:ascii="Calibri" w:hAnsi="Calibri" w:cs="Calibri"/>
          <w:noProof/>
          <w:szCs w:val="24"/>
        </w:rPr>
      </w:pPr>
      <w:r w:rsidRPr="00E12155">
        <w:rPr>
          <w:rFonts w:ascii="Calibri" w:hAnsi="Calibri" w:cs="Calibri"/>
          <w:noProof/>
          <w:szCs w:val="24"/>
        </w:rPr>
        <w:t>73.</w:t>
      </w:r>
      <w:r w:rsidRPr="00E12155">
        <w:rPr>
          <w:rFonts w:ascii="Calibri" w:hAnsi="Calibri" w:cs="Calibri"/>
          <w:noProof/>
          <w:szCs w:val="24"/>
        </w:rPr>
        <w:tab/>
        <w:t xml:space="preserve">HM Government. </w:t>
      </w:r>
      <w:r w:rsidRPr="00E12155">
        <w:rPr>
          <w:rFonts w:ascii="Calibri" w:hAnsi="Calibri" w:cs="Calibri"/>
          <w:i/>
          <w:iCs/>
          <w:noProof/>
          <w:szCs w:val="24"/>
        </w:rPr>
        <w:t>OUR WASTE, OUR RESOURCES: A STRATEGY FOR ENGLAND OUR RESOURCES: A STRATEGY FOR ENGLAND OUR WASTE, OUR RESOURCES: A STRATEGY FOR ENGLAND 2</w:t>
      </w:r>
      <w:r w:rsidRPr="00E12155">
        <w:rPr>
          <w:rFonts w:ascii="Calibri" w:hAnsi="Calibri" w:cs="Calibri"/>
          <w:noProof/>
          <w:szCs w:val="24"/>
        </w:rPr>
        <w:t>. www.nationalarchives.gov.uk/doc/open-government-licence/version/3/oremailPSI@nationalarchives.gsi.gov.uk (2018).</w:t>
      </w:r>
    </w:p>
    <w:p w14:paraId="7D5C7AF2" w14:textId="77777777" w:rsidR="00E12155" w:rsidRPr="00E12155" w:rsidRDefault="00E12155" w:rsidP="00E12155">
      <w:pPr>
        <w:widowControl w:val="0"/>
        <w:autoSpaceDE w:val="0"/>
        <w:autoSpaceDN w:val="0"/>
        <w:adjustRightInd w:val="0"/>
        <w:spacing w:line="240" w:lineRule="auto"/>
        <w:ind w:left="640" w:hanging="640"/>
        <w:rPr>
          <w:rFonts w:ascii="Calibri" w:hAnsi="Calibri" w:cs="Calibri"/>
          <w:noProof/>
          <w:szCs w:val="24"/>
        </w:rPr>
      </w:pPr>
      <w:r w:rsidRPr="00E12155">
        <w:rPr>
          <w:rFonts w:ascii="Calibri" w:hAnsi="Calibri" w:cs="Calibri"/>
          <w:noProof/>
          <w:szCs w:val="24"/>
        </w:rPr>
        <w:t>74.</w:t>
      </w:r>
      <w:r w:rsidRPr="00E12155">
        <w:rPr>
          <w:rFonts w:ascii="Calibri" w:hAnsi="Calibri" w:cs="Calibri"/>
          <w:noProof/>
          <w:szCs w:val="24"/>
        </w:rPr>
        <w:tab/>
        <w:t xml:space="preserve">Bajželj, B. </w:t>
      </w:r>
      <w:r w:rsidRPr="00E12155">
        <w:rPr>
          <w:rFonts w:ascii="Calibri" w:hAnsi="Calibri" w:cs="Calibri"/>
          <w:i/>
          <w:iCs/>
          <w:noProof/>
          <w:szCs w:val="24"/>
        </w:rPr>
        <w:t>et al.</w:t>
      </w:r>
      <w:r w:rsidRPr="00E12155">
        <w:rPr>
          <w:rFonts w:ascii="Calibri" w:hAnsi="Calibri" w:cs="Calibri"/>
          <w:noProof/>
          <w:szCs w:val="24"/>
        </w:rPr>
        <w:t xml:space="preserve"> Importance of food-demand management for climate mitigation. </w:t>
      </w:r>
      <w:r w:rsidRPr="00E12155">
        <w:rPr>
          <w:rFonts w:ascii="Calibri" w:hAnsi="Calibri" w:cs="Calibri"/>
          <w:i/>
          <w:iCs/>
          <w:noProof/>
          <w:szCs w:val="24"/>
        </w:rPr>
        <w:t>Nat. Clim. Chang.</w:t>
      </w:r>
      <w:r w:rsidRPr="00E12155">
        <w:rPr>
          <w:rFonts w:ascii="Calibri" w:hAnsi="Calibri" w:cs="Calibri"/>
          <w:noProof/>
          <w:szCs w:val="24"/>
        </w:rPr>
        <w:t xml:space="preserve"> </w:t>
      </w:r>
      <w:r w:rsidRPr="00E12155">
        <w:rPr>
          <w:rFonts w:ascii="Calibri" w:hAnsi="Calibri" w:cs="Calibri"/>
          <w:b/>
          <w:bCs/>
          <w:noProof/>
          <w:szCs w:val="24"/>
        </w:rPr>
        <w:t>4</w:t>
      </w:r>
      <w:r w:rsidRPr="00E12155">
        <w:rPr>
          <w:rFonts w:ascii="Calibri" w:hAnsi="Calibri" w:cs="Calibri"/>
          <w:noProof/>
          <w:szCs w:val="24"/>
        </w:rPr>
        <w:t>, 924–929 (2014).</w:t>
      </w:r>
    </w:p>
    <w:p w14:paraId="5FE59AFC" w14:textId="77777777" w:rsidR="00E12155" w:rsidRPr="00E12155" w:rsidRDefault="00E12155" w:rsidP="00E12155">
      <w:pPr>
        <w:widowControl w:val="0"/>
        <w:autoSpaceDE w:val="0"/>
        <w:autoSpaceDN w:val="0"/>
        <w:adjustRightInd w:val="0"/>
        <w:spacing w:line="240" w:lineRule="auto"/>
        <w:ind w:left="640" w:hanging="640"/>
        <w:rPr>
          <w:rFonts w:ascii="Calibri" w:hAnsi="Calibri" w:cs="Calibri"/>
          <w:noProof/>
          <w:szCs w:val="24"/>
        </w:rPr>
      </w:pPr>
      <w:r w:rsidRPr="00E12155">
        <w:rPr>
          <w:rFonts w:ascii="Calibri" w:hAnsi="Calibri" w:cs="Calibri"/>
          <w:noProof/>
          <w:szCs w:val="24"/>
        </w:rPr>
        <w:t>75.</w:t>
      </w:r>
      <w:r w:rsidRPr="00E12155">
        <w:rPr>
          <w:rFonts w:ascii="Calibri" w:hAnsi="Calibri" w:cs="Calibri"/>
          <w:noProof/>
          <w:szCs w:val="24"/>
        </w:rPr>
        <w:tab/>
        <w:t xml:space="preserve">Stehfest, E. </w:t>
      </w:r>
      <w:r w:rsidRPr="00E12155">
        <w:rPr>
          <w:rFonts w:ascii="Calibri" w:hAnsi="Calibri" w:cs="Calibri"/>
          <w:i/>
          <w:iCs/>
          <w:noProof/>
          <w:szCs w:val="24"/>
        </w:rPr>
        <w:t>et al.</w:t>
      </w:r>
      <w:r w:rsidRPr="00E12155">
        <w:rPr>
          <w:rFonts w:ascii="Calibri" w:hAnsi="Calibri" w:cs="Calibri"/>
          <w:noProof/>
          <w:szCs w:val="24"/>
        </w:rPr>
        <w:t xml:space="preserve"> Climate benefits of changing diet. </w:t>
      </w:r>
      <w:r w:rsidRPr="00E12155">
        <w:rPr>
          <w:rFonts w:ascii="Calibri" w:hAnsi="Calibri" w:cs="Calibri"/>
          <w:i/>
          <w:iCs/>
          <w:noProof/>
          <w:szCs w:val="24"/>
        </w:rPr>
        <w:t>Clim. Chang. 2009 951</w:t>
      </w:r>
      <w:r w:rsidRPr="00E12155">
        <w:rPr>
          <w:rFonts w:ascii="Calibri" w:hAnsi="Calibri" w:cs="Calibri"/>
          <w:noProof/>
          <w:szCs w:val="24"/>
        </w:rPr>
        <w:t xml:space="preserve"> </w:t>
      </w:r>
      <w:r w:rsidRPr="00E12155">
        <w:rPr>
          <w:rFonts w:ascii="Calibri" w:hAnsi="Calibri" w:cs="Calibri"/>
          <w:b/>
          <w:bCs/>
          <w:noProof/>
          <w:szCs w:val="24"/>
        </w:rPr>
        <w:t>95</w:t>
      </w:r>
      <w:r w:rsidRPr="00E12155">
        <w:rPr>
          <w:rFonts w:ascii="Calibri" w:hAnsi="Calibri" w:cs="Calibri"/>
          <w:noProof/>
          <w:szCs w:val="24"/>
        </w:rPr>
        <w:t>, 83–102 (2009).</w:t>
      </w:r>
    </w:p>
    <w:p w14:paraId="0677A62B" w14:textId="77777777" w:rsidR="00E12155" w:rsidRPr="00E12155" w:rsidRDefault="00E12155" w:rsidP="00E12155">
      <w:pPr>
        <w:widowControl w:val="0"/>
        <w:autoSpaceDE w:val="0"/>
        <w:autoSpaceDN w:val="0"/>
        <w:adjustRightInd w:val="0"/>
        <w:spacing w:line="240" w:lineRule="auto"/>
        <w:ind w:left="640" w:hanging="640"/>
        <w:rPr>
          <w:rFonts w:ascii="Calibri" w:hAnsi="Calibri" w:cs="Calibri"/>
          <w:noProof/>
          <w:szCs w:val="24"/>
        </w:rPr>
      </w:pPr>
      <w:r w:rsidRPr="00E12155">
        <w:rPr>
          <w:rFonts w:ascii="Calibri" w:hAnsi="Calibri" w:cs="Calibri"/>
          <w:noProof/>
          <w:szCs w:val="24"/>
        </w:rPr>
        <w:t>76.</w:t>
      </w:r>
      <w:r w:rsidRPr="00E12155">
        <w:rPr>
          <w:rFonts w:ascii="Calibri" w:hAnsi="Calibri" w:cs="Calibri"/>
          <w:noProof/>
          <w:szCs w:val="24"/>
        </w:rPr>
        <w:tab/>
        <w:t>Society, T. V. Statistics - The Vegan Society. https://www.vegansociety.com/news/media/statistics. (2019).</w:t>
      </w:r>
    </w:p>
    <w:p w14:paraId="372E7353" w14:textId="77777777" w:rsidR="00E12155" w:rsidRPr="00E12155" w:rsidRDefault="00E12155" w:rsidP="00E12155">
      <w:pPr>
        <w:widowControl w:val="0"/>
        <w:autoSpaceDE w:val="0"/>
        <w:autoSpaceDN w:val="0"/>
        <w:adjustRightInd w:val="0"/>
        <w:spacing w:line="240" w:lineRule="auto"/>
        <w:ind w:left="640" w:hanging="640"/>
        <w:rPr>
          <w:rFonts w:ascii="Calibri" w:hAnsi="Calibri" w:cs="Calibri"/>
          <w:noProof/>
          <w:szCs w:val="24"/>
        </w:rPr>
      </w:pPr>
      <w:r w:rsidRPr="00E12155">
        <w:rPr>
          <w:rFonts w:ascii="Calibri" w:hAnsi="Calibri" w:cs="Calibri"/>
          <w:noProof/>
          <w:szCs w:val="24"/>
        </w:rPr>
        <w:t>77.</w:t>
      </w:r>
      <w:r w:rsidRPr="00E12155">
        <w:rPr>
          <w:rFonts w:ascii="Calibri" w:hAnsi="Calibri" w:cs="Calibri"/>
          <w:noProof/>
          <w:szCs w:val="24"/>
        </w:rPr>
        <w:tab/>
        <w:t xml:space="preserve">BEIS. </w:t>
      </w:r>
      <w:r w:rsidRPr="00E12155">
        <w:rPr>
          <w:rFonts w:ascii="Calibri" w:hAnsi="Calibri" w:cs="Calibri"/>
          <w:i/>
          <w:iCs/>
          <w:noProof/>
          <w:szCs w:val="24"/>
        </w:rPr>
        <w:t>DIGEST OF UNITED KINGDOM ENERGY STATISTICS 2020</w:t>
      </w:r>
      <w:r w:rsidRPr="00E12155">
        <w:rPr>
          <w:rFonts w:ascii="Calibri" w:hAnsi="Calibri" w:cs="Calibri"/>
          <w:noProof/>
          <w:szCs w:val="24"/>
        </w:rPr>
        <w:t>. www.gov.uk/government/organisations/department-for-business-energy-and- (2020).</w:t>
      </w:r>
    </w:p>
    <w:p w14:paraId="0C0AF75F" w14:textId="77777777" w:rsidR="00E12155" w:rsidRPr="00E12155" w:rsidRDefault="00E12155" w:rsidP="00E12155">
      <w:pPr>
        <w:widowControl w:val="0"/>
        <w:autoSpaceDE w:val="0"/>
        <w:autoSpaceDN w:val="0"/>
        <w:adjustRightInd w:val="0"/>
        <w:spacing w:line="240" w:lineRule="auto"/>
        <w:ind w:left="640" w:hanging="640"/>
        <w:rPr>
          <w:rFonts w:ascii="Calibri" w:hAnsi="Calibri" w:cs="Calibri"/>
          <w:noProof/>
          <w:szCs w:val="24"/>
        </w:rPr>
      </w:pPr>
      <w:r w:rsidRPr="00E12155">
        <w:rPr>
          <w:rFonts w:ascii="Calibri" w:hAnsi="Calibri" w:cs="Calibri"/>
          <w:noProof/>
          <w:szCs w:val="24"/>
        </w:rPr>
        <w:t>78.</w:t>
      </w:r>
      <w:r w:rsidRPr="00E12155">
        <w:rPr>
          <w:rFonts w:ascii="Calibri" w:hAnsi="Calibri" w:cs="Calibri"/>
          <w:noProof/>
          <w:szCs w:val="24"/>
        </w:rPr>
        <w:tab/>
        <w:t xml:space="preserve">Maclean, K., Sansom, R., Watson, T. &amp; Gross, R. </w:t>
      </w:r>
      <w:r w:rsidRPr="00E12155">
        <w:rPr>
          <w:rFonts w:ascii="Calibri" w:hAnsi="Calibri" w:cs="Calibri"/>
          <w:i/>
          <w:iCs/>
          <w:noProof/>
          <w:szCs w:val="24"/>
        </w:rPr>
        <w:t>Managing Heat System Decarbonisation: Comparing the impacts and costs of transitions in heat infrastructure Final Report Acknowledgment</w:t>
      </w:r>
      <w:r w:rsidRPr="00E12155">
        <w:rPr>
          <w:rFonts w:ascii="Calibri" w:hAnsi="Calibri" w:cs="Calibri"/>
          <w:noProof/>
          <w:szCs w:val="24"/>
        </w:rPr>
        <w:t>. https://www.imperial.ac.uk/media/imperial-college/research-centres-and-groups/icept/Heat-infrastructure-paper.pdf (2016).</w:t>
      </w:r>
    </w:p>
    <w:p w14:paraId="1BC09E2D" w14:textId="77777777" w:rsidR="00E12155" w:rsidRPr="00E12155" w:rsidRDefault="00E12155" w:rsidP="00E12155">
      <w:pPr>
        <w:widowControl w:val="0"/>
        <w:autoSpaceDE w:val="0"/>
        <w:autoSpaceDN w:val="0"/>
        <w:adjustRightInd w:val="0"/>
        <w:spacing w:line="240" w:lineRule="auto"/>
        <w:ind w:left="640" w:hanging="640"/>
        <w:rPr>
          <w:rFonts w:ascii="Calibri" w:hAnsi="Calibri" w:cs="Calibri"/>
          <w:noProof/>
          <w:szCs w:val="24"/>
        </w:rPr>
      </w:pPr>
      <w:r w:rsidRPr="00E12155">
        <w:rPr>
          <w:rFonts w:ascii="Calibri" w:hAnsi="Calibri" w:cs="Calibri"/>
          <w:noProof/>
          <w:szCs w:val="24"/>
        </w:rPr>
        <w:t>79.</w:t>
      </w:r>
      <w:r w:rsidRPr="00E12155">
        <w:rPr>
          <w:rFonts w:ascii="Calibri" w:hAnsi="Calibri" w:cs="Calibri"/>
          <w:noProof/>
          <w:szCs w:val="24"/>
        </w:rPr>
        <w:tab/>
        <w:t xml:space="preserve">Rosenow, J. </w:t>
      </w:r>
      <w:r w:rsidRPr="00E12155">
        <w:rPr>
          <w:rFonts w:ascii="Calibri" w:hAnsi="Calibri" w:cs="Calibri"/>
          <w:i/>
          <w:iCs/>
          <w:noProof/>
          <w:szCs w:val="24"/>
        </w:rPr>
        <w:t>et al.</w:t>
      </w:r>
      <w:r w:rsidRPr="00E12155">
        <w:rPr>
          <w:rFonts w:ascii="Calibri" w:hAnsi="Calibri" w:cs="Calibri"/>
          <w:noProof/>
          <w:szCs w:val="24"/>
        </w:rPr>
        <w:t xml:space="preserve"> The pathway to net zero heating in the UK. </w:t>
      </w:r>
      <w:r w:rsidRPr="00E12155">
        <w:rPr>
          <w:rFonts w:ascii="Calibri" w:hAnsi="Calibri" w:cs="Calibri"/>
          <w:i/>
          <w:iCs/>
          <w:noProof/>
          <w:szCs w:val="24"/>
        </w:rPr>
        <w:t xml:space="preserve">A UKERC policy Br. </w:t>
      </w:r>
      <w:r w:rsidRPr="00E12155">
        <w:rPr>
          <w:rFonts w:ascii="Calibri" w:hAnsi="Calibri" w:cs="Calibri"/>
          <w:noProof/>
          <w:szCs w:val="24"/>
        </w:rPr>
        <w:t xml:space="preserve"> 1–11 (2019) doi:10.5286/ukerc.edc.000941.</w:t>
      </w:r>
    </w:p>
    <w:p w14:paraId="4780F3B2" w14:textId="77777777" w:rsidR="00E12155" w:rsidRPr="00E12155" w:rsidRDefault="00E12155" w:rsidP="00E12155">
      <w:pPr>
        <w:widowControl w:val="0"/>
        <w:autoSpaceDE w:val="0"/>
        <w:autoSpaceDN w:val="0"/>
        <w:adjustRightInd w:val="0"/>
        <w:spacing w:line="240" w:lineRule="auto"/>
        <w:ind w:left="640" w:hanging="640"/>
        <w:rPr>
          <w:rFonts w:ascii="Calibri" w:hAnsi="Calibri" w:cs="Calibri"/>
          <w:noProof/>
          <w:szCs w:val="24"/>
        </w:rPr>
      </w:pPr>
      <w:r w:rsidRPr="00E12155">
        <w:rPr>
          <w:rFonts w:ascii="Calibri" w:hAnsi="Calibri" w:cs="Calibri"/>
          <w:noProof/>
          <w:szCs w:val="24"/>
        </w:rPr>
        <w:t>80.</w:t>
      </w:r>
      <w:r w:rsidRPr="00E12155">
        <w:rPr>
          <w:rFonts w:ascii="Calibri" w:hAnsi="Calibri" w:cs="Calibri"/>
          <w:noProof/>
          <w:szCs w:val="24"/>
        </w:rPr>
        <w:tab/>
        <w:t xml:space="preserve">HM Government. </w:t>
      </w:r>
      <w:r w:rsidRPr="00E12155">
        <w:rPr>
          <w:rFonts w:ascii="Calibri" w:hAnsi="Calibri" w:cs="Calibri"/>
          <w:i/>
          <w:iCs/>
          <w:noProof/>
          <w:szCs w:val="24"/>
        </w:rPr>
        <w:t>Net Zero Strategy: Build Back Greener - October 2021</w:t>
      </w:r>
      <w:r w:rsidRPr="00E12155">
        <w:rPr>
          <w:rFonts w:ascii="Calibri" w:hAnsi="Calibri" w:cs="Calibri"/>
          <w:noProof/>
          <w:szCs w:val="24"/>
        </w:rPr>
        <w:t>. www.gov.uk/official-documents. (2021).</w:t>
      </w:r>
    </w:p>
    <w:p w14:paraId="3911DB37" w14:textId="77777777" w:rsidR="00E12155" w:rsidRPr="00E12155" w:rsidRDefault="00E12155" w:rsidP="00E12155">
      <w:pPr>
        <w:widowControl w:val="0"/>
        <w:autoSpaceDE w:val="0"/>
        <w:autoSpaceDN w:val="0"/>
        <w:adjustRightInd w:val="0"/>
        <w:spacing w:line="240" w:lineRule="auto"/>
        <w:ind w:left="640" w:hanging="640"/>
        <w:rPr>
          <w:rFonts w:ascii="Calibri" w:hAnsi="Calibri" w:cs="Calibri"/>
          <w:noProof/>
          <w:szCs w:val="24"/>
        </w:rPr>
      </w:pPr>
      <w:r w:rsidRPr="00E12155">
        <w:rPr>
          <w:rFonts w:ascii="Calibri" w:hAnsi="Calibri" w:cs="Calibri"/>
          <w:noProof/>
          <w:szCs w:val="24"/>
        </w:rPr>
        <w:t>81.</w:t>
      </w:r>
      <w:r w:rsidRPr="00E12155">
        <w:rPr>
          <w:rFonts w:ascii="Calibri" w:hAnsi="Calibri" w:cs="Calibri"/>
          <w:noProof/>
          <w:szCs w:val="24"/>
        </w:rPr>
        <w:tab/>
        <w:t>BEIS. Final UK greenhouse gas emissions national statistics: 1990 to 2019 - GOV.UK. https://www.gov.uk/government/statistics/final-uk-greenhouse-gas-emissions-national-statistics-1990-to-2019 (2021).</w:t>
      </w:r>
    </w:p>
    <w:p w14:paraId="7D13A7DD" w14:textId="77777777" w:rsidR="00E12155" w:rsidRPr="00E12155" w:rsidRDefault="00E12155" w:rsidP="00E12155">
      <w:pPr>
        <w:widowControl w:val="0"/>
        <w:autoSpaceDE w:val="0"/>
        <w:autoSpaceDN w:val="0"/>
        <w:adjustRightInd w:val="0"/>
        <w:spacing w:line="240" w:lineRule="auto"/>
        <w:ind w:left="640" w:hanging="640"/>
        <w:rPr>
          <w:rFonts w:ascii="Calibri" w:hAnsi="Calibri" w:cs="Calibri"/>
          <w:noProof/>
          <w:szCs w:val="24"/>
        </w:rPr>
      </w:pPr>
      <w:r w:rsidRPr="00E12155">
        <w:rPr>
          <w:rFonts w:ascii="Calibri" w:hAnsi="Calibri" w:cs="Calibri"/>
          <w:noProof/>
          <w:szCs w:val="24"/>
        </w:rPr>
        <w:t>82.</w:t>
      </w:r>
      <w:r w:rsidRPr="00E12155">
        <w:rPr>
          <w:rFonts w:ascii="Calibri" w:hAnsi="Calibri" w:cs="Calibri"/>
          <w:noProof/>
          <w:szCs w:val="24"/>
        </w:rPr>
        <w:tab/>
        <w:t xml:space="preserve">BEIS. Building Energy Efficiency Survey (BEES) - GOV.UK. </w:t>
      </w:r>
      <w:r w:rsidRPr="00E12155">
        <w:rPr>
          <w:rFonts w:ascii="Calibri" w:hAnsi="Calibri" w:cs="Calibri"/>
          <w:i/>
          <w:iCs/>
          <w:noProof/>
          <w:szCs w:val="24"/>
        </w:rPr>
        <w:t>Building Energy Efficiency Servey</w:t>
      </w:r>
      <w:r w:rsidRPr="00E12155">
        <w:rPr>
          <w:rFonts w:ascii="Calibri" w:hAnsi="Calibri" w:cs="Calibri"/>
          <w:noProof/>
          <w:szCs w:val="24"/>
        </w:rPr>
        <w:t xml:space="preserve"> https://www.gov.uk/government/publications/building-energy-efficiency-survey-bees (2016).</w:t>
      </w:r>
    </w:p>
    <w:p w14:paraId="761BD626" w14:textId="77777777" w:rsidR="00E12155" w:rsidRPr="00E12155" w:rsidRDefault="00E12155" w:rsidP="00E12155">
      <w:pPr>
        <w:widowControl w:val="0"/>
        <w:autoSpaceDE w:val="0"/>
        <w:autoSpaceDN w:val="0"/>
        <w:adjustRightInd w:val="0"/>
        <w:spacing w:line="240" w:lineRule="auto"/>
        <w:ind w:left="640" w:hanging="640"/>
        <w:rPr>
          <w:rFonts w:ascii="Calibri" w:hAnsi="Calibri" w:cs="Calibri"/>
          <w:noProof/>
          <w:szCs w:val="24"/>
        </w:rPr>
      </w:pPr>
      <w:r w:rsidRPr="00E12155">
        <w:rPr>
          <w:rFonts w:ascii="Calibri" w:hAnsi="Calibri" w:cs="Calibri"/>
          <w:noProof/>
          <w:szCs w:val="24"/>
        </w:rPr>
        <w:t>83.</w:t>
      </w:r>
      <w:r w:rsidRPr="00E12155">
        <w:rPr>
          <w:rFonts w:ascii="Calibri" w:hAnsi="Calibri" w:cs="Calibri"/>
          <w:noProof/>
          <w:szCs w:val="24"/>
        </w:rPr>
        <w:tab/>
        <w:t xml:space="preserve">CCC. </w:t>
      </w:r>
      <w:r w:rsidRPr="00E12155">
        <w:rPr>
          <w:rFonts w:ascii="Calibri" w:hAnsi="Calibri" w:cs="Calibri"/>
          <w:i/>
          <w:iCs/>
          <w:noProof/>
          <w:szCs w:val="24"/>
        </w:rPr>
        <w:t>UK housing: Fit for the future?</w:t>
      </w:r>
      <w:r w:rsidRPr="00E12155">
        <w:rPr>
          <w:rFonts w:ascii="Calibri" w:hAnsi="Calibri" w:cs="Calibri"/>
          <w:noProof/>
          <w:szCs w:val="24"/>
        </w:rPr>
        <w:t xml:space="preserve"> https://www.theccc.org.uk/publication/uk-housing-fit-for-the-future/ (2019).</w:t>
      </w:r>
    </w:p>
    <w:p w14:paraId="24F35C3A" w14:textId="77777777" w:rsidR="00E12155" w:rsidRPr="00E12155" w:rsidRDefault="00E12155" w:rsidP="00E12155">
      <w:pPr>
        <w:widowControl w:val="0"/>
        <w:autoSpaceDE w:val="0"/>
        <w:autoSpaceDN w:val="0"/>
        <w:adjustRightInd w:val="0"/>
        <w:spacing w:line="240" w:lineRule="auto"/>
        <w:ind w:left="640" w:hanging="640"/>
        <w:rPr>
          <w:rFonts w:ascii="Calibri" w:hAnsi="Calibri" w:cs="Calibri"/>
          <w:noProof/>
          <w:szCs w:val="24"/>
        </w:rPr>
      </w:pPr>
      <w:r w:rsidRPr="00E12155">
        <w:rPr>
          <w:rFonts w:ascii="Calibri" w:hAnsi="Calibri" w:cs="Calibri"/>
          <w:noProof/>
          <w:szCs w:val="24"/>
        </w:rPr>
        <w:t>84.</w:t>
      </w:r>
      <w:r w:rsidRPr="00E12155">
        <w:rPr>
          <w:rFonts w:ascii="Calibri" w:hAnsi="Calibri" w:cs="Calibri"/>
          <w:noProof/>
          <w:szCs w:val="24"/>
        </w:rPr>
        <w:tab/>
        <w:t xml:space="preserve">CCC. </w:t>
      </w:r>
      <w:r w:rsidRPr="00E12155">
        <w:rPr>
          <w:rFonts w:ascii="Calibri" w:hAnsi="Calibri" w:cs="Calibri"/>
          <w:i/>
          <w:iCs/>
          <w:noProof/>
          <w:szCs w:val="24"/>
        </w:rPr>
        <w:t>Net Zero - Technical Report</w:t>
      </w:r>
      <w:r w:rsidRPr="00E12155">
        <w:rPr>
          <w:rFonts w:ascii="Calibri" w:hAnsi="Calibri" w:cs="Calibri"/>
          <w:noProof/>
          <w:szCs w:val="24"/>
        </w:rPr>
        <w:t>. https://www.theccc.org.uk/publication/net-zero-technical-report/ (2019).</w:t>
      </w:r>
    </w:p>
    <w:p w14:paraId="2725F09E" w14:textId="77777777" w:rsidR="00E12155" w:rsidRPr="00E12155" w:rsidRDefault="00E12155" w:rsidP="00E12155">
      <w:pPr>
        <w:widowControl w:val="0"/>
        <w:autoSpaceDE w:val="0"/>
        <w:autoSpaceDN w:val="0"/>
        <w:adjustRightInd w:val="0"/>
        <w:spacing w:line="240" w:lineRule="auto"/>
        <w:ind w:left="640" w:hanging="640"/>
        <w:rPr>
          <w:rFonts w:ascii="Calibri" w:hAnsi="Calibri" w:cs="Calibri"/>
          <w:noProof/>
          <w:szCs w:val="24"/>
        </w:rPr>
      </w:pPr>
      <w:r w:rsidRPr="00E12155">
        <w:rPr>
          <w:rFonts w:ascii="Calibri" w:hAnsi="Calibri" w:cs="Calibri"/>
          <w:noProof/>
          <w:szCs w:val="24"/>
        </w:rPr>
        <w:t>85.</w:t>
      </w:r>
      <w:r w:rsidRPr="00E12155">
        <w:rPr>
          <w:rFonts w:ascii="Calibri" w:hAnsi="Calibri" w:cs="Calibri"/>
          <w:noProof/>
          <w:szCs w:val="24"/>
        </w:rPr>
        <w:tab/>
        <w:t xml:space="preserve">BEIS. </w:t>
      </w:r>
      <w:r w:rsidRPr="00E12155">
        <w:rPr>
          <w:rFonts w:ascii="Calibri" w:hAnsi="Calibri" w:cs="Calibri"/>
          <w:i/>
          <w:iCs/>
          <w:noProof/>
          <w:szCs w:val="24"/>
        </w:rPr>
        <w:t>SMART METERING IMPLEMENTATION PROGRAMME A report on progress of the realisation of smart meter consumer benefits</w:t>
      </w:r>
      <w:r w:rsidRPr="00E12155">
        <w:rPr>
          <w:rFonts w:ascii="Calibri" w:hAnsi="Calibri" w:cs="Calibri"/>
          <w:noProof/>
          <w:szCs w:val="24"/>
        </w:rPr>
        <w:t>. https://assets.publishing.service.gov.uk/government/uploads/system/uploads/attachment_data/file/830668/smart-meters-benefits-realisation.pdf (2019).</w:t>
      </w:r>
    </w:p>
    <w:p w14:paraId="758CA52D" w14:textId="77777777" w:rsidR="00E12155" w:rsidRPr="00E12155" w:rsidRDefault="00E12155" w:rsidP="00E12155">
      <w:pPr>
        <w:widowControl w:val="0"/>
        <w:autoSpaceDE w:val="0"/>
        <w:autoSpaceDN w:val="0"/>
        <w:adjustRightInd w:val="0"/>
        <w:spacing w:line="240" w:lineRule="auto"/>
        <w:ind w:left="640" w:hanging="640"/>
        <w:rPr>
          <w:rFonts w:ascii="Calibri" w:hAnsi="Calibri" w:cs="Calibri"/>
          <w:noProof/>
          <w:szCs w:val="24"/>
        </w:rPr>
      </w:pPr>
      <w:r w:rsidRPr="00E12155">
        <w:rPr>
          <w:rFonts w:ascii="Calibri" w:hAnsi="Calibri" w:cs="Calibri"/>
          <w:noProof/>
          <w:szCs w:val="24"/>
        </w:rPr>
        <w:t>86.</w:t>
      </w:r>
      <w:r w:rsidRPr="00E12155">
        <w:rPr>
          <w:rFonts w:ascii="Calibri" w:hAnsi="Calibri" w:cs="Calibri"/>
          <w:noProof/>
          <w:szCs w:val="24"/>
        </w:rPr>
        <w:tab/>
        <w:t xml:space="preserve">Kelly, J. &amp; Knottenbelt, W. Does disaggregated electricity feedback reduce domestic electricity consumption? A systematic review of the literature. </w:t>
      </w:r>
      <w:r w:rsidRPr="00E12155">
        <w:rPr>
          <w:rFonts w:ascii="Calibri" w:hAnsi="Calibri" w:cs="Calibri"/>
          <w:i/>
          <w:iCs/>
          <w:noProof/>
          <w:szCs w:val="24"/>
        </w:rPr>
        <w:t>Conf. 3rd Int. NILM Work.</w:t>
      </w:r>
      <w:r w:rsidRPr="00E12155">
        <w:rPr>
          <w:rFonts w:ascii="Calibri" w:hAnsi="Calibri" w:cs="Calibri"/>
          <w:noProof/>
          <w:szCs w:val="24"/>
        </w:rPr>
        <w:t xml:space="preserve"> (2016).</w:t>
      </w:r>
    </w:p>
    <w:p w14:paraId="2FA9B000" w14:textId="77777777" w:rsidR="00E12155" w:rsidRPr="00E12155" w:rsidRDefault="00E12155" w:rsidP="00E12155">
      <w:pPr>
        <w:widowControl w:val="0"/>
        <w:autoSpaceDE w:val="0"/>
        <w:autoSpaceDN w:val="0"/>
        <w:adjustRightInd w:val="0"/>
        <w:spacing w:line="240" w:lineRule="auto"/>
        <w:ind w:left="640" w:hanging="640"/>
        <w:rPr>
          <w:rFonts w:ascii="Calibri" w:hAnsi="Calibri" w:cs="Calibri"/>
          <w:noProof/>
          <w:szCs w:val="24"/>
        </w:rPr>
      </w:pPr>
      <w:r w:rsidRPr="00E12155">
        <w:rPr>
          <w:rFonts w:ascii="Calibri" w:hAnsi="Calibri" w:cs="Calibri"/>
          <w:noProof/>
          <w:szCs w:val="24"/>
        </w:rPr>
        <w:lastRenderedPageBreak/>
        <w:t>87.</w:t>
      </w:r>
      <w:r w:rsidRPr="00E12155">
        <w:rPr>
          <w:rFonts w:ascii="Calibri" w:hAnsi="Calibri" w:cs="Calibri"/>
          <w:noProof/>
          <w:szCs w:val="24"/>
        </w:rPr>
        <w:tab/>
        <w:t xml:space="preserve">IEA. </w:t>
      </w:r>
      <w:r w:rsidRPr="00E12155">
        <w:rPr>
          <w:rFonts w:ascii="Calibri" w:hAnsi="Calibri" w:cs="Calibri"/>
          <w:i/>
          <w:iCs/>
          <w:noProof/>
          <w:szCs w:val="24"/>
        </w:rPr>
        <w:t>Energy Efficiency 2018: analysis and outlooks to 2040</w:t>
      </w:r>
      <w:r w:rsidRPr="00E12155">
        <w:rPr>
          <w:rFonts w:ascii="Calibri" w:hAnsi="Calibri" w:cs="Calibri"/>
          <w:noProof/>
          <w:szCs w:val="24"/>
        </w:rPr>
        <w:t>. https://iea.blob.core.windows.net/assets/d0f81f5f-8f87-487e-a56b-8e0167d18c56/Market_Report_Series_Energy_Efficiency_2018.pdf (2018).</w:t>
      </w:r>
    </w:p>
    <w:p w14:paraId="1BD1C532" w14:textId="77777777" w:rsidR="00E12155" w:rsidRPr="00E12155" w:rsidRDefault="00E12155" w:rsidP="00E12155">
      <w:pPr>
        <w:widowControl w:val="0"/>
        <w:autoSpaceDE w:val="0"/>
        <w:autoSpaceDN w:val="0"/>
        <w:adjustRightInd w:val="0"/>
        <w:spacing w:line="240" w:lineRule="auto"/>
        <w:ind w:left="640" w:hanging="640"/>
        <w:rPr>
          <w:rFonts w:ascii="Calibri" w:hAnsi="Calibri" w:cs="Calibri"/>
          <w:noProof/>
          <w:szCs w:val="24"/>
        </w:rPr>
      </w:pPr>
      <w:r w:rsidRPr="00E12155">
        <w:rPr>
          <w:rFonts w:ascii="Calibri" w:hAnsi="Calibri" w:cs="Calibri"/>
          <w:noProof/>
          <w:szCs w:val="24"/>
        </w:rPr>
        <w:t>88.</w:t>
      </w:r>
      <w:r w:rsidRPr="00E12155">
        <w:rPr>
          <w:rFonts w:ascii="Calibri" w:hAnsi="Calibri" w:cs="Calibri"/>
          <w:noProof/>
          <w:szCs w:val="24"/>
        </w:rPr>
        <w:tab/>
        <w:t xml:space="preserve">IEA. </w:t>
      </w:r>
      <w:r w:rsidRPr="00E12155">
        <w:rPr>
          <w:rFonts w:ascii="Calibri" w:hAnsi="Calibri" w:cs="Calibri"/>
          <w:i/>
          <w:iCs/>
          <w:noProof/>
          <w:szCs w:val="24"/>
        </w:rPr>
        <w:t>Technology Brief: Cooking Appliances</w:t>
      </w:r>
      <w:r w:rsidRPr="00E12155">
        <w:rPr>
          <w:rFonts w:ascii="Calibri" w:hAnsi="Calibri" w:cs="Calibri"/>
          <w:noProof/>
          <w:szCs w:val="24"/>
        </w:rPr>
        <w:t>. www.etsap.org (2012).</w:t>
      </w:r>
    </w:p>
    <w:p w14:paraId="5986D6CB" w14:textId="77777777" w:rsidR="00E12155" w:rsidRPr="00E12155" w:rsidRDefault="00E12155" w:rsidP="00E12155">
      <w:pPr>
        <w:widowControl w:val="0"/>
        <w:autoSpaceDE w:val="0"/>
        <w:autoSpaceDN w:val="0"/>
        <w:adjustRightInd w:val="0"/>
        <w:spacing w:line="240" w:lineRule="auto"/>
        <w:ind w:left="640" w:hanging="640"/>
        <w:rPr>
          <w:rFonts w:ascii="Calibri" w:hAnsi="Calibri" w:cs="Calibri"/>
          <w:noProof/>
          <w:szCs w:val="24"/>
        </w:rPr>
      </w:pPr>
      <w:r w:rsidRPr="00E12155">
        <w:rPr>
          <w:rFonts w:ascii="Calibri" w:hAnsi="Calibri" w:cs="Calibri"/>
          <w:noProof/>
          <w:szCs w:val="24"/>
        </w:rPr>
        <w:t>89.</w:t>
      </w:r>
      <w:r w:rsidRPr="00E12155">
        <w:rPr>
          <w:rFonts w:ascii="Calibri" w:hAnsi="Calibri" w:cs="Calibri"/>
          <w:noProof/>
          <w:szCs w:val="24"/>
        </w:rPr>
        <w:tab/>
        <w:t xml:space="preserve">Paoli, L. &amp; Cullen, J. Technical limits for energy conversion efficiency. </w:t>
      </w:r>
      <w:r w:rsidRPr="00E12155">
        <w:rPr>
          <w:rFonts w:ascii="Calibri" w:hAnsi="Calibri" w:cs="Calibri"/>
          <w:i/>
          <w:iCs/>
          <w:noProof/>
          <w:szCs w:val="24"/>
        </w:rPr>
        <w:t>Energy</w:t>
      </w:r>
      <w:r w:rsidRPr="00E12155">
        <w:rPr>
          <w:rFonts w:ascii="Calibri" w:hAnsi="Calibri" w:cs="Calibri"/>
          <w:noProof/>
          <w:szCs w:val="24"/>
        </w:rPr>
        <w:t xml:space="preserve"> </w:t>
      </w:r>
      <w:r w:rsidRPr="00E12155">
        <w:rPr>
          <w:rFonts w:ascii="Calibri" w:hAnsi="Calibri" w:cs="Calibri"/>
          <w:b/>
          <w:bCs/>
          <w:noProof/>
          <w:szCs w:val="24"/>
        </w:rPr>
        <w:t>192</w:t>
      </w:r>
      <w:r w:rsidRPr="00E12155">
        <w:rPr>
          <w:rFonts w:ascii="Calibri" w:hAnsi="Calibri" w:cs="Calibri"/>
          <w:noProof/>
          <w:szCs w:val="24"/>
        </w:rPr>
        <w:t>, 116228 (2020).</w:t>
      </w:r>
    </w:p>
    <w:p w14:paraId="24EB1C77" w14:textId="77777777" w:rsidR="00E12155" w:rsidRPr="00E12155" w:rsidRDefault="00E12155" w:rsidP="00E12155">
      <w:pPr>
        <w:widowControl w:val="0"/>
        <w:autoSpaceDE w:val="0"/>
        <w:autoSpaceDN w:val="0"/>
        <w:adjustRightInd w:val="0"/>
        <w:spacing w:line="240" w:lineRule="auto"/>
        <w:ind w:left="640" w:hanging="640"/>
        <w:rPr>
          <w:rFonts w:ascii="Calibri" w:hAnsi="Calibri" w:cs="Calibri"/>
          <w:noProof/>
          <w:szCs w:val="24"/>
        </w:rPr>
      </w:pPr>
      <w:r w:rsidRPr="00E12155">
        <w:rPr>
          <w:rFonts w:ascii="Calibri" w:hAnsi="Calibri" w:cs="Calibri"/>
          <w:noProof/>
          <w:szCs w:val="24"/>
        </w:rPr>
        <w:t>90.</w:t>
      </w:r>
      <w:r w:rsidRPr="00E12155">
        <w:rPr>
          <w:rFonts w:ascii="Calibri" w:hAnsi="Calibri" w:cs="Calibri"/>
          <w:noProof/>
          <w:szCs w:val="24"/>
        </w:rPr>
        <w:tab/>
        <w:t xml:space="preserve">McKinsey Global Institute. </w:t>
      </w:r>
      <w:r w:rsidRPr="00E12155">
        <w:rPr>
          <w:rFonts w:ascii="Calibri" w:hAnsi="Calibri" w:cs="Calibri"/>
          <w:i/>
          <w:iCs/>
          <w:noProof/>
          <w:szCs w:val="24"/>
        </w:rPr>
        <w:t>Resource Revolution: Meeting the world’s energy, materials, food, and water needs</w:t>
      </w:r>
      <w:r w:rsidRPr="00E12155">
        <w:rPr>
          <w:rFonts w:ascii="Calibri" w:hAnsi="Calibri" w:cs="Calibri"/>
          <w:noProof/>
          <w:szCs w:val="24"/>
        </w:rPr>
        <w:t>. https://www.mckinsey.com/~/media/mckinsey/business functions/sustainability/our insights/resource revolution/mgi_resource_revolution_full_report.pdf (2011).</w:t>
      </w:r>
    </w:p>
    <w:p w14:paraId="6AAFB83A" w14:textId="77777777" w:rsidR="00E12155" w:rsidRPr="00E12155" w:rsidRDefault="00E12155" w:rsidP="00E12155">
      <w:pPr>
        <w:widowControl w:val="0"/>
        <w:autoSpaceDE w:val="0"/>
        <w:autoSpaceDN w:val="0"/>
        <w:adjustRightInd w:val="0"/>
        <w:spacing w:line="240" w:lineRule="auto"/>
        <w:ind w:left="640" w:hanging="640"/>
        <w:rPr>
          <w:rFonts w:ascii="Calibri" w:hAnsi="Calibri" w:cs="Calibri"/>
          <w:noProof/>
          <w:szCs w:val="24"/>
        </w:rPr>
      </w:pPr>
      <w:r w:rsidRPr="00E12155">
        <w:rPr>
          <w:rFonts w:ascii="Calibri" w:hAnsi="Calibri" w:cs="Calibri"/>
          <w:noProof/>
          <w:szCs w:val="24"/>
        </w:rPr>
        <w:t>91.</w:t>
      </w:r>
      <w:r w:rsidRPr="00E12155">
        <w:rPr>
          <w:rFonts w:ascii="Calibri" w:hAnsi="Calibri" w:cs="Calibri"/>
          <w:noProof/>
          <w:szCs w:val="24"/>
        </w:rPr>
        <w:tab/>
        <w:t xml:space="preserve">CCC. </w:t>
      </w:r>
      <w:r w:rsidRPr="00E12155">
        <w:rPr>
          <w:rFonts w:ascii="Calibri" w:hAnsi="Calibri" w:cs="Calibri"/>
          <w:i/>
          <w:iCs/>
          <w:noProof/>
          <w:szCs w:val="24"/>
        </w:rPr>
        <w:t xml:space="preserve">Reducing UK emissions: 2020 Progress Report to Parliament </w:t>
      </w:r>
      <w:r w:rsidRPr="00E12155">
        <w:rPr>
          <w:rFonts w:ascii="Calibri" w:hAnsi="Calibri" w:cs="Calibri"/>
          <w:noProof/>
          <w:szCs w:val="24"/>
        </w:rPr>
        <w:t>. https://www.theccc.org.uk/publication/reducing-uk-emissions-2020-progress-report-to-parliament/ (2020).</w:t>
      </w:r>
    </w:p>
    <w:p w14:paraId="723B6F58" w14:textId="77777777" w:rsidR="00E12155" w:rsidRPr="00E12155" w:rsidRDefault="00E12155" w:rsidP="00E12155">
      <w:pPr>
        <w:widowControl w:val="0"/>
        <w:autoSpaceDE w:val="0"/>
        <w:autoSpaceDN w:val="0"/>
        <w:adjustRightInd w:val="0"/>
        <w:spacing w:line="240" w:lineRule="auto"/>
        <w:ind w:left="640" w:hanging="640"/>
        <w:rPr>
          <w:rFonts w:ascii="Calibri" w:hAnsi="Calibri" w:cs="Calibri"/>
          <w:noProof/>
          <w:szCs w:val="24"/>
        </w:rPr>
      </w:pPr>
      <w:r w:rsidRPr="00E12155">
        <w:rPr>
          <w:rFonts w:ascii="Calibri" w:hAnsi="Calibri" w:cs="Calibri"/>
          <w:noProof/>
          <w:szCs w:val="24"/>
        </w:rPr>
        <w:t>92.</w:t>
      </w:r>
      <w:r w:rsidRPr="00E12155">
        <w:rPr>
          <w:rFonts w:ascii="Calibri" w:hAnsi="Calibri" w:cs="Calibri"/>
          <w:noProof/>
          <w:szCs w:val="24"/>
        </w:rPr>
        <w:tab/>
        <w:t xml:space="preserve">BEIS. </w:t>
      </w:r>
      <w:r w:rsidRPr="00E12155">
        <w:rPr>
          <w:rFonts w:ascii="Calibri" w:hAnsi="Calibri" w:cs="Calibri"/>
          <w:i/>
          <w:iCs/>
          <w:noProof/>
          <w:szCs w:val="24"/>
        </w:rPr>
        <w:t>Industrial Decarbonisation Strategy</w:t>
      </w:r>
      <w:r w:rsidRPr="00E12155">
        <w:rPr>
          <w:rFonts w:ascii="Calibri" w:hAnsi="Calibri" w:cs="Calibri"/>
          <w:noProof/>
          <w:szCs w:val="24"/>
        </w:rPr>
        <w:t>. https://www.gov.uk/government/publications/industrial-decarbonisation-strategy (2021).</w:t>
      </w:r>
    </w:p>
    <w:p w14:paraId="6D2B80D9" w14:textId="77777777" w:rsidR="00E12155" w:rsidRPr="00E12155" w:rsidRDefault="00E12155" w:rsidP="00E12155">
      <w:pPr>
        <w:widowControl w:val="0"/>
        <w:autoSpaceDE w:val="0"/>
        <w:autoSpaceDN w:val="0"/>
        <w:adjustRightInd w:val="0"/>
        <w:spacing w:line="240" w:lineRule="auto"/>
        <w:ind w:left="640" w:hanging="640"/>
        <w:rPr>
          <w:rFonts w:ascii="Calibri" w:hAnsi="Calibri" w:cs="Calibri"/>
          <w:noProof/>
          <w:szCs w:val="24"/>
        </w:rPr>
      </w:pPr>
      <w:r w:rsidRPr="00E12155">
        <w:rPr>
          <w:rFonts w:ascii="Calibri" w:hAnsi="Calibri" w:cs="Calibri"/>
          <w:noProof/>
          <w:szCs w:val="24"/>
        </w:rPr>
        <w:t>93.</w:t>
      </w:r>
      <w:r w:rsidRPr="00E12155">
        <w:rPr>
          <w:rFonts w:ascii="Calibri" w:hAnsi="Calibri" w:cs="Calibri"/>
          <w:noProof/>
          <w:szCs w:val="24"/>
        </w:rPr>
        <w:tab/>
        <w:t xml:space="preserve">Griffin, P., Hammond, G. &amp; Norman, J. </w:t>
      </w:r>
      <w:r w:rsidRPr="00E12155">
        <w:rPr>
          <w:rFonts w:ascii="Calibri" w:hAnsi="Calibri" w:cs="Calibri"/>
          <w:i/>
          <w:iCs/>
          <w:noProof/>
          <w:szCs w:val="24"/>
        </w:rPr>
        <w:t xml:space="preserve">Industrial Energy Use from a Bottom-Up Perspective: Developing the Usable Energy Database </w:t>
      </w:r>
      <w:r w:rsidRPr="00E12155">
        <w:rPr>
          <w:rFonts w:ascii="Calibri" w:hAnsi="Calibri" w:cs="Calibri"/>
          <w:noProof/>
          <w:szCs w:val="24"/>
        </w:rPr>
        <w:t>. https://data.ukedc.rl.ac.uk/browse/edc/efficiency/industry/EnergyConsumption/UED_Documentation.pdf (2013).</w:t>
      </w:r>
    </w:p>
    <w:p w14:paraId="38FAE4AB" w14:textId="77777777" w:rsidR="00E12155" w:rsidRPr="00E12155" w:rsidRDefault="00E12155" w:rsidP="00E12155">
      <w:pPr>
        <w:widowControl w:val="0"/>
        <w:autoSpaceDE w:val="0"/>
        <w:autoSpaceDN w:val="0"/>
        <w:adjustRightInd w:val="0"/>
        <w:spacing w:line="240" w:lineRule="auto"/>
        <w:ind w:left="640" w:hanging="640"/>
        <w:rPr>
          <w:rFonts w:ascii="Calibri" w:hAnsi="Calibri" w:cs="Calibri"/>
          <w:noProof/>
          <w:szCs w:val="24"/>
        </w:rPr>
      </w:pPr>
      <w:r w:rsidRPr="00E12155">
        <w:rPr>
          <w:rFonts w:ascii="Calibri" w:hAnsi="Calibri" w:cs="Calibri"/>
          <w:noProof/>
          <w:szCs w:val="24"/>
        </w:rPr>
        <w:t>94.</w:t>
      </w:r>
      <w:r w:rsidRPr="00E12155">
        <w:rPr>
          <w:rFonts w:ascii="Calibri" w:hAnsi="Calibri" w:cs="Calibri"/>
          <w:noProof/>
          <w:szCs w:val="24"/>
        </w:rPr>
        <w:tab/>
        <w:t xml:space="preserve">CLC &amp; GCB. </w:t>
      </w:r>
      <w:r w:rsidRPr="00E12155">
        <w:rPr>
          <w:rFonts w:ascii="Calibri" w:hAnsi="Calibri" w:cs="Calibri"/>
          <w:i/>
          <w:iCs/>
          <w:noProof/>
          <w:szCs w:val="24"/>
        </w:rPr>
        <w:t>Zero Avoidable Waste in Construction</w:t>
      </w:r>
      <w:r w:rsidRPr="00E12155">
        <w:rPr>
          <w:rFonts w:ascii="Calibri" w:hAnsi="Calibri" w:cs="Calibri"/>
          <w:noProof/>
          <w:szCs w:val="24"/>
        </w:rPr>
        <w:t>. https://www.constructionleadershipcouncil.co.uk/wp-content/uploads/2016/05/ZAW-Report-Final-Draft-25-February-2020.pdf (2020).</w:t>
      </w:r>
    </w:p>
    <w:p w14:paraId="0C2333E3" w14:textId="77777777" w:rsidR="00E12155" w:rsidRPr="00E12155" w:rsidRDefault="00E12155" w:rsidP="00E12155">
      <w:pPr>
        <w:widowControl w:val="0"/>
        <w:autoSpaceDE w:val="0"/>
        <w:autoSpaceDN w:val="0"/>
        <w:adjustRightInd w:val="0"/>
        <w:spacing w:line="240" w:lineRule="auto"/>
        <w:ind w:left="640" w:hanging="640"/>
        <w:rPr>
          <w:rFonts w:ascii="Calibri" w:hAnsi="Calibri" w:cs="Calibri"/>
          <w:noProof/>
        </w:rPr>
      </w:pPr>
      <w:r w:rsidRPr="00E12155">
        <w:rPr>
          <w:rFonts w:ascii="Calibri" w:hAnsi="Calibri" w:cs="Calibri"/>
          <w:noProof/>
          <w:szCs w:val="24"/>
        </w:rPr>
        <w:t>95.</w:t>
      </w:r>
      <w:r w:rsidRPr="00E12155">
        <w:rPr>
          <w:rFonts w:ascii="Calibri" w:hAnsi="Calibri" w:cs="Calibri"/>
          <w:noProof/>
          <w:szCs w:val="24"/>
        </w:rPr>
        <w:tab/>
        <w:t xml:space="preserve">Anderson, K., Broderick, J. F. &amp; Stoddard, I. A factor of two: how the mitigation plans of ‘climate progressive’ nations fall far short of Paris-compliant pathways. </w:t>
      </w:r>
      <w:r w:rsidRPr="00E12155">
        <w:rPr>
          <w:rFonts w:ascii="Calibri" w:hAnsi="Calibri" w:cs="Calibri"/>
          <w:i/>
          <w:iCs/>
          <w:noProof/>
          <w:szCs w:val="24"/>
        </w:rPr>
        <w:t>Clim. Policy</w:t>
      </w:r>
      <w:r w:rsidRPr="00E12155">
        <w:rPr>
          <w:rFonts w:ascii="Calibri" w:hAnsi="Calibri" w:cs="Calibri"/>
          <w:noProof/>
          <w:szCs w:val="24"/>
        </w:rPr>
        <w:t xml:space="preserve"> 1–15 (2020) doi:10.1080/14693062.2020.1728209.</w:t>
      </w:r>
    </w:p>
    <w:p w14:paraId="6BF94D3C" w14:textId="6D0447AE" w:rsidR="00955BCE" w:rsidRPr="000E55C1" w:rsidRDefault="006D5B93" w:rsidP="00955BCE">
      <w:pPr>
        <w:rPr>
          <w:rFonts w:cstheme="minorHAnsi"/>
        </w:rPr>
      </w:pPr>
      <w:r w:rsidRPr="000E55C1">
        <w:rPr>
          <w:rFonts w:cstheme="minorHAnsi"/>
        </w:rPr>
        <w:fldChar w:fldCharType="end"/>
      </w:r>
    </w:p>
    <w:sectPr w:rsidR="00955BCE" w:rsidRPr="000E55C1" w:rsidSect="002C4C13">
      <w:pgSz w:w="11900" w:h="16840" w:code="9"/>
      <w:pgMar w:top="1440" w:right="1440" w:bottom="1440" w:left="1440" w:header="708" w:footer="708" w:gutter="0"/>
      <w:lnNumType w:countBy="1" w:restart="continuous"/>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0C6290CB" w16cex:dateUtc="2021-11-02T08:02:47.411Z"/>
  <w16cex:commentExtensible w16cex:durableId="5DE36D20" w16cex:dateUtc="2021-11-02T08:03:54.481Z"/>
  <w16cex:commentExtensible w16cex:durableId="0AFC68F5" w16cex:dateUtc="2021-11-02T08:04:52.57Z"/>
  <w16cex:commentExtensible w16cex:durableId="7A3D6EFE" w16cex:dateUtc="2021-11-08T15:04:26.458Z"/>
</w16cex:commentsExtensible>
</file>

<file path=word/commentsIds.xml><?xml version="1.0" encoding="utf-8"?>
<w16cid:commentsIds xmlns:mc="http://schemas.openxmlformats.org/markup-compatibility/2006" xmlns:w16cid="http://schemas.microsoft.com/office/word/2016/wordml/cid" mc:Ignorable="w16cid">
  <w16cid:commentId w16cid:paraId="6BBAD5EC" w16cid:durableId="0C6290CB"/>
  <w16cid:commentId w16cid:paraId="228024E7" w16cid:durableId="5DE36D20"/>
  <w16cid:commentId w16cid:paraId="6490E725" w16cid:durableId="0AFC68F5"/>
  <w16cid:commentId w16cid:paraId="07577811" w16cid:durableId="7A3D6EF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C266CB" w14:textId="77777777" w:rsidR="00760A7F" w:rsidRDefault="00760A7F" w:rsidP="009627EA">
      <w:pPr>
        <w:spacing w:after="0" w:line="240" w:lineRule="auto"/>
      </w:pPr>
      <w:r>
        <w:separator/>
      </w:r>
    </w:p>
  </w:endnote>
  <w:endnote w:type="continuationSeparator" w:id="0">
    <w:p w14:paraId="007A3C2A" w14:textId="77777777" w:rsidR="00760A7F" w:rsidRDefault="00760A7F" w:rsidP="009627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8D68BA" w14:textId="77777777" w:rsidR="00760A7F" w:rsidRDefault="00760A7F" w:rsidP="009627EA">
      <w:pPr>
        <w:spacing w:after="0" w:line="240" w:lineRule="auto"/>
      </w:pPr>
      <w:r>
        <w:separator/>
      </w:r>
    </w:p>
  </w:footnote>
  <w:footnote w:type="continuationSeparator" w:id="0">
    <w:p w14:paraId="752F1F40" w14:textId="77777777" w:rsidR="00760A7F" w:rsidRDefault="00760A7F" w:rsidP="009627EA">
      <w:pPr>
        <w:spacing w:after="0" w:line="240" w:lineRule="auto"/>
      </w:pPr>
      <w:r>
        <w:continuationSeparator/>
      </w:r>
    </w:p>
  </w:footnote>
  <w:footnote w:id="1">
    <w:p w14:paraId="3C573E74" w14:textId="77777777" w:rsidR="00660864" w:rsidRDefault="00660864" w:rsidP="009627EA">
      <w:pPr>
        <w:pStyle w:val="FootnoteText"/>
      </w:pPr>
      <w:r>
        <w:rPr>
          <w:rStyle w:val="FootnoteReference"/>
        </w:rPr>
        <w:footnoteRef/>
      </w:r>
      <w:r>
        <w:t xml:space="preserve"> Data available from www.gov.uk/government/statistics/uks-carbon-footprint</w:t>
      </w:r>
    </w:p>
  </w:footnote>
  <w:footnote w:id="2">
    <w:p w14:paraId="7A03C32D" w14:textId="77777777" w:rsidR="00660864" w:rsidRDefault="00660864" w:rsidP="009627EA">
      <w:pPr>
        <w:pStyle w:val="FootnoteText"/>
      </w:pPr>
      <w:r>
        <w:rPr>
          <w:rStyle w:val="FootnoteReference"/>
        </w:rPr>
        <w:footnoteRef/>
      </w:r>
      <w:r>
        <w:t xml:space="preserve"> For lists of modelling assumptions in each sector refer to the appendix. </w:t>
      </w:r>
    </w:p>
  </w:footnote>
  <w:footnote w:id="3">
    <w:p w14:paraId="7D6389C8" w14:textId="77777777" w:rsidR="00660864" w:rsidRPr="00B573CC" w:rsidRDefault="00660864" w:rsidP="009627EA">
      <w:pPr>
        <w:rPr>
          <w:sz w:val="20"/>
          <w:szCs w:val="20"/>
        </w:rPr>
      </w:pPr>
      <w:r w:rsidRPr="00B573CC">
        <w:rPr>
          <w:sz w:val="20"/>
          <w:szCs w:val="20"/>
        </w:rPr>
        <w:footnoteRef/>
      </w:r>
      <w:r w:rsidRPr="00B573CC">
        <w:rPr>
          <w:sz w:val="20"/>
          <w:szCs w:val="20"/>
        </w:rPr>
        <w:t xml:space="preserve"> Descriptions of sector level modelling approaches are available in the sector level evidence reports that accompany this report. </w:t>
      </w:r>
    </w:p>
  </w:footnote>
  <w:footnote w:id="4">
    <w:p w14:paraId="4A341D70" w14:textId="77777777" w:rsidR="00660864" w:rsidRDefault="00660864" w:rsidP="00BA43CF">
      <w:pPr>
        <w:pStyle w:val="FootnoteText"/>
      </w:pPr>
      <w:r>
        <w:rPr>
          <w:rStyle w:val="FootnoteReference"/>
        </w:rPr>
        <w:footnoteRef/>
      </w:r>
      <w:r>
        <w:t xml:space="preserve"> </w:t>
      </w:r>
      <w:r>
        <w:rPr>
          <w:rFonts w:ascii="Calibri" w:eastAsia="Calibri" w:hAnsi="Calibri" w:cs="Arial"/>
        </w:rPr>
        <w:t>For a detailed description of the method used to derive this UK remaining carbon budget see Anderson et al. (2020). The budget here differs slightly to the one presented by Anderson et al. (2020), as the UK’s share of global cement process emissions are included.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F4892"/>
    <w:multiLevelType w:val="hybridMultilevel"/>
    <w:tmpl w:val="A2088054"/>
    <w:lvl w:ilvl="0" w:tplc="BACC975A">
      <w:start w:val="1"/>
      <w:numFmt w:val="bullet"/>
      <w:lvlText w:val=""/>
      <w:lvlJc w:val="left"/>
      <w:pPr>
        <w:ind w:left="720" w:hanging="360"/>
      </w:pPr>
      <w:rPr>
        <w:rFonts w:ascii="Symbol" w:hAnsi="Symbol" w:hint="default"/>
      </w:rPr>
    </w:lvl>
    <w:lvl w:ilvl="1" w:tplc="E60C15D0">
      <w:start w:val="1"/>
      <w:numFmt w:val="bullet"/>
      <w:lvlText w:val="o"/>
      <w:lvlJc w:val="left"/>
      <w:pPr>
        <w:ind w:left="1440" w:hanging="360"/>
      </w:pPr>
      <w:rPr>
        <w:rFonts w:ascii="Courier New" w:hAnsi="Courier New" w:hint="default"/>
      </w:rPr>
    </w:lvl>
    <w:lvl w:ilvl="2" w:tplc="0DC828E2">
      <w:start w:val="1"/>
      <w:numFmt w:val="bullet"/>
      <w:lvlText w:val=""/>
      <w:lvlJc w:val="left"/>
      <w:pPr>
        <w:ind w:left="2160" w:hanging="360"/>
      </w:pPr>
      <w:rPr>
        <w:rFonts w:ascii="Wingdings" w:hAnsi="Wingdings" w:hint="default"/>
      </w:rPr>
    </w:lvl>
    <w:lvl w:ilvl="3" w:tplc="ED3E0E10">
      <w:start w:val="1"/>
      <w:numFmt w:val="bullet"/>
      <w:lvlText w:val=""/>
      <w:lvlJc w:val="left"/>
      <w:pPr>
        <w:ind w:left="2880" w:hanging="360"/>
      </w:pPr>
      <w:rPr>
        <w:rFonts w:ascii="Symbol" w:hAnsi="Symbol" w:hint="default"/>
      </w:rPr>
    </w:lvl>
    <w:lvl w:ilvl="4" w:tplc="FE2C63BA">
      <w:start w:val="1"/>
      <w:numFmt w:val="bullet"/>
      <w:lvlText w:val="o"/>
      <w:lvlJc w:val="left"/>
      <w:pPr>
        <w:ind w:left="3600" w:hanging="360"/>
      </w:pPr>
      <w:rPr>
        <w:rFonts w:ascii="Courier New" w:hAnsi="Courier New" w:hint="default"/>
      </w:rPr>
    </w:lvl>
    <w:lvl w:ilvl="5" w:tplc="50424A70">
      <w:start w:val="1"/>
      <w:numFmt w:val="bullet"/>
      <w:lvlText w:val=""/>
      <w:lvlJc w:val="left"/>
      <w:pPr>
        <w:ind w:left="4320" w:hanging="360"/>
      </w:pPr>
      <w:rPr>
        <w:rFonts w:ascii="Wingdings" w:hAnsi="Wingdings" w:hint="default"/>
      </w:rPr>
    </w:lvl>
    <w:lvl w:ilvl="6" w:tplc="F7C03554">
      <w:start w:val="1"/>
      <w:numFmt w:val="bullet"/>
      <w:lvlText w:val=""/>
      <w:lvlJc w:val="left"/>
      <w:pPr>
        <w:ind w:left="5040" w:hanging="360"/>
      </w:pPr>
      <w:rPr>
        <w:rFonts w:ascii="Symbol" w:hAnsi="Symbol" w:hint="default"/>
      </w:rPr>
    </w:lvl>
    <w:lvl w:ilvl="7" w:tplc="4C548A4A">
      <w:start w:val="1"/>
      <w:numFmt w:val="bullet"/>
      <w:lvlText w:val="o"/>
      <w:lvlJc w:val="left"/>
      <w:pPr>
        <w:ind w:left="5760" w:hanging="360"/>
      </w:pPr>
      <w:rPr>
        <w:rFonts w:ascii="Courier New" w:hAnsi="Courier New" w:hint="default"/>
      </w:rPr>
    </w:lvl>
    <w:lvl w:ilvl="8" w:tplc="ABA8E866">
      <w:start w:val="1"/>
      <w:numFmt w:val="bullet"/>
      <w:lvlText w:val=""/>
      <w:lvlJc w:val="left"/>
      <w:pPr>
        <w:ind w:left="6480" w:hanging="360"/>
      </w:pPr>
      <w:rPr>
        <w:rFonts w:ascii="Wingdings" w:hAnsi="Wingdings" w:hint="default"/>
      </w:rPr>
    </w:lvl>
  </w:abstractNum>
  <w:abstractNum w:abstractNumId="1" w15:restartNumberingAfterBreak="0">
    <w:nsid w:val="09257BE6"/>
    <w:multiLevelType w:val="hybridMultilevel"/>
    <w:tmpl w:val="22068A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2C04B1"/>
    <w:multiLevelType w:val="hybridMultilevel"/>
    <w:tmpl w:val="30DA7070"/>
    <w:lvl w:ilvl="0" w:tplc="011E2F3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A33213"/>
    <w:multiLevelType w:val="hybridMultilevel"/>
    <w:tmpl w:val="8EA24A56"/>
    <w:lvl w:ilvl="0" w:tplc="55AE50A8">
      <w:start w:val="1"/>
      <w:numFmt w:val="bullet"/>
      <w:lvlText w:val=""/>
      <w:lvlJc w:val="left"/>
      <w:pPr>
        <w:ind w:left="720" w:hanging="360"/>
      </w:pPr>
      <w:rPr>
        <w:rFonts w:ascii="Symbol" w:hAnsi="Symbol" w:hint="default"/>
      </w:rPr>
    </w:lvl>
    <w:lvl w:ilvl="1" w:tplc="CE869D34">
      <w:start w:val="1"/>
      <w:numFmt w:val="bullet"/>
      <w:lvlText w:val="o"/>
      <w:lvlJc w:val="left"/>
      <w:pPr>
        <w:ind w:left="1440" w:hanging="360"/>
      </w:pPr>
      <w:rPr>
        <w:rFonts w:ascii="Courier New" w:hAnsi="Courier New" w:hint="default"/>
      </w:rPr>
    </w:lvl>
    <w:lvl w:ilvl="2" w:tplc="56600C26">
      <w:start w:val="1"/>
      <w:numFmt w:val="bullet"/>
      <w:lvlText w:val=""/>
      <w:lvlJc w:val="left"/>
      <w:pPr>
        <w:ind w:left="2160" w:hanging="360"/>
      </w:pPr>
      <w:rPr>
        <w:rFonts w:ascii="Wingdings" w:hAnsi="Wingdings" w:hint="default"/>
      </w:rPr>
    </w:lvl>
    <w:lvl w:ilvl="3" w:tplc="8F80CD98">
      <w:start w:val="1"/>
      <w:numFmt w:val="bullet"/>
      <w:lvlText w:val=""/>
      <w:lvlJc w:val="left"/>
      <w:pPr>
        <w:ind w:left="2880" w:hanging="360"/>
      </w:pPr>
      <w:rPr>
        <w:rFonts w:ascii="Symbol" w:hAnsi="Symbol" w:hint="default"/>
      </w:rPr>
    </w:lvl>
    <w:lvl w:ilvl="4" w:tplc="F146BE50">
      <w:start w:val="1"/>
      <w:numFmt w:val="bullet"/>
      <w:lvlText w:val="o"/>
      <w:lvlJc w:val="left"/>
      <w:pPr>
        <w:ind w:left="3600" w:hanging="360"/>
      </w:pPr>
      <w:rPr>
        <w:rFonts w:ascii="Courier New" w:hAnsi="Courier New" w:hint="default"/>
      </w:rPr>
    </w:lvl>
    <w:lvl w:ilvl="5" w:tplc="94C26EA0">
      <w:start w:val="1"/>
      <w:numFmt w:val="bullet"/>
      <w:lvlText w:val=""/>
      <w:lvlJc w:val="left"/>
      <w:pPr>
        <w:ind w:left="4320" w:hanging="360"/>
      </w:pPr>
      <w:rPr>
        <w:rFonts w:ascii="Wingdings" w:hAnsi="Wingdings" w:hint="default"/>
      </w:rPr>
    </w:lvl>
    <w:lvl w:ilvl="6" w:tplc="5358C532">
      <w:start w:val="1"/>
      <w:numFmt w:val="bullet"/>
      <w:lvlText w:val=""/>
      <w:lvlJc w:val="left"/>
      <w:pPr>
        <w:ind w:left="5040" w:hanging="360"/>
      </w:pPr>
      <w:rPr>
        <w:rFonts w:ascii="Symbol" w:hAnsi="Symbol" w:hint="default"/>
      </w:rPr>
    </w:lvl>
    <w:lvl w:ilvl="7" w:tplc="A36AA1A8">
      <w:start w:val="1"/>
      <w:numFmt w:val="bullet"/>
      <w:lvlText w:val="o"/>
      <w:lvlJc w:val="left"/>
      <w:pPr>
        <w:ind w:left="5760" w:hanging="360"/>
      </w:pPr>
      <w:rPr>
        <w:rFonts w:ascii="Courier New" w:hAnsi="Courier New" w:hint="default"/>
      </w:rPr>
    </w:lvl>
    <w:lvl w:ilvl="8" w:tplc="3080E9DA">
      <w:start w:val="1"/>
      <w:numFmt w:val="bullet"/>
      <w:lvlText w:val=""/>
      <w:lvlJc w:val="left"/>
      <w:pPr>
        <w:ind w:left="6480" w:hanging="360"/>
      </w:pPr>
      <w:rPr>
        <w:rFonts w:ascii="Wingdings" w:hAnsi="Wingdings" w:hint="default"/>
      </w:rPr>
    </w:lvl>
  </w:abstractNum>
  <w:abstractNum w:abstractNumId="4" w15:restartNumberingAfterBreak="0">
    <w:nsid w:val="1A7370A0"/>
    <w:multiLevelType w:val="hybridMultilevel"/>
    <w:tmpl w:val="D70459A2"/>
    <w:lvl w:ilvl="0" w:tplc="FBF48CA0">
      <w:start w:val="1"/>
      <w:numFmt w:val="bullet"/>
      <w:lvlText w:val=""/>
      <w:lvlJc w:val="left"/>
      <w:pPr>
        <w:ind w:left="720" w:hanging="360"/>
      </w:pPr>
      <w:rPr>
        <w:rFonts w:ascii="Symbol" w:hAnsi="Symbol" w:hint="default"/>
      </w:rPr>
    </w:lvl>
    <w:lvl w:ilvl="1" w:tplc="6D7CA96A">
      <w:start w:val="1"/>
      <w:numFmt w:val="bullet"/>
      <w:lvlText w:val="o"/>
      <w:lvlJc w:val="left"/>
      <w:pPr>
        <w:ind w:left="1440" w:hanging="360"/>
      </w:pPr>
      <w:rPr>
        <w:rFonts w:ascii="Courier New" w:hAnsi="Courier New" w:hint="default"/>
      </w:rPr>
    </w:lvl>
    <w:lvl w:ilvl="2" w:tplc="FB56A716">
      <w:start w:val="1"/>
      <w:numFmt w:val="bullet"/>
      <w:lvlText w:val=""/>
      <w:lvlJc w:val="left"/>
      <w:pPr>
        <w:ind w:left="2160" w:hanging="360"/>
      </w:pPr>
      <w:rPr>
        <w:rFonts w:ascii="Wingdings" w:hAnsi="Wingdings" w:hint="default"/>
      </w:rPr>
    </w:lvl>
    <w:lvl w:ilvl="3" w:tplc="8FF8A8FC">
      <w:start w:val="1"/>
      <w:numFmt w:val="bullet"/>
      <w:lvlText w:val=""/>
      <w:lvlJc w:val="left"/>
      <w:pPr>
        <w:ind w:left="2880" w:hanging="360"/>
      </w:pPr>
      <w:rPr>
        <w:rFonts w:ascii="Symbol" w:hAnsi="Symbol" w:hint="default"/>
      </w:rPr>
    </w:lvl>
    <w:lvl w:ilvl="4" w:tplc="73AA9EA0">
      <w:start w:val="1"/>
      <w:numFmt w:val="bullet"/>
      <w:lvlText w:val="o"/>
      <w:lvlJc w:val="left"/>
      <w:pPr>
        <w:ind w:left="3600" w:hanging="360"/>
      </w:pPr>
      <w:rPr>
        <w:rFonts w:ascii="Courier New" w:hAnsi="Courier New" w:hint="default"/>
      </w:rPr>
    </w:lvl>
    <w:lvl w:ilvl="5" w:tplc="F962C940">
      <w:start w:val="1"/>
      <w:numFmt w:val="bullet"/>
      <w:lvlText w:val=""/>
      <w:lvlJc w:val="left"/>
      <w:pPr>
        <w:ind w:left="4320" w:hanging="360"/>
      </w:pPr>
      <w:rPr>
        <w:rFonts w:ascii="Wingdings" w:hAnsi="Wingdings" w:hint="default"/>
      </w:rPr>
    </w:lvl>
    <w:lvl w:ilvl="6" w:tplc="3594D874">
      <w:start w:val="1"/>
      <w:numFmt w:val="bullet"/>
      <w:lvlText w:val=""/>
      <w:lvlJc w:val="left"/>
      <w:pPr>
        <w:ind w:left="5040" w:hanging="360"/>
      </w:pPr>
      <w:rPr>
        <w:rFonts w:ascii="Symbol" w:hAnsi="Symbol" w:hint="default"/>
      </w:rPr>
    </w:lvl>
    <w:lvl w:ilvl="7" w:tplc="89E6AC80">
      <w:start w:val="1"/>
      <w:numFmt w:val="bullet"/>
      <w:lvlText w:val="o"/>
      <w:lvlJc w:val="left"/>
      <w:pPr>
        <w:ind w:left="5760" w:hanging="360"/>
      </w:pPr>
      <w:rPr>
        <w:rFonts w:ascii="Courier New" w:hAnsi="Courier New" w:hint="default"/>
      </w:rPr>
    </w:lvl>
    <w:lvl w:ilvl="8" w:tplc="22CA2A38">
      <w:start w:val="1"/>
      <w:numFmt w:val="bullet"/>
      <w:lvlText w:val=""/>
      <w:lvlJc w:val="left"/>
      <w:pPr>
        <w:ind w:left="6480" w:hanging="360"/>
      </w:pPr>
      <w:rPr>
        <w:rFonts w:ascii="Wingdings" w:hAnsi="Wingdings" w:hint="default"/>
      </w:rPr>
    </w:lvl>
  </w:abstractNum>
  <w:abstractNum w:abstractNumId="5" w15:restartNumberingAfterBreak="0">
    <w:nsid w:val="1CA04F2F"/>
    <w:multiLevelType w:val="hybridMultilevel"/>
    <w:tmpl w:val="2092F7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2C19E1"/>
    <w:multiLevelType w:val="hybridMultilevel"/>
    <w:tmpl w:val="18CA507C"/>
    <w:lvl w:ilvl="0" w:tplc="3D9A867E">
      <w:start w:val="1"/>
      <w:numFmt w:val="bullet"/>
      <w:lvlText w:val=""/>
      <w:lvlJc w:val="left"/>
      <w:pPr>
        <w:ind w:left="720" w:hanging="360"/>
      </w:pPr>
      <w:rPr>
        <w:rFonts w:ascii="Symbol" w:hAnsi="Symbol" w:hint="default"/>
      </w:rPr>
    </w:lvl>
    <w:lvl w:ilvl="1" w:tplc="F0A20512">
      <w:start w:val="1"/>
      <w:numFmt w:val="bullet"/>
      <w:lvlText w:val="o"/>
      <w:lvlJc w:val="left"/>
      <w:pPr>
        <w:ind w:left="1440" w:hanging="360"/>
      </w:pPr>
      <w:rPr>
        <w:rFonts w:ascii="Courier New" w:hAnsi="Courier New" w:hint="default"/>
      </w:rPr>
    </w:lvl>
    <w:lvl w:ilvl="2" w:tplc="D708067C">
      <w:start w:val="1"/>
      <w:numFmt w:val="bullet"/>
      <w:lvlText w:val=""/>
      <w:lvlJc w:val="left"/>
      <w:pPr>
        <w:ind w:left="2160" w:hanging="360"/>
      </w:pPr>
      <w:rPr>
        <w:rFonts w:ascii="Wingdings" w:hAnsi="Wingdings" w:hint="default"/>
      </w:rPr>
    </w:lvl>
    <w:lvl w:ilvl="3" w:tplc="0B0C40F2">
      <w:start w:val="1"/>
      <w:numFmt w:val="bullet"/>
      <w:lvlText w:val=""/>
      <w:lvlJc w:val="left"/>
      <w:pPr>
        <w:ind w:left="2880" w:hanging="360"/>
      </w:pPr>
      <w:rPr>
        <w:rFonts w:ascii="Symbol" w:hAnsi="Symbol" w:hint="default"/>
      </w:rPr>
    </w:lvl>
    <w:lvl w:ilvl="4" w:tplc="0152F2CE">
      <w:start w:val="1"/>
      <w:numFmt w:val="bullet"/>
      <w:lvlText w:val="o"/>
      <w:lvlJc w:val="left"/>
      <w:pPr>
        <w:ind w:left="3600" w:hanging="360"/>
      </w:pPr>
      <w:rPr>
        <w:rFonts w:ascii="Courier New" w:hAnsi="Courier New" w:hint="default"/>
      </w:rPr>
    </w:lvl>
    <w:lvl w:ilvl="5" w:tplc="49D4C8E6">
      <w:start w:val="1"/>
      <w:numFmt w:val="bullet"/>
      <w:lvlText w:val=""/>
      <w:lvlJc w:val="left"/>
      <w:pPr>
        <w:ind w:left="4320" w:hanging="360"/>
      </w:pPr>
      <w:rPr>
        <w:rFonts w:ascii="Wingdings" w:hAnsi="Wingdings" w:hint="default"/>
      </w:rPr>
    </w:lvl>
    <w:lvl w:ilvl="6" w:tplc="9DE87F48">
      <w:start w:val="1"/>
      <w:numFmt w:val="bullet"/>
      <w:lvlText w:val=""/>
      <w:lvlJc w:val="left"/>
      <w:pPr>
        <w:ind w:left="5040" w:hanging="360"/>
      </w:pPr>
      <w:rPr>
        <w:rFonts w:ascii="Symbol" w:hAnsi="Symbol" w:hint="default"/>
      </w:rPr>
    </w:lvl>
    <w:lvl w:ilvl="7" w:tplc="922E8924">
      <w:start w:val="1"/>
      <w:numFmt w:val="bullet"/>
      <w:lvlText w:val="o"/>
      <w:lvlJc w:val="left"/>
      <w:pPr>
        <w:ind w:left="5760" w:hanging="360"/>
      </w:pPr>
      <w:rPr>
        <w:rFonts w:ascii="Courier New" w:hAnsi="Courier New" w:hint="default"/>
      </w:rPr>
    </w:lvl>
    <w:lvl w:ilvl="8" w:tplc="B0AE8B66">
      <w:start w:val="1"/>
      <w:numFmt w:val="bullet"/>
      <w:lvlText w:val=""/>
      <w:lvlJc w:val="left"/>
      <w:pPr>
        <w:ind w:left="6480" w:hanging="360"/>
      </w:pPr>
      <w:rPr>
        <w:rFonts w:ascii="Wingdings" w:hAnsi="Wingdings" w:hint="default"/>
      </w:rPr>
    </w:lvl>
  </w:abstractNum>
  <w:abstractNum w:abstractNumId="7" w15:restartNumberingAfterBreak="0">
    <w:nsid w:val="2E786769"/>
    <w:multiLevelType w:val="hybridMultilevel"/>
    <w:tmpl w:val="F81AA5D8"/>
    <w:lvl w:ilvl="0" w:tplc="CE728DDA">
      <w:start w:val="1"/>
      <w:numFmt w:val="bullet"/>
      <w:lvlText w:val=""/>
      <w:lvlJc w:val="left"/>
      <w:pPr>
        <w:ind w:left="720" w:hanging="360"/>
      </w:pPr>
      <w:rPr>
        <w:rFonts w:ascii="Symbol" w:hAnsi="Symbol" w:hint="default"/>
      </w:rPr>
    </w:lvl>
    <w:lvl w:ilvl="1" w:tplc="81341B0C">
      <w:start w:val="1"/>
      <w:numFmt w:val="bullet"/>
      <w:lvlText w:val="o"/>
      <w:lvlJc w:val="left"/>
      <w:pPr>
        <w:ind w:left="1440" w:hanging="360"/>
      </w:pPr>
      <w:rPr>
        <w:rFonts w:ascii="Courier New" w:hAnsi="Courier New" w:hint="default"/>
      </w:rPr>
    </w:lvl>
    <w:lvl w:ilvl="2" w:tplc="F25EC3B8">
      <w:start w:val="1"/>
      <w:numFmt w:val="bullet"/>
      <w:lvlText w:val=""/>
      <w:lvlJc w:val="left"/>
      <w:pPr>
        <w:ind w:left="2160" w:hanging="360"/>
      </w:pPr>
      <w:rPr>
        <w:rFonts w:ascii="Wingdings" w:hAnsi="Wingdings" w:hint="default"/>
      </w:rPr>
    </w:lvl>
    <w:lvl w:ilvl="3" w:tplc="02C4712E">
      <w:start w:val="1"/>
      <w:numFmt w:val="bullet"/>
      <w:lvlText w:val=""/>
      <w:lvlJc w:val="left"/>
      <w:pPr>
        <w:ind w:left="2880" w:hanging="360"/>
      </w:pPr>
      <w:rPr>
        <w:rFonts w:ascii="Symbol" w:hAnsi="Symbol" w:hint="default"/>
      </w:rPr>
    </w:lvl>
    <w:lvl w:ilvl="4" w:tplc="86A25FD0">
      <w:start w:val="1"/>
      <w:numFmt w:val="bullet"/>
      <w:lvlText w:val="o"/>
      <w:lvlJc w:val="left"/>
      <w:pPr>
        <w:ind w:left="3600" w:hanging="360"/>
      </w:pPr>
      <w:rPr>
        <w:rFonts w:ascii="Courier New" w:hAnsi="Courier New" w:hint="default"/>
      </w:rPr>
    </w:lvl>
    <w:lvl w:ilvl="5" w:tplc="496AEB3E">
      <w:start w:val="1"/>
      <w:numFmt w:val="bullet"/>
      <w:lvlText w:val=""/>
      <w:lvlJc w:val="left"/>
      <w:pPr>
        <w:ind w:left="4320" w:hanging="360"/>
      </w:pPr>
      <w:rPr>
        <w:rFonts w:ascii="Wingdings" w:hAnsi="Wingdings" w:hint="default"/>
      </w:rPr>
    </w:lvl>
    <w:lvl w:ilvl="6" w:tplc="6A28F28C">
      <w:start w:val="1"/>
      <w:numFmt w:val="bullet"/>
      <w:lvlText w:val=""/>
      <w:lvlJc w:val="left"/>
      <w:pPr>
        <w:ind w:left="5040" w:hanging="360"/>
      </w:pPr>
      <w:rPr>
        <w:rFonts w:ascii="Symbol" w:hAnsi="Symbol" w:hint="default"/>
      </w:rPr>
    </w:lvl>
    <w:lvl w:ilvl="7" w:tplc="6ADE5586">
      <w:start w:val="1"/>
      <w:numFmt w:val="bullet"/>
      <w:lvlText w:val="o"/>
      <w:lvlJc w:val="left"/>
      <w:pPr>
        <w:ind w:left="5760" w:hanging="360"/>
      </w:pPr>
      <w:rPr>
        <w:rFonts w:ascii="Courier New" w:hAnsi="Courier New" w:hint="default"/>
      </w:rPr>
    </w:lvl>
    <w:lvl w:ilvl="8" w:tplc="662E8DA4">
      <w:start w:val="1"/>
      <w:numFmt w:val="bullet"/>
      <w:lvlText w:val=""/>
      <w:lvlJc w:val="left"/>
      <w:pPr>
        <w:ind w:left="6480" w:hanging="360"/>
      </w:pPr>
      <w:rPr>
        <w:rFonts w:ascii="Wingdings" w:hAnsi="Wingdings" w:hint="default"/>
      </w:rPr>
    </w:lvl>
  </w:abstractNum>
  <w:abstractNum w:abstractNumId="8" w15:restartNumberingAfterBreak="0">
    <w:nsid w:val="3E1E3C76"/>
    <w:multiLevelType w:val="hybridMultilevel"/>
    <w:tmpl w:val="7B1EB3BE"/>
    <w:lvl w:ilvl="0" w:tplc="195C1FC0">
      <w:start w:val="1"/>
      <w:numFmt w:val="bullet"/>
      <w:lvlText w:val=""/>
      <w:lvlJc w:val="left"/>
      <w:pPr>
        <w:ind w:left="720" w:hanging="360"/>
      </w:pPr>
      <w:rPr>
        <w:rFonts w:ascii="Symbol" w:hAnsi="Symbol" w:hint="default"/>
      </w:rPr>
    </w:lvl>
    <w:lvl w:ilvl="1" w:tplc="5CFC869C">
      <w:start w:val="1"/>
      <w:numFmt w:val="bullet"/>
      <w:lvlText w:val="o"/>
      <w:lvlJc w:val="left"/>
      <w:pPr>
        <w:ind w:left="1440" w:hanging="360"/>
      </w:pPr>
      <w:rPr>
        <w:rFonts w:ascii="Courier New" w:hAnsi="Courier New" w:hint="default"/>
      </w:rPr>
    </w:lvl>
    <w:lvl w:ilvl="2" w:tplc="97CE516C">
      <w:start w:val="1"/>
      <w:numFmt w:val="bullet"/>
      <w:lvlText w:val=""/>
      <w:lvlJc w:val="left"/>
      <w:pPr>
        <w:ind w:left="2160" w:hanging="360"/>
      </w:pPr>
      <w:rPr>
        <w:rFonts w:ascii="Wingdings" w:hAnsi="Wingdings" w:hint="default"/>
      </w:rPr>
    </w:lvl>
    <w:lvl w:ilvl="3" w:tplc="057A8868">
      <w:start w:val="1"/>
      <w:numFmt w:val="bullet"/>
      <w:lvlText w:val=""/>
      <w:lvlJc w:val="left"/>
      <w:pPr>
        <w:ind w:left="2880" w:hanging="360"/>
      </w:pPr>
      <w:rPr>
        <w:rFonts w:ascii="Symbol" w:hAnsi="Symbol" w:hint="default"/>
      </w:rPr>
    </w:lvl>
    <w:lvl w:ilvl="4" w:tplc="745EA9F6">
      <w:start w:val="1"/>
      <w:numFmt w:val="bullet"/>
      <w:lvlText w:val="o"/>
      <w:lvlJc w:val="left"/>
      <w:pPr>
        <w:ind w:left="3600" w:hanging="360"/>
      </w:pPr>
      <w:rPr>
        <w:rFonts w:ascii="Courier New" w:hAnsi="Courier New" w:hint="default"/>
      </w:rPr>
    </w:lvl>
    <w:lvl w:ilvl="5" w:tplc="F82074EA">
      <w:start w:val="1"/>
      <w:numFmt w:val="bullet"/>
      <w:lvlText w:val=""/>
      <w:lvlJc w:val="left"/>
      <w:pPr>
        <w:ind w:left="4320" w:hanging="360"/>
      </w:pPr>
      <w:rPr>
        <w:rFonts w:ascii="Wingdings" w:hAnsi="Wingdings" w:hint="default"/>
      </w:rPr>
    </w:lvl>
    <w:lvl w:ilvl="6" w:tplc="CEAEA048">
      <w:start w:val="1"/>
      <w:numFmt w:val="bullet"/>
      <w:lvlText w:val=""/>
      <w:lvlJc w:val="left"/>
      <w:pPr>
        <w:ind w:left="5040" w:hanging="360"/>
      </w:pPr>
      <w:rPr>
        <w:rFonts w:ascii="Symbol" w:hAnsi="Symbol" w:hint="default"/>
      </w:rPr>
    </w:lvl>
    <w:lvl w:ilvl="7" w:tplc="6566792C">
      <w:start w:val="1"/>
      <w:numFmt w:val="bullet"/>
      <w:lvlText w:val="o"/>
      <w:lvlJc w:val="left"/>
      <w:pPr>
        <w:ind w:left="5760" w:hanging="360"/>
      </w:pPr>
      <w:rPr>
        <w:rFonts w:ascii="Courier New" w:hAnsi="Courier New" w:hint="default"/>
      </w:rPr>
    </w:lvl>
    <w:lvl w:ilvl="8" w:tplc="F5D81782">
      <w:start w:val="1"/>
      <w:numFmt w:val="bullet"/>
      <w:lvlText w:val=""/>
      <w:lvlJc w:val="left"/>
      <w:pPr>
        <w:ind w:left="6480" w:hanging="360"/>
      </w:pPr>
      <w:rPr>
        <w:rFonts w:ascii="Wingdings" w:hAnsi="Wingdings" w:hint="default"/>
      </w:rPr>
    </w:lvl>
  </w:abstractNum>
  <w:abstractNum w:abstractNumId="9" w15:restartNumberingAfterBreak="0">
    <w:nsid w:val="4FBB00DC"/>
    <w:multiLevelType w:val="hybridMultilevel"/>
    <w:tmpl w:val="45A647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2C35791"/>
    <w:multiLevelType w:val="hybridMultilevel"/>
    <w:tmpl w:val="B5CA96DC"/>
    <w:lvl w:ilvl="0" w:tplc="C7909AC4">
      <w:numFmt w:val="bullet"/>
      <w:lvlText w:val="•"/>
      <w:lvlJc w:val="left"/>
      <w:pPr>
        <w:ind w:left="1080" w:hanging="720"/>
      </w:pPr>
      <w:rPr>
        <w:rFonts w:ascii="Corbel" w:eastAsia="Calibri" w:hAnsi="Corbe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AFA6527"/>
    <w:multiLevelType w:val="hybridMultilevel"/>
    <w:tmpl w:val="8D74374A"/>
    <w:lvl w:ilvl="0" w:tplc="5B22958C">
      <w:start w:val="1"/>
      <w:numFmt w:val="bullet"/>
      <w:lvlText w:val=""/>
      <w:lvlJc w:val="left"/>
      <w:pPr>
        <w:ind w:left="720" w:hanging="360"/>
      </w:pPr>
      <w:rPr>
        <w:rFonts w:ascii="Symbol" w:hAnsi="Symbol" w:hint="default"/>
      </w:rPr>
    </w:lvl>
    <w:lvl w:ilvl="1" w:tplc="A36286F0">
      <w:start w:val="1"/>
      <w:numFmt w:val="bullet"/>
      <w:lvlText w:val="o"/>
      <w:lvlJc w:val="left"/>
      <w:pPr>
        <w:ind w:left="1440" w:hanging="360"/>
      </w:pPr>
      <w:rPr>
        <w:rFonts w:ascii="Courier New" w:hAnsi="Courier New" w:hint="default"/>
      </w:rPr>
    </w:lvl>
    <w:lvl w:ilvl="2" w:tplc="16BC6F12">
      <w:start w:val="1"/>
      <w:numFmt w:val="bullet"/>
      <w:lvlText w:val=""/>
      <w:lvlJc w:val="left"/>
      <w:pPr>
        <w:ind w:left="2160" w:hanging="360"/>
      </w:pPr>
      <w:rPr>
        <w:rFonts w:ascii="Wingdings" w:hAnsi="Wingdings" w:hint="default"/>
      </w:rPr>
    </w:lvl>
    <w:lvl w:ilvl="3" w:tplc="79BC8158">
      <w:start w:val="1"/>
      <w:numFmt w:val="bullet"/>
      <w:lvlText w:val=""/>
      <w:lvlJc w:val="left"/>
      <w:pPr>
        <w:ind w:left="2880" w:hanging="360"/>
      </w:pPr>
      <w:rPr>
        <w:rFonts w:ascii="Symbol" w:hAnsi="Symbol" w:hint="default"/>
      </w:rPr>
    </w:lvl>
    <w:lvl w:ilvl="4" w:tplc="830257A2">
      <w:start w:val="1"/>
      <w:numFmt w:val="bullet"/>
      <w:lvlText w:val="o"/>
      <w:lvlJc w:val="left"/>
      <w:pPr>
        <w:ind w:left="3600" w:hanging="360"/>
      </w:pPr>
      <w:rPr>
        <w:rFonts w:ascii="Courier New" w:hAnsi="Courier New" w:hint="default"/>
      </w:rPr>
    </w:lvl>
    <w:lvl w:ilvl="5" w:tplc="55761CAC">
      <w:start w:val="1"/>
      <w:numFmt w:val="bullet"/>
      <w:lvlText w:val=""/>
      <w:lvlJc w:val="left"/>
      <w:pPr>
        <w:ind w:left="4320" w:hanging="360"/>
      </w:pPr>
      <w:rPr>
        <w:rFonts w:ascii="Wingdings" w:hAnsi="Wingdings" w:hint="default"/>
      </w:rPr>
    </w:lvl>
    <w:lvl w:ilvl="6" w:tplc="6422FCC2">
      <w:start w:val="1"/>
      <w:numFmt w:val="bullet"/>
      <w:lvlText w:val=""/>
      <w:lvlJc w:val="left"/>
      <w:pPr>
        <w:ind w:left="5040" w:hanging="360"/>
      </w:pPr>
      <w:rPr>
        <w:rFonts w:ascii="Symbol" w:hAnsi="Symbol" w:hint="default"/>
      </w:rPr>
    </w:lvl>
    <w:lvl w:ilvl="7" w:tplc="54B29C88">
      <w:start w:val="1"/>
      <w:numFmt w:val="bullet"/>
      <w:lvlText w:val="o"/>
      <w:lvlJc w:val="left"/>
      <w:pPr>
        <w:ind w:left="5760" w:hanging="360"/>
      </w:pPr>
      <w:rPr>
        <w:rFonts w:ascii="Courier New" w:hAnsi="Courier New" w:hint="default"/>
      </w:rPr>
    </w:lvl>
    <w:lvl w:ilvl="8" w:tplc="9E1E566E">
      <w:start w:val="1"/>
      <w:numFmt w:val="bullet"/>
      <w:lvlText w:val=""/>
      <w:lvlJc w:val="left"/>
      <w:pPr>
        <w:ind w:left="6480" w:hanging="360"/>
      </w:pPr>
      <w:rPr>
        <w:rFonts w:ascii="Wingdings" w:hAnsi="Wingdings" w:hint="default"/>
      </w:rPr>
    </w:lvl>
  </w:abstractNum>
  <w:abstractNum w:abstractNumId="12" w15:restartNumberingAfterBreak="0">
    <w:nsid w:val="75E4725C"/>
    <w:multiLevelType w:val="hybridMultilevel"/>
    <w:tmpl w:val="23700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640463C"/>
    <w:multiLevelType w:val="hybridMultilevel"/>
    <w:tmpl w:val="57B8C448"/>
    <w:lvl w:ilvl="0" w:tplc="1A64EE58">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11"/>
  </w:num>
  <w:num w:numId="4">
    <w:abstractNumId w:val="6"/>
  </w:num>
  <w:num w:numId="5">
    <w:abstractNumId w:val="8"/>
  </w:num>
  <w:num w:numId="6">
    <w:abstractNumId w:val="12"/>
  </w:num>
  <w:num w:numId="7">
    <w:abstractNumId w:val="1"/>
  </w:num>
  <w:num w:numId="8">
    <w:abstractNumId w:val="13"/>
  </w:num>
  <w:num w:numId="9">
    <w:abstractNumId w:val="5"/>
  </w:num>
  <w:num w:numId="10">
    <w:abstractNumId w:val="10"/>
  </w:num>
  <w:num w:numId="11">
    <w:abstractNumId w:val="7"/>
  </w:num>
  <w:num w:numId="12">
    <w:abstractNumId w:val="4"/>
  </w:num>
  <w:num w:numId="13">
    <w:abstractNumId w:val="3"/>
  </w:num>
  <w:num w:numId="1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ye, Steve">
    <w15:presenceInfo w15:providerId="AD" w15:userId="S::s.pye_ucl.ac.uk#ext#@leeds365.onmicrosoft.com::e259879c-eabf-4daf-b56b-8bd306d9aa9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7EA"/>
    <w:rsid w:val="00031F47"/>
    <w:rsid w:val="00090364"/>
    <w:rsid w:val="000E55C1"/>
    <w:rsid w:val="00122EBD"/>
    <w:rsid w:val="00182813"/>
    <w:rsid w:val="001A0289"/>
    <w:rsid w:val="00270777"/>
    <w:rsid w:val="002C4C13"/>
    <w:rsid w:val="00343460"/>
    <w:rsid w:val="00353AD1"/>
    <w:rsid w:val="00374CE6"/>
    <w:rsid w:val="004935FA"/>
    <w:rsid w:val="004A7666"/>
    <w:rsid w:val="00553432"/>
    <w:rsid w:val="00615EBB"/>
    <w:rsid w:val="00654178"/>
    <w:rsid w:val="00660864"/>
    <w:rsid w:val="00691C76"/>
    <w:rsid w:val="006C1777"/>
    <w:rsid w:val="006D5B93"/>
    <w:rsid w:val="006F799C"/>
    <w:rsid w:val="00760A7F"/>
    <w:rsid w:val="00783139"/>
    <w:rsid w:val="007E0E5D"/>
    <w:rsid w:val="007F4C9E"/>
    <w:rsid w:val="00925E7B"/>
    <w:rsid w:val="00955BCE"/>
    <w:rsid w:val="009627EA"/>
    <w:rsid w:val="00966E22"/>
    <w:rsid w:val="009A1D23"/>
    <w:rsid w:val="00A14385"/>
    <w:rsid w:val="00B46E58"/>
    <w:rsid w:val="00B77FF9"/>
    <w:rsid w:val="00BA43CF"/>
    <w:rsid w:val="00BB55E4"/>
    <w:rsid w:val="00BB71AC"/>
    <w:rsid w:val="00BD153E"/>
    <w:rsid w:val="00C35171"/>
    <w:rsid w:val="00CE7CE8"/>
    <w:rsid w:val="00DA57DD"/>
    <w:rsid w:val="00E12155"/>
    <w:rsid w:val="00E956BD"/>
    <w:rsid w:val="00EB620C"/>
    <w:rsid w:val="00F75044"/>
    <w:rsid w:val="017C39C5"/>
    <w:rsid w:val="0599D675"/>
    <w:rsid w:val="0BFC42EB"/>
    <w:rsid w:val="1306BAED"/>
    <w:rsid w:val="1C1A543B"/>
    <w:rsid w:val="231C461E"/>
    <w:rsid w:val="2364140B"/>
    <w:rsid w:val="253A4277"/>
    <w:rsid w:val="384DC542"/>
    <w:rsid w:val="3B856604"/>
    <w:rsid w:val="3D213665"/>
    <w:rsid w:val="3EBD06C6"/>
    <w:rsid w:val="40211EF6"/>
    <w:rsid w:val="42D75493"/>
    <w:rsid w:val="4798EE04"/>
    <w:rsid w:val="493DEAF7"/>
    <w:rsid w:val="4ECE1333"/>
    <w:rsid w:val="5E16C16E"/>
    <w:rsid w:val="6058B355"/>
    <w:rsid w:val="60CEAC5D"/>
    <w:rsid w:val="63B32DA9"/>
    <w:rsid w:val="67048D45"/>
    <w:rsid w:val="69BCEA90"/>
    <w:rsid w:val="6AF560C0"/>
    <w:rsid w:val="6E4629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024282"/>
  <w15:chartTrackingRefBased/>
  <w15:docId w15:val="{45A7FC01-36D2-439E-98C8-28E10F073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627E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627E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627E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9627E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27EA"/>
    <w:rPr>
      <w:rFonts w:asciiTheme="majorHAnsi" w:eastAsiaTheme="majorEastAsia" w:hAnsiTheme="majorHAnsi" w:cstheme="majorBidi"/>
      <w:color w:val="2E74B5" w:themeColor="accent1" w:themeShade="BF"/>
      <w:sz w:val="32"/>
      <w:szCs w:val="32"/>
    </w:rPr>
  </w:style>
  <w:style w:type="character" w:customStyle="1" w:styleId="normaltextrun">
    <w:name w:val="normaltextrun"/>
    <w:basedOn w:val="DefaultParagraphFont"/>
    <w:rsid w:val="009627EA"/>
  </w:style>
  <w:style w:type="paragraph" w:customStyle="1" w:styleId="paragraph">
    <w:name w:val="paragraph"/>
    <w:basedOn w:val="Normal"/>
    <w:rsid w:val="009627E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9627EA"/>
  </w:style>
  <w:style w:type="character" w:customStyle="1" w:styleId="Heading2Char">
    <w:name w:val="Heading 2 Char"/>
    <w:basedOn w:val="DefaultParagraphFont"/>
    <w:link w:val="Heading2"/>
    <w:uiPriority w:val="9"/>
    <w:rsid w:val="009627EA"/>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59"/>
    <w:rsid w:val="009627EA"/>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ußnotentextf,Footnote text,Fußnote,-E Fußnotentext,Fußnotentext Ursprung,footnote text,-E Fußnotentext1,-E Fußnotentext2,-E Fußnotentext3"/>
    <w:basedOn w:val="Normal"/>
    <w:link w:val="FootnoteTextChar"/>
    <w:uiPriority w:val="99"/>
    <w:unhideWhenUsed/>
    <w:rsid w:val="009627EA"/>
    <w:pPr>
      <w:spacing w:after="0" w:line="240" w:lineRule="auto"/>
    </w:pPr>
    <w:rPr>
      <w:sz w:val="20"/>
      <w:szCs w:val="20"/>
    </w:rPr>
  </w:style>
  <w:style w:type="character" w:customStyle="1" w:styleId="FootnoteTextChar">
    <w:name w:val="Footnote Text Char"/>
    <w:aliases w:val="Fußnotentextf Char,Footnote text Char,Fußnote Char,-E Fußnotentext Char,Fußnotentext Ursprung Char,footnote text Char,-E Fußnotentext1 Char,-E Fußnotentext2 Char,-E Fußnotentext3 Char"/>
    <w:basedOn w:val="DefaultParagraphFont"/>
    <w:link w:val="FootnoteText"/>
    <w:uiPriority w:val="99"/>
    <w:rsid w:val="009627EA"/>
    <w:rPr>
      <w:sz w:val="20"/>
      <w:szCs w:val="20"/>
    </w:rPr>
  </w:style>
  <w:style w:type="character" w:styleId="FootnoteReference">
    <w:name w:val="footnote reference"/>
    <w:aliases w:val="number,SUPERS,Footnote Reference Superscript,-E Fuﬂnotenzeichen,-E Fuûnotenzeichen,-E Fußnotenzeichen,EN Footnote Reference,Footnote number,stylish,Footnote symbol,(Footnote Reference),Footnote reference number,note TESI,BVI fnr"/>
    <w:basedOn w:val="DefaultParagraphFont"/>
    <w:uiPriority w:val="99"/>
    <w:unhideWhenUsed/>
    <w:rsid w:val="009627EA"/>
    <w:rPr>
      <w:vertAlign w:val="superscript"/>
    </w:rPr>
  </w:style>
  <w:style w:type="character" w:customStyle="1" w:styleId="Heading3Char">
    <w:name w:val="Heading 3 Char"/>
    <w:basedOn w:val="DefaultParagraphFont"/>
    <w:link w:val="Heading3"/>
    <w:uiPriority w:val="9"/>
    <w:rsid w:val="009627EA"/>
    <w:rPr>
      <w:rFonts w:asciiTheme="majorHAnsi" w:eastAsiaTheme="majorEastAsia" w:hAnsiTheme="majorHAnsi" w:cstheme="majorBidi"/>
      <w:color w:val="1F4D78" w:themeColor="accent1" w:themeShade="7F"/>
      <w:sz w:val="24"/>
      <w:szCs w:val="24"/>
    </w:rPr>
  </w:style>
  <w:style w:type="paragraph" w:styleId="ListParagraph">
    <w:name w:val="List Paragraph"/>
    <w:aliases w:val="Left Bullet L1"/>
    <w:basedOn w:val="Normal"/>
    <w:link w:val="ListParagraphChar"/>
    <w:uiPriority w:val="34"/>
    <w:qFormat/>
    <w:rsid w:val="009627EA"/>
    <w:pPr>
      <w:numPr>
        <w:numId w:val="1"/>
      </w:numPr>
      <w:spacing w:after="180" w:line="288" w:lineRule="auto"/>
      <w:contextualSpacing/>
    </w:pPr>
    <w:rPr>
      <w:rFonts w:ascii="Corbel" w:eastAsia="Calibri" w:hAnsi="Corbel" w:cs="Arial"/>
      <w:color w:val="262626"/>
      <w:sz w:val="24"/>
      <w:szCs w:val="24"/>
      <w:lang w:val="en-US"/>
    </w:rPr>
  </w:style>
  <w:style w:type="character" w:customStyle="1" w:styleId="ListParagraphChar">
    <w:name w:val="List Paragraph Char"/>
    <w:aliases w:val="Left Bullet L1 Char"/>
    <w:basedOn w:val="DefaultParagraphFont"/>
    <w:link w:val="ListParagraph"/>
    <w:uiPriority w:val="34"/>
    <w:rsid w:val="009627EA"/>
    <w:rPr>
      <w:rFonts w:ascii="Corbel" w:eastAsia="Calibri" w:hAnsi="Corbel" w:cs="Arial"/>
      <w:color w:val="262626"/>
      <w:sz w:val="24"/>
      <w:szCs w:val="24"/>
      <w:lang w:val="en-US"/>
    </w:rPr>
  </w:style>
  <w:style w:type="character" w:styleId="CommentReference">
    <w:name w:val="annotation reference"/>
    <w:basedOn w:val="DefaultParagraphFont"/>
    <w:uiPriority w:val="99"/>
    <w:semiHidden/>
    <w:unhideWhenUsed/>
    <w:rsid w:val="009627EA"/>
    <w:rPr>
      <w:sz w:val="16"/>
      <w:szCs w:val="16"/>
    </w:rPr>
  </w:style>
  <w:style w:type="paragraph" w:styleId="CommentText">
    <w:name w:val="annotation text"/>
    <w:basedOn w:val="Normal"/>
    <w:link w:val="CommentTextChar"/>
    <w:uiPriority w:val="99"/>
    <w:unhideWhenUsed/>
    <w:rsid w:val="009627EA"/>
    <w:pPr>
      <w:spacing w:after="180" w:line="240" w:lineRule="auto"/>
    </w:pPr>
    <w:rPr>
      <w:rFonts w:ascii="Corbel" w:eastAsia="Calibri" w:hAnsi="Corbel" w:cs="Arial"/>
      <w:sz w:val="20"/>
      <w:szCs w:val="20"/>
      <w:lang w:val="en-US"/>
    </w:rPr>
  </w:style>
  <w:style w:type="character" w:customStyle="1" w:styleId="CommentTextChar">
    <w:name w:val="Comment Text Char"/>
    <w:basedOn w:val="DefaultParagraphFont"/>
    <w:link w:val="CommentText"/>
    <w:uiPriority w:val="99"/>
    <w:rsid w:val="009627EA"/>
    <w:rPr>
      <w:rFonts w:ascii="Corbel" w:eastAsia="Calibri" w:hAnsi="Corbel" w:cs="Arial"/>
      <w:sz w:val="20"/>
      <w:szCs w:val="20"/>
      <w:lang w:val="en-US"/>
    </w:rPr>
  </w:style>
  <w:style w:type="paragraph" w:styleId="BalloonText">
    <w:name w:val="Balloon Text"/>
    <w:basedOn w:val="Normal"/>
    <w:link w:val="BalloonTextChar"/>
    <w:uiPriority w:val="99"/>
    <w:semiHidden/>
    <w:unhideWhenUsed/>
    <w:rsid w:val="009627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27EA"/>
    <w:rPr>
      <w:rFonts w:ascii="Segoe UI" w:hAnsi="Segoe UI" w:cs="Segoe UI"/>
      <w:sz w:val="18"/>
      <w:szCs w:val="18"/>
    </w:rPr>
  </w:style>
  <w:style w:type="character" w:customStyle="1" w:styleId="Heading4Char">
    <w:name w:val="Heading 4 Char"/>
    <w:basedOn w:val="DefaultParagraphFont"/>
    <w:link w:val="Heading4"/>
    <w:uiPriority w:val="9"/>
    <w:semiHidden/>
    <w:rsid w:val="009627EA"/>
    <w:rPr>
      <w:rFonts w:asciiTheme="majorHAnsi" w:eastAsiaTheme="majorEastAsia" w:hAnsiTheme="majorHAnsi" w:cstheme="majorBidi"/>
      <w:i/>
      <w:iCs/>
      <w:color w:val="2E74B5" w:themeColor="accent1" w:themeShade="BF"/>
    </w:rPr>
  </w:style>
  <w:style w:type="paragraph" w:styleId="TOCHeading">
    <w:name w:val="TOC Heading"/>
    <w:basedOn w:val="Heading1"/>
    <w:next w:val="Normal"/>
    <w:uiPriority w:val="39"/>
    <w:unhideWhenUsed/>
    <w:qFormat/>
    <w:rsid w:val="007E0E5D"/>
    <w:pPr>
      <w:outlineLvl w:val="9"/>
    </w:pPr>
    <w:rPr>
      <w:lang w:val="en-US"/>
    </w:rPr>
  </w:style>
  <w:style w:type="paragraph" w:styleId="TOC1">
    <w:name w:val="toc 1"/>
    <w:basedOn w:val="Normal"/>
    <w:next w:val="Normal"/>
    <w:autoRedefine/>
    <w:uiPriority w:val="39"/>
    <w:unhideWhenUsed/>
    <w:rsid w:val="007E0E5D"/>
    <w:pPr>
      <w:spacing w:after="100"/>
    </w:pPr>
  </w:style>
  <w:style w:type="paragraph" w:styleId="TOC2">
    <w:name w:val="toc 2"/>
    <w:basedOn w:val="Normal"/>
    <w:next w:val="Normal"/>
    <w:autoRedefine/>
    <w:uiPriority w:val="39"/>
    <w:unhideWhenUsed/>
    <w:rsid w:val="007E0E5D"/>
    <w:pPr>
      <w:spacing w:after="100"/>
      <w:ind w:left="220"/>
    </w:pPr>
  </w:style>
  <w:style w:type="paragraph" w:styleId="TOC3">
    <w:name w:val="toc 3"/>
    <w:basedOn w:val="Normal"/>
    <w:next w:val="Normal"/>
    <w:autoRedefine/>
    <w:uiPriority w:val="39"/>
    <w:unhideWhenUsed/>
    <w:rsid w:val="007E0E5D"/>
    <w:pPr>
      <w:spacing w:after="100"/>
      <w:ind w:left="440"/>
    </w:pPr>
  </w:style>
  <w:style w:type="character" w:styleId="Hyperlink">
    <w:name w:val="Hyperlink"/>
    <w:basedOn w:val="DefaultParagraphFont"/>
    <w:uiPriority w:val="99"/>
    <w:unhideWhenUsed/>
    <w:rsid w:val="007E0E5D"/>
    <w:rPr>
      <w:color w:val="0563C1" w:themeColor="hyperlink"/>
      <w:u w:val="single"/>
    </w:rPr>
  </w:style>
  <w:style w:type="paragraph" w:styleId="NoSpacing">
    <w:name w:val="No Spacing"/>
    <w:uiPriority w:val="1"/>
    <w:qFormat/>
    <w:rsid w:val="00F75044"/>
    <w:pPr>
      <w:spacing w:after="0" w:line="240" w:lineRule="auto"/>
    </w:pPr>
  </w:style>
  <w:style w:type="character" w:styleId="LineNumber">
    <w:name w:val="line number"/>
    <w:basedOn w:val="DefaultParagraphFont"/>
    <w:uiPriority w:val="99"/>
    <w:semiHidden/>
    <w:unhideWhenUsed/>
    <w:rsid w:val="002C4C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6867761">
      <w:bodyDiv w:val="1"/>
      <w:marLeft w:val="0"/>
      <w:marRight w:val="0"/>
      <w:marTop w:val="0"/>
      <w:marBottom w:val="0"/>
      <w:divBdr>
        <w:top w:val="none" w:sz="0" w:space="0" w:color="auto"/>
        <w:left w:val="none" w:sz="0" w:space="0" w:color="auto"/>
        <w:bottom w:val="none" w:sz="0" w:space="0" w:color="auto"/>
        <w:right w:val="none" w:sz="0" w:space="0" w:color="auto"/>
      </w:divBdr>
      <w:divsChild>
        <w:div w:id="1167788795">
          <w:marLeft w:val="0"/>
          <w:marRight w:val="0"/>
          <w:marTop w:val="0"/>
          <w:marBottom w:val="0"/>
          <w:divBdr>
            <w:top w:val="none" w:sz="0" w:space="0" w:color="auto"/>
            <w:left w:val="none" w:sz="0" w:space="0" w:color="auto"/>
            <w:bottom w:val="none" w:sz="0" w:space="0" w:color="auto"/>
            <w:right w:val="none" w:sz="0" w:space="0" w:color="auto"/>
          </w:divBdr>
        </w:div>
        <w:div w:id="998659315">
          <w:marLeft w:val="0"/>
          <w:marRight w:val="0"/>
          <w:marTop w:val="0"/>
          <w:marBottom w:val="0"/>
          <w:divBdr>
            <w:top w:val="none" w:sz="0" w:space="0" w:color="auto"/>
            <w:left w:val="none" w:sz="0" w:space="0" w:color="auto"/>
            <w:bottom w:val="none" w:sz="0" w:space="0" w:color="auto"/>
            <w:right w:val="none" w:sz="0" w:space="0" w:color="auto"/>
          </w:divBdr>
        </w:div>
        <w:div w:id="2110006322">
          <w:marLeft w:val="0"/>
          <w:marRight w:val="0"/>
          <w:marTop w:val="0"/>
          <w:marBottom w:val="0"/>
          <w:divBdr>
            <w:top w:val="none" w:sz="0" w:space="0" w:color="auto"/>
            <w:left w:val="none" w:sz="0" w:space="0" w:color="auto"/>
            <w:bottom w:val="none" w:sz="0" w:space="0" w:color="auto"/>
            <w:right w:val="none" w:sz="0" w:space="0" w:color="auto"/>
          </w:divBdr>
        </w:div>
      </w:divsChild>
    </w:div>
    <w:div w:id="1078359175">
      <w:bodyDiv w:val="1"/>
      <w:marLeft w:val="0"/>
      <w:marRight w:val="0"/>
      <w:marTop w:val="0"/>
      <w:marBottom w:val="0"/>
      <w:divBdr>
        <w:top w:val="none" w:sz="0" w:space="0" w:color="auto"/>
        <w:left w:val="none" w:sz="0" w:space="0" w:color="auto"/>
        <w:bottom w:val="none" w:sz="0" w:space="0" w:color="auto"/>
        <w:right w:val="none" w:sz="0" w:space="0" w:color="auto"/>
      </w:divBdr>
    </w:div>
    <w:div w:id="1334650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theme" Target="theme/theme1.xml"/><Relationship Id="R96dd1584b925419a"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r.barrett@leeds.ac.uk" TargetMode="External"/><Relationship Id="R4c9b8a7d354949c4"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B92C75DBE2374DAF7AA17DFA9FE176" ma:contentTypeVersion="11" ma:contentTypeDescription="Create a new document." ma:contentTypeScope="" ma:versionID="a780ce39afa55383406020762c0500c1">
  <xsd:schema xmlns:xsd="http://www.w3.org/2001/XMLSchema" xmlns:xs="http://www.w3.org/2001/XMLSchema" xmlns:p="http://schemas.microsoft.com/office/2006/metadata/properties" xmlns:ns2="31865436-af21-42f6-8550-86ccb5ef9b50" xmlns:ns3="1b0df1e9-c4b8-4387-bfac-76c1eef7de26" targetNamespace="http://schemas.microsoft.com/office/2006/metadata/properties" ma:root="true" ma:fieldsID="abfd4ef67eeb9305af803aa1f3a88d78" ns2:_="" ns3:_="">
    <xsd:import namespace="31865436-af21-42f6-8550-86ccb5ef9b50"/>
    <xsd:import namespace="1b0df1e9-c4b8-4387-bfac-76c1eef7de2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865436-af21-42f6-8550-86ccb5ef9b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b0df1e9-c4b8-4387-bfac-76c1eef7de2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1b0df1e9-c4b8-4387-bfac-76c1eef7de26">
      <UserInfo>
        <DisplayName>Samuel Betts-Davies</DisplayName>
        <AccountId>33</AccountId>
        <AccountType/>
      </UserInfo>
      <UserInfo>
        <DisplayName>Greg Marsden</DisplayName>
        <AccountId>54</AccountId>
        <AccountType/>
      </UserInfo>
      <UserInfo>
        <DisplayName>Jillian Anable</DisplayName>
        <AccountId>52</AccountId>
        <AccountType/>
      </UserInfo>
      <UserInfo>
        <DisplayName>Jonathan Norman</DisplayName>
        <AccountId>15</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FAD2A8-35C8-4B5B-AA0A-88B820B530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865436-af21-42f6-8550-86ccb5ef9b50"/>
    <ds:schemaRef ds:uri="1b0df1e9-c4b8-4387-bfac-76c1eef7de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B68E36-AF40-472F-97A8-15053D4F1347}">
  <ds:schemaRefs>
    <ds:schemaRef ds:uri="http://schemas.microsoft.com/office/2006/metadata/properties"/>
    <ds:schemaRef ds:uri="http://schemas.microsoft.com/office/infopath/2007/PartnerControls"/>
    <ds:schemaRef ds:uri="1b0df1e9-c4b8-4387-bfac-76c1eef7de26"/>
  </ds:schemaRefs>
</ds:datastoreItem>
</file>

<file path=customXml/itemProps3.xml><?xml version="1.0" encoding="utf-8"?>
<ds:datastoreItem xmlns:ds="http://schemas.openxmlformats.org/officeDocument/2006/customXml" ds:itemID="{711948E9-5022-4FE6-9885-9BD4B50D9455}">
  <ds:schemaRefs>
    <ds:schemaRef ds:uri="http://schemas.microsoft.com/sharepoint/v3/contenttype/forms"/>
  </ds:schemaRefs>
</ds:datastoreItem>
</file>

<file path=customXml/itemProps4.xml><?xml version="1.0" encoding="utf-8"?>
<ds:datastoreItem xmlns:ds="http://schemas.openxmlformats.org/officeDocument/2006/customXml" ds:itemID="{0A1646F8-191E-4305-A6C4-B218F30012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64089</Words>
  <Characters>365308</Characters>
  <Application>Microsoft Office Word</Application>
  <DocSecurity>0</DocSecurity>
  <Lines>3044</Lines>
  <Paragraphs>857</Paragraphs>
  <ScaleCrop>false</ScaleCrop>
  <HeadingPairs>
    <vt:vector size="2" baseType="variant">
      <vt:variant>
        <vt:lpstr>Title</vt:lpstr>
      </vt:variant>
      <vt:variant>
        <vt:i4>1</vt:i4>
      </vt:variant>
    </vt:vector>
  </HeadingPairs>
  <TitlesOfParts>
    <vt:vector size="1" baseType="lpstr">
      <vt:lpstr/>
    </vt:vector>
  </TitlesOfParts>
  <Company>University of Leeds</Company>
  <LinksUpToDate>false</LinksUpToDate>
  <CharactersWithSpaces>428540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Barrett</dc:creator>
  <cp:keywords/>
  <dc:description/>
  <cp:lastModifiedBy>John Barrett</cp:lastModifiedBy>
  <cp:revision>5</cp:revision>
  <dcterms:created xsi:type="dcterms:W3CDTF">2021-11-11T10:30:00Z</dcterms:created>
  <dcterms:modified xsi:type="dcterms:W3CDTF">2021-11-11T13:55:00Z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0x010100B8B92C75DBE2374DAF7AA17DFA9FE176</vt:lpwstr>
  </property>
  <property fmtid="{D5CDD505-2E9C-101B-9397-08002B2CF9AE}" pid="3" name="Mendeley Recent Style Id 0_1">
    <vt:lpwstr>http://www.zotero.org/styles/american-political-science-association</vt:lpwstr>
  </property>
  <property fmtid="{D5CDD505-2E9C-101B-9397-08002B2CF9AE}" pid="4" name="Mendeley Recent Style Name 0_1">
    <vt:lpwstr>American Political Science Association</vt:lpwstr>
  </property>
  <property fmtid="{D5CDD505-2E9C-101B-9397-08002B2CF9AE}" pid="5" name="Mendeley Recent Style Id 1_1">
    <vt:lpwstr>http://www.zotero.org/styles/apa</vt:lpwstr>
  </property>
  <property fmtid="{D5CDD505-2E9C-101B-9397-08002B2CF9AE}" pid="6" name="Mendeley Recent Style Name 1_1">
    <vt:lpwstr>American Psychological Association 7th edition</vt:lpwstr>
  </property>
  <property fmtid="{D5CDD505-2E9C-101B-9397-08002B2CF9AE}" pid="7" name="Mendeley Recent Style Id 2_1">
    <vt:lpwstr>http://www.zotero.org/styles/american-sociological-association</vt:lpwstr>
  </property>
  <property fmtid="{D5CDD505-2E9C-101B-9397-08002B2CF9AE}" pid="8" name="Mendeley Recent Style Name 2_1">
    <vt:lpwstr>American Sociological Association 6th edition</vt:lpwstr>
  </property>
  <property fmtid="{D5CDD505-2E9C-101B-9397-08002B2CF9AE}" pid="9" name="Mendeley Recent Style Id 3_1">
    <vt:lpwstr>http://www.zotero.org/styles/chicago-author-date</vt:lpwstr>
  </property>
  <property fmtid="{D5CDD505-2E9C-101B-9397-08002B2CF9AE}" pid="10" name="Mendeley Recent Style Name 3_1">
    <vt:lpwstr>Chicago Manual of Style 17th edition (author-date)</vt:lpwstr>
  </property>
  <property fmtid="{D5CDD505-2E9C-101B-9397-08002B2CF9AE}" pid="11" name="Mendeley Recent Style Id 4_1">
    <vt:lpwstr>http://www.zotero.org/styles/harvard-cite-them-right</vt:lpwstr>
  </property>
  <property fmtid="{D5CDD505-2E9C-101B-9397-08002B2CF9AE}" pid="12" name="Mendeley Recent Style Name 4_1">
    <vt:lpwstr>Cite Them Right 10th edition - Harvard</vt:lpwstr>
  </property>
  <property fmtid="{D5CDD505-2E9C-101B-9397-08002B2CF9AE}" pid="13" name="Mendeley Recent Style Id 5_1">
    <vt:lpwstr>http://www.zotero.org/styles/ieee</vt:lpwstr>
  </property>
  <property fmtid="{D5CDD505-2E9C-101B-9397-08002B2CF9AE}" pid="14" name="Mendeley Recent Style Name 5_1">
    <vt:lpwstr>IEEE</vt:lpwstr>
  </property>
  <property fmtid="{D5CDD505-2E9C-101B-9397-08002B2CF9AE}" pid="15" name="Mendeley Recent Style Id 6_1">
    <vt:lpwstr>http://www.zotero.org/styles/nature</vt:lpwstr>
  </property>
  <property fmtid="{D5CDD505-2E9C-101B-9397-08002B2CF9AE}" pid="16" name="Mendeley Recent Style Name 6_1">
    <vt:lpwstr>Nature</vt:lpwstr>
  </property>
  <property fmtid="{D5CDD505-2E9C-101B-9397-08002B2CF9AE}" pid="17" name="Mendeley Recent Style Id 7_1">
    <vt:lpwstr>http://www.zotero.org/styles/sustainability</vt:lpwstr>
  </property>
  <property fmtid="{D5CDD505-2E9C-101B-9397-08002B2CF9AE}" pid="18" name="Mendeley Recent Style Name 7_1">
    <vt:lpwstr>Sustainability</vt:lpwstr>
  </property>
  <property fmtid="{D5CDD505-2E9C-101B-9397-08002B2CF9AE}" pid="19" name="Mendeley Recent Style Id 8_1">
    <vt:lpwstr>http://www.zotero.org/styles/harvard-university-of-leeds</vt:lpwstr>
  </property>
  <property fmtid="{D5CDD505-2E9C-101B-9397-08002B2CF9AE}" pid="20" name="Mendeley Recent Style Name 8_1">
    <vt:lpwstr>University of Leeds - Harvard</vt:lpwstr>
  </property>
  <property fmtid="{D5CDD505-2E9C-101B-9397-08002B2CF9AE}" pid="21" name="Mendeley Recent Style Id 9_1">
    <vt:lpwstr>http://www.zotero.org/styles/vancouver</vt:lpwstr>
  </property>
  <property fmtid="{D5CDD505-2E9C-101B-9397-08002B2CF9AE}" pid="22" name="Mendeley Recent Style Name 9_1">
    <vt:lpwstr>Vancouver</vt:lpwstr>
  </property>
  <property fmtid="{D5CDD505-2E9C-101B-9397-08002B2CF9AE}" pid="23" name="Mendeley Citation Style_1">
    <vt:lpwstr>http://www.zotero.org/styles/nature</vt:lpwstr>
  </property>
  <property fmtid="{D5CDD505-2E9C-101B-9397-08002B2CF9AE}" pid="24" name="Mendeley Document_1">
    <vt:lpwstr>True</vt:lpwstr>
  </property>
  <property fmtid="{D5CDD505-2E9C-101B-9397-08002B2CF9AE}" pid="25" name="Mendeley Unique User Id_1">
    <vt:lpwstr>7a98d161-5a1b-353b-b731-88f9aa0f5616</vt:lpwstr>
  </property>
</Properties>
</file>