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30"/>
          <w:szCs w:val="30"/>
        </w:rPr>
        <w:t xml:space="preserve">Supplementary Materials</w:t>
      </w:r>
    </w:p>
    <w:p>
      <w:pPr>
        <w:spacing w:after="160"/>
      </w:pPr>
      <w:r>
        <w:rPr>
          <w:i/>
          <w:iCs/>
          <w:sz w:val="20"/>
          <w:szCs w:val="20"/>
        </w:rPr>
        <w:t xml:space="preserve">Uncertainty-Aware Multi-Outcome Screening for Undiagnosed Cardiometabolic Disease in the United States Population Using NHANES</w:t>
      </w:r>
    </w:p>
    <w:p>
      <w:pPr>
        <w:spacing w:after="140" w:line="480" w:lineRule="auto"/>
        <w:jc w:val="both"/>
      </w:pPr>
      <w:r>
        <w:rPr>
          <w:i w:val="false"/>
          <w:iCs w:val="false"/>
          <w:sz w:val="20"/>
          <w:szCs w:val="20"/>
        </w:rPr>
        <w:t xml:space="preserve">This document provides seven supplementary tables and one supplementary figure referenced in the main manuscript: outcome definitions and diagnostic thresholds (S1), predictor variables by deployment scenario (S2), variable-level missingness (S3), the complete model hyperparameters and training configuration (S4), outcome prevalence with eligibility exclusions and survey-weighted estimates (S5), classification metrics across probability thresholds (S6), repeated cross-validation of discrimination (S7), and a silhouette analysis of the learned embeddings (Figure S1).</w:t>
      </w:r>
    </w:p>
    <w:p>
      <w:pPr>
        <w:pStyle w:val="Heading2"/>
        <w:spacing w:after="120" w:before="260"/>
      </w:pPr>
      <w:r>
        <w:rPr>
          <w:b/>
          <w:bCs/>
        </w:rPr>
        <w:t xml:space="preserve">Supplementary Table S1. Clinical outcome definitions, NHANES variables, and diagnostic thresholds</w:t>
      </w:r>
    </w:p>
    <w:tbl>
      <w:tblPr>
        <w:tblW w:type="dxa" w:w="9400"/>
        <w:tblBorders>
          <w:top w:val="single" w:color="1F3B57" w:sz="4"/>
          <w:left w:val="none"/>
          <w:bottom w:val="single" w:color="1F3B57" w:sz="4"/>
          <w:right w:val="none"/>
          <w:insideH w:val="single" w:color="BBBBBB" w:sz="2"/>
          <w:insideV w:val="none"/>
        </w:tblBorders>
      </w:tblPr>
      <w:tblGrid>
        <w:gridCol w:w="1500"/>
        <w:gridCol w:w="1900"/>
        <w:gridCol w:w="1700"/>
        <w:gridCol w:w="4300"/>
      </w:tblGrid>
      <w:tr>
        <w:trPr>
          <w:tblHeader/>
        </w:trPr>
        <w:tc>
          <w:tcPr>
            <w:tcW w:type="dxa" w:w="15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Outcome</w:t>
            </w:r>
          </w:p>
        </w:tc>
        <w:tc>
          <w:tcPr>
            <w:tcW w:type="dxa" w:w="19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Component</w:t>
            </w:r>
          </w:p>
        </w:tc>
        <w:tc>
          <w:tcPr>
            <w:tcW w:type="dxa" w:w="17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NHANES variable(s)</w:t>
            </w:r>
          </w:p>
        </w:tc>
        <w:tc>
          <w:tcPr>
            <w:tcW w:type="dxa" w:w="43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Definition / diagnostic threshold</w:t>
            </w:r>
          </w:p>
        </w:tc>
      </w:tr>
      <w:tr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Undiagnosed diabetes</w:t>
            </w:r>
          </w:p>
        </w:tc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Known diabetes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DIQ010</w:t>
            </w:r>
          </w:p>
        </w:tc>
        <w:tc>
          <w:tcPr>
            <w:tcW w:type="dxa" w:w="4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Self-reported prior diagnosis of diabetes by a doctor or health professional.</w:t>
            </w:r>
          </w:p>
        </w:tc>
      </w:tr>
      <w:tr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Biomarker-defined diabetes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LBXGH; LBXGLU</w:t>
            </w:r>
          </w:p>
        </w:tc>
        <w:tc>
          <w:tcPr>
            <w:tcW w:type="dxa" w:w="4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HbA1c ≥ 6.5% OR fasting plasma glucose ≥ 126 mg/dL.</w:t>
            </w:r>
          </w:p>
        </w:tc>
      </w:tr>
      <w:tr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Outcome label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NA</w:t>
            </w:r>
          </w:p>
        </w:tc>
        <w:tc>
          <w:tcPr>
            <w:tcW w:type="dxa" w:w="4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Known diabetes = No AND biomarker-defined diabetes = Yes.</w:t>
            </w:r>
          </w:p>
        </w:tc>
      </w:tr>
      <w:tr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Undiagnosed hypertension</w:t>
            </w:r>
          </w:p>
        </w:tc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Known hypertension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BPQ020</w:t>
            </w:r>
          </w:p>
        </w:tc>
        <w:tc>
          <w:tcPr>
            <w:tcW w:type="dxa" w:w="4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Self-reported prior diagnosis of high blood pressure.</w:t>
            </w:r>
          </w:p>
        </w:tc>
      </w:tr>
      <w:tr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Measured hypertension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BPXSY1-3; BPXDI1-3</w:t>
            </w:r>
          </w:p>
        </w:tc>
        <w:tc>
          <w:tcPr>
            <w:tcW w:type="dxa" w:w="4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Mean systolic BP ≥ 130 mmHg OR mean diastolic BP ≥ 80 mmHg.</w:t>
            </w:r>
          </w:p>
        </w:tc>
      </w:tr>
      <w:tr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Outcome label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NA</w:t>
            </w:r>
          </w:p>
        </w:tc>
        <w:tc>
          <w:tcPr>
            <w:tcW w:type="dxa" w:w="4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Known hypertension = No AND measured hypertension = Yes.</w:t>
            </w:r>
          </w:p>
        </w:tc>
      </w:tr>
      <w:tr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Undiagnosed dyslipidemia</w:t>
            </w:r>
          </w:p>
        </w:tc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Known high cholesterol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BPQ080</w:t>
            </w:r>
          </w:p>
        </w:tc>
        <w:tc>
          <w:tcPr>
            <w:tcW w:type="dxa" w:w="4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Self-reported prior diagnosis of high cholesterol.</w:t>
            </w:r>
          </w:p>
        </w:tc>
      </w:tr>
      <w:tr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Measured dyslipidemia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LBXTC; LBDHDD; LBXTR</w:t>
            </w:r>
          </w:p>
        </w:tc>
        <w:tc>
          <w:tcPr>
            <w:tcW w:type="dxa" w:w="4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Total cholesterol ≥ 240 mg/dL OR HDL &lt; 40 mg/dL OR triglycerides ≥ 200 mg/dL.</w:t>
            </w:r>
          </w:p>
        </w:tc>
      </w:tr>
      <w:tr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Outcome label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NA</w:t>
            </w:r>
          </w:p>
        </w:tc>
        <w:tc>
          <w:tcPr>
            <w:tcW w:type="dxa" w:w="4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Known high cholesterol = No AND measured dyslipidemia = Yes.</w:t>
            </w:r>
          </w:p>
        </w:tc>
      </w:tr>
      <w:tr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Possible CKD risk</w:t>
            </w:r>
          </w:p>
        </w:tc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Albuminuria (proxy)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URXUMA; URXUCR</w:t>
            </w:r>
          </w:p>
        </w:tc>
        <w:tc>
          <w:tcPr>
            <w:tcW w:type="dxa" w:w="4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Urinary albumin-to-creatinine ratio ≥ 30 mg/g. Labeled “possible” because full CKD staging requires eGFR and/or persistence over time.</w:t>
            </w:r>
          </w:p>
        </w:tc>
      </w:tr>
      <w:tr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Any latent cardiometabolic disease</w:t>
            </w:r>
          </w:p>
        </w:tc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Composite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NA</w:t>
            </w:r>
          </w:p>
        </w:tc>
        <w:tc>
          <w:tcPr>
            <w:tcW w:type="dxa" w:w="4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Positive for any of: undiagnosed diabetes, undiagnosed hypertension, undiagnosed dyslipidemia, or possible CKD risk.</w:t>
            </w:r>
          </w:p>
        </w:tc>
      </w:tr>
    </w:tbl>
    <w:p>
      <w:pPr>
        <w:spacing w:after="160" w:before="40" w:line="480" w:lineRule="auto"/>
      </w:pPr>
      <w:r>
        <w:rPr>
          <w:b/>
          <w:bCs/>
          <w:i/>
          <w:iCs/>
          <w:sz w:val="18"/>
          <w:szCs w:val="18"/>
        </w:rPr>
        <w:t xml:space="preserve">Note. </w:t>
      </w:r>
      <w:r>
        <w:rPr>
          <w:i/>
          <w:iCs/>
          <w:sz w:val="18"/>
          <w:szCs w:val="18"/>
        </w:rPr>
        <w:t xml:space="preserve">To prevent diagnostic leakage, any biomarker used to define an outcome was excluded as a predictor for that same outcome (e.g., HbA1c and fasting glucose were not predictors for undiagnosed diabetes; the albumin-creatinine ratio was not a predictor for possible CKD risk).</w:t>
      </w:r>
    </w:p>
    <w:p>
      <w:pPr>
        <w:pStyle w:val="Heading2"/>
        <w:spacing w:after="120" w:before="260"/>
      </w:pPr>
      <w:r>
        <w:rPr>
          <w:b/>
          <w:bCs/>
        </w:rPr>
        <w:t xml:space="preserve">Supplementary Table S2. Predictor variables by deployment scenario</w:t>
      </w:r>
    </w:p>
    <w:tbl>
      <w:tblPr>
        <w:tblW w:type="dxa" w:w="10300"/>
        <w:tblBorders>
          <w:top w:val="single" w:color="1F3B57" w:sz="4"/>
          <w:left w:val="none"/>
          <w:bottom w:val="single" w:color="1F3B57" w:sz="4"/>
          <w:right w:val="none"/>
          <w:insideH w:val="single" w:color="BBBBBB" w:sz="2"/>
          <w:insideV w:val="none"/>
        </w:tblBorders>
      </w:tblPr>
      <w:tblGrid>
        <w:gridCol w:w="2500"/>
        <w:gridCol w:w="1500"/>
        <w:gridCol w:w="1700"/>
        <w:gridCol w:w="700"/>
        <w:gridCol w:w="700"/>
        <w:gridCol w:w="700"/>
        <w:gridCol w:w="2500"/>
      </w:tblGrid>
      <w:tr>
        <w:trPr>
          <w:tblHeader/>
        </w:trPr>
        <w:tc>
          <w:tcPr>
            <w:tcW w:type="dxa" w:w="25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Variable</w:t>
            </w:r>
          </w:p>
        </w:tc>
        <w:tc>
          <w:tcPr>
            <w:tcW w:type="dxa" w:w="15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NHANES name</w:t>
            </w:r>
          </w:p>
        </w:tc>
        <w:tc>
          <w:tcPr>
            <w:tcW w:type="dxa" w:w="17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Category</w:t>
            </w:r>
          </w:p>
        </w:tc>
        <w:tc>
          <w:tcPr>
            <w:tcW w:type="dxa" w:w="7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S1</w:t>
            </w:r>
          </w:p>
        </w:tc>
        <w:tc>
          <w:tcPr>
            <w:tcW w:type="dxa" w:w="7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S2</w:t>
            </w:r>
          </w:p>
        </w:tc>
        <w:tc>
          <w:tcPr>
            <w:tcW w:type="dxa" w:w="7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S3</w:t>
            </w:r>
          </w:p>
        </w:tc>
        <w:tc>
          <w:tcPr>
            <w:tcW w:type="dxa" w:w="25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Notes</w:t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Age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RIDAGEYR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Demographics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Sex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RIAGENDR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Demographics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Race / ethnicity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RIDRETH1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Demographics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Education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DMDEDUC2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Socioeconomic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Income-to-poverty ratio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INDFMPIR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Socioeconomic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Doctor told: diabetes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DIQ010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Questionnaire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Prior-diagnosis history</w:t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Doctor told: hypertension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BPQ020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Questionnaire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Prior-diagnosis history</w:t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Doctor told: high cholesterol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BPQ080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Questionnaire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Prior-diagnosis history</w:t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Body mass index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BMXBMI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Anthropometry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Waist circumference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BMXWAIST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Anthropometry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Systolic blood pressure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BPXSY1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Examination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Excluded for hypertension outcome</w:t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Diastolic blood pressure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BPXDI1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Examination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Excluded for hypertension outcome</w:t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Total cholesterol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LBXTC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Laboratory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Excluded for dyslipidemia outcome</w:t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HDL cholesterol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LBDHDD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Laboratory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Excluded for dyslipidemia outcome</w:t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Triglycerides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LBXTR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Laboratory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Excluded for dyslipidemia outcome</w:t>
            </w:r>
          </w:p>
        </w:tc>
      </w:tr>
      <w:tr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Serum creatinine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LBXSCR</w:t>
            </w:r>
          </w:p>
        </w:tc>
        <w:tc>
          <w:tcPr>
            <w:tcW w:type="dxa" w:w="1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Laboratory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No</w:t>
            </w:r>
          </w:p>
        </w:tc>
        <w:tc>
          <w:tcPr>
            <w:tcW w:type="dxa" w:w="7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Yes</w:t>
            </w:r>
          </w:p>
        </w:tc>
        <w:tc>
          <w:tcPr>
            <w:tcW w:type="dxa" w:w="2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</w:tr>
    </w:tbl>
    <w:p>
      <w:pPr>
        <w:spacing w:after="160" w:before="40" w:line="480" w:lineRule="auto"/>
      </w:pPr>
      <w:r>
        <w:rPr>
          <w:b/>
          <w:bCs/>
          <w:i/>
          <w:iCs/>
          <w:sz w:val="18"/>
          <w:szCs w:val="18"/>
        </w:rPr>
        <w:t xml:space="preserve">Note. </w:t>
      </w:r>
      <w:r>
        <w:rPr>
          <w:i/>
          <w:iCs/>
          <w:sz w:val="18"/>
          <w:szCs w:val="18"/>
        </w:rPr>
        <w:t xml:space="preserve">Scenario 1 = community / survey-only screening (no examination or laboratory data); Scenario 2 adds routine physical examination; Scenario 3 adds routine laboratory biomarkers. Consistent with the no-leakage rule, a biomarker used to define an outcome was withheld as a predictor for that outcome. Outcome-defining laboratory markers (HbA1c, fasting glucose, urine albumin, urine creatinine) were used only to construct labels and were never predictors. Under Scenario 3 this yields 13 candidate predictors for diabetes and possible CKD risk, 11 for hypertension, and 10 for dyslipidemia.</w:t>
      </w:r>
    </w:p>
    <w:p>
      <w:pPr>
        <w:pStyle w:val="Heading2"/>
        <w:spacing w:after="120" w:before="260"/>
      </w:pPr>
      <w:r>
        <w:rPr>
          <w:b/>
          <w:bCs/>
        </w:rPr>
        <w:t xml:space="preserve">Supplementary Table S3. Variable-level missingness summary</w:t>
      </w:r>
    </w:p>
    <w:tbl>
      <w:tblPr>
        <w:tblW w:type="dxa" w:w="8600"/>
        <w:tblBorders>
          <w:top w:val="single" w:color="1F3B57" w:sz="4"/>
          <w:left w:val="none"/>
          <w:bottom w:val="single" w:color="1F3B57" w:sz="4"/>
          <w:right w:val="none"/>
          <w:insideH w:val="single" w:color="BBBBBB" w:sz="2"/>
          <w:insideV w:val="none"/>
        </w:tblBorders>
      </w:tblPr>
      <w:tblGrid>
        <w:gridCol w:w="4200"/>
        <w:gridCol w:w="2400"/>
        <w:gridCol w:w="2000"/>
      </w:tblGrid>
      <w:tr>
        <w:trPr>
          <w:tblHeader/>
        </w:trPr>
        <w:tc>
          <w:tcPr>
            <w:tcW w:type="dxa" w:w="42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Variable</w:t>
            </w:r>
          </w:p>
        </w:tc>
        <w:tc>
          <w:tcPr>
            <w:tcW w:type="dxa" w:w="24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Category</w:t>
            </w:r>
          </w:p>
        </w:tc>
        <w:tc>
          <w:tcPr>
            <w:tcW w:type="dxa" w:w="20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Missing (%)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Triglycerides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Laboratory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65.3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Fasting glucose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Laboratory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64.7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Education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Socioeconomic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31.8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Serum creatinine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Laboratory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31.1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Doctor told: high cholesterol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Questionnaire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29.4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HbA1c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Laboratory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29.3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Doctor told: hypertension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Questionnaire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27.0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Total cholesterol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Laboratory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23.1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HDL cholesterol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Laboratory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23.1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Systolic blood pressure (mean)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Examination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22.0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Diastolic blood pressure (mean)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Examination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22.0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Albumin-creatinine ratio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Laboratory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17.6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Urine albumin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Laboratory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17.6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Urine creatinine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Laboratory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17.6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Waist circumference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Anthropometry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15.3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Body mass index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Anthropometry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10.3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Income-to-poverty ratio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Socioeconomic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8.6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Doctor told: diabetes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Questionnaire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2.9</w:t>
            </w:r>
          </w:p>
        </w:tc>
      </w:tr>
      <w:tr>
        <w:tc>
          <w:tcPr>
            <w:tcW w:type="dxa" w:w="4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Age, sex, race / ethnicity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Demographics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0.0</w:t>
            </w:r>
          </w:p>
        </w:tc>
      </w:tr>
    </w:tbl>
    <w:p>
      <w:pPr>
        <w:spacing w:after="160" w:before="40" w:line="480" w:lineRule="auto"/>
      </w:pPr>
      <w:r>
        <w:rPr>
          <w:b/>
          <w:bCs/>
          <w:i/>
          <w:iCs/>
          <w:sz w:val="18"/>
          <w:szCs w:val="18"/>
        </w:rPr>
        <w:t xml:space="preserve">Note. </w:t>
      </w:r>
      <w:r>
        <w:rPr>
          <w:i/>
          <w:iCs/>
          <w:sz w:val="18"/>
          <w:szCs w:val="18"/>
        </w:rPr>
        <w:t xml:space="preserve">Missingness is computed over the analytical cohort (N = 20,374). High missingness for fasting glucose and triglycerides reflects the NHANES fasting-subsample design. For the primary analysis, continuous predictors were imputed with the median and categorical predictors with the most frequent category; multiple imputation is identified as a planned sensitivity analysis. Survey-design and derived variables (SEQN, cycle, MEC weight, PSU, strata, and outcome labels) had no missing values.</w:t>
      </w:r>
    </w:p>
    <w:p>
      <w:pPr>
        <w:pStyle w:val="Heading2"/>
        <w:spacing w:after="120" w:before="260"/>
      </w:pPr>
      <w:r>
        <w:rPr>
          <w:b/>
          <w:bCs/>
        </w:rPr>
        <w:t xml:space="preserve">Supplementary Table S4. Model hyperparameters and training configuration</w:t>
      </w:r>
    </w:p>
    <w:p>
      <w:pPr>
        <w:spacing w:after="80"/>
      </w:pPr>
      <w:r>
        <w:rPr>
          <w:b/>
          <w:bCs/>
          <w:sz w:val="20"/>
          <w:szCs w:val="20"/>
        </w:rPr>
        <w:t xml:space="preserve">S4a. Shared training and evaluation configuration</w:t>
      </w:r>
    </w:p>
    <w:tbl>
      <w:tblPr>
        <w:tblW w:type="dxa" w:w="8600"/>
        <w:tblBorders>
          <w:top w:val="single" w:color="1F3B57" w:sz="4"/>
          <w:left w:val="none"/>
          <w:bottom w:val="single" w:color="1F3B57" w:sz="4"/>
          <w:right w:val="none"/>
          <w:insideH w:val="single" w:color="BBBBBB" w:sz="2"/>
          <w:insideV w:val="none"/>
        </w:tblBorders>
      </w:tblPr>
      <w:tblGrid>
        <w:gridCol w:w="3000"/>
        <w:gridCol w:w="5600"/>
      </w:tblGrid>
      <w:tr>
        <w:trPr>
          <w:tblHeader/>
        </w:trPr>
        <w:tc>
          <w:tcPr>
            <w:tcW w:type="dxa" w:w="30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Setting</w:t>
            </w:r>
          </w:p>
        </w:tc>
        <w:tc>
          <w:tcPr>
            <w:tcW w:type="dxa" w:w="56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Value</w:t>
            </w:r>
          </w:p>
        </w:tc>
      </w:tr>
      <w:tr>
        <w:tc>
          <w:tcPr>
            <w:tcW w:type="dxa" w:w="3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Train / test split</w:t>
            </w:r>
          </w:p>
        </w:tc>
        <w:tc>
          <w:tcPr>
            <w:tcW w:type="dxa" w:w="56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80% / 20%, stratified (by outcome for the linear/tree models; by the composite outcome for the multi-task networks); random_state = 42; held-out test set fixed across models (n = 4,075).</w:t>
            </w:r>
          </w:p>
        </w:tc>
      </w:tr>
      <w:tr>
        <w:tc>
          <w:tcPr>
            <w:tcW w:type="dxa" w:w="3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Numeric preprocessing</w:t>
            </w:r>
          </w:p>
        </w:tc>
        <w:tc>
          <w:tcPr>
            <w:tcW w:type="dxa" w:w="56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Median imputation, then standardization (zero mean, unit variance).</w:t>
            </w:r>
          </w:p>
        </w:tc>
      </w:tr>
      <w:tr>
        <w:tc>
          <w:tcPr>
            <w:tcW w:type="dxa" w:w="3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Categorical preprocessing</w:t>
            </w:r>
          </w:p>
        </w:tc>
        <w:tc>
          <w:tcPr>
            <w:tcW w:type="dxa" w:w="56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Most-frequent imputation, then one-hot encoding (unknown categories ignored).</w:t>
            </w:r>
          </w:p>
        </w:tc>
      </w:tr>
      <w:tr>
        <w:tc>
          <w:tcPr>
            <w:tcW w:type="dxa" w:w="3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Class-imbalance handling</w:t>
            </w:r>
          </w:p>
        </w:tc>
        <w:tc>
          <w:tcPr>
            <w:tcW w:type="dxa" w:w="56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class_weight = balanced (LR, LightGBM) or balanced_subsample (RF); scale_pos_weight = negatives/positives (XGBoost); per-task positive weights in BCE-with-logits loss (neural networks).</w:t>
            </w:r>
          </w:p>
        </w:tc>
      </w:tr>
      <w:tr>
        <w:tc>
          <w:tcPr>
            <w:tcW w:type="dxa" w:w="3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Hyperparameter selection</w:t>
            </w:r>
          </w:p>
        </w:tc>
        <w:tc>
          <w:tcPr>
            <w:tcW w:type="dxa" w:w="56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Fixed, pre-specified configurations (established defaults with light manual adjustment on the training data); no automated grid or random search was performed.</w:t>
            </w:r>
          </w:p>
        </w:tc>
      </w:tr>
      <w:tr>
        <w:tc>
          <w:tcPr>
            <w:tcW w:type="dxa" w:w="3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Confidence intervals</w:t>
            </w:r>
          </w:p>
        </w:tc>
        <w:tc>
          <w:tcPr>
            <w:tcW w:type="dxa" w:w="56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Bootstrap resampling with 500 replicates for AUROC and AUPRC.</w:t>
            </w:r>
          </w:p>
        </w:tc>
      </w:tr>
      <w:tr>
        <w:tc>
          <w:tcPr>
            <w:tcW w:type="dxa" w:w="3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Cross-validation</w:t>
            </w:r>
          </w:p>
        </w:tc>
        <w:tc>
          <w:tcPr>
            <w:tcW w:type="dxa" w:w="56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Repeated stratified k-fold (5 folds × 3 repeats = 15 held-out evaluations) under Scenario 3; see Table S7.</w:t>
            </w:r>
          </w:p>
        </w:tc>
      </w:tr>
      <w:tr>
        <w:tc>
          <w:tcPr>
            <w:tcW w:type="dxa" w:w="3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Conformal calibration</w:t>
            </w:r>
          </w:p>
        </w:tc>
        <w:tc>
          <w:tcPr>
            <w:tcW w:type="dxa" w:w="56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Split conformal prediction; miscoverage α = 0.10 (target coverage 90%); Scenario 3; 50/50 calibration/evaluation split, stratified by outcome.</w:t>
            </w:r>
          </w:p>
        </w:tc>
      </w:tr>
      <w:tr>
        <w:tc>
          <w:tcPr>
            <w:tcW w:type="dxa" w:w="3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Software</w:t>
            </w:r>
          </w:p>
        </w:tc>
        <w:tc>
          <w:tcPr>
            <w:tcW w:type="dxa" w:w="56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Python (scikit-learn, XGBoost, LightGBM, PyTorch).</w:t>
            </w:r>
          </w:p>
        </w:tc>
      </w:tr>
    </w:tbl>
    <w:p>
      <w:pPr>
        <w:spacing w:after="80" w:before="160"/>
      </w:pPr>
      <w:r>
        <w:rPr>
          <w:b/>
          <w:bCs/>
          <w:sz w:val="20"/>
          <w:szCs w:val="20"/>
        </w:rPr>
        <w:t xml:space="preserve">S4b. Model-specific hyperparameters</w:t>
      </w:r>
    </w:p>
    <w:tbl>
      <w:tblPr>
        <w:tblW w:type="dxa" w:w="8600"/>
        <w:tblBorders>
          <w:top w:val="single" w:color="1F3B57" w:sz="4"/>
          <w:left w:val="none"/>
          <w:bottom w:val="single" w:color="1F3B57" w:sz="4"/>
          <w:right w:val="none"/>
          <w:insideH w:val="single" w:color="BBBBBB" w:sz="2"/>
          <w:insideV w:val="none"/>
        </w:tblBorders>
      </w:tblPr>
      <w:tblGrid>
        <w:gridCol w:w="2400"/>
        <w:gridCol w:w="6200"/>
      </w:tblGrid>
      <w:tr>
        <w:trPr>
          <w:tblHeader/>
        </w:trPr>
        <w:tc>
          <w:tcPr>
            <w:tcW w:type="dxa" w:w="24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Model</w:t>
            </w:r>
          </w:p>
        </w:tc>
        <w:tc>
          <w:tcPr>
            <w:tcW w:type="dxa" w:w="62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Hyperparameters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Logistic regression</w:t>
            </w:r>
          </w:p>
        </w:tc>
        <w:tc>
          <w:tcPr>
            <w:tcW w:type="dxa" w:w="6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solver = lbfgs; penalty = L2 (default, C = 1.0); max_iter = 1000; class_weight = balanced.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Random Forest</w:t>
            </w:r>
          </w:p>
        </w:tc>
        <w:tc>
          <w:tcPr>
            <w:tcW w:type="dxa" w:w="6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n_estimators = 500; max_depth = None; min_samples_split = 10; min_samples_leaf = 5; class_weight = balanced_subsample; random_state = 42.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XGBoost</w:t>
            </w:r>
          </w:p>
        </w:tc>
        <w:tc>
          <w:tcPr>
            <w:tcW w:type="dxa" w:w="6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n_estimators = 300; max_depth = 3; learning_rate = 0.03; subsample = 0.85; colsample_bytree = 0.85; objective = binary:logistic; eval_metric = logloss; scale_pos_weight = neg/pos; random_state = 42.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LightGBM</w:t>
            </w:r>
          </w:p>
        </w:tc>
        <w:tc>
          <w:tcPr>
            <w:tcW w:type="dxa" w:w="6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n_estimators = 500; learning_rate = 0.03; num_leaves = 31; max_depth = −1; subsample = 0.85; colsample_bytree = 0.85; class_weight = balanced; random_state = 42.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Multi-task MLP</w:t>
            </w:r>
          </w:p>
        </w:tc>
        <w:tc>
          <w:tcPr>
            <w:tcW w:type="dxa" w:w="6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Shared feed-forward encoder: feature embedding (256 units, BatchNorm, ReLU, dropout 0.30) → shared encoder producing a 128-d representation (BatchNorm, ReLU, dropout 0.30) → five task towers (64 units, ReLU, dropout 0.20 → 1). Optimizer AdamW (learning rate = 0.001, weight_decay = 1e−4); batch size = 256; up to 80 epochs with early stopping (patience = 10); BCE-with-logits loss with per-task positive weighting. Trained jointly on all five outcomes under Scenario 3.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Residual multi-task MLP</w:t>
            </w:r>
          </w:p>
        </w:tc>
        <w:tc>
          <w:tcPr>
            <w:tcW w:type="dxa" w:w="6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As above, with an added residual block (256 units, dropout 0.25) between the feature embedding and the shared encoder: feature embedding (256, BatchNorm, ReLU, dropout 0.30) → residual block → shared encoder producing the 128-d embedding (BatchNorm, ReLU, dropout 0.30) → five task towers (64, ReLU, dropout 0.20 → 1). Optimizer AdamW (learning rate = 0.001, weight_decay = 1e−4); batch size = 256; up to 80 epochs with early stopping (patience = 10); BCE-with-logits loss with per-task positive weighting.</w:t>
            </w:r>
          </w:p>
        </w:tc>
      </w:tr>
    </w:tbl>
    <w:p>
      <w:pPr>
        <w:spacing w:after="160" w:before="40" w:line="480" w:lineRule="auto"/>
      </w:pPr>
      <w:r>
        <w:rPr>
          <w:b/>
          <w:bCs/>
          <w:i/>
          <w:iCs/>
          <w:sz w:val="18"/>
          <w:szCs w:val="18"/>
        </w:rPr>
        <w:t xml:space="preserve">Note. </w:t>
      </w:r>
      <w:r>
        <w:rPr>
          <w:i/>
          <w:iCs/>
          <w:sz w:val="18"/>
          <w:szCs w:val="18"/>
        </w:rPr>
        <w:t xml:space="preserve">The neural networks were trained under Scenario 3 to predict all five outcomes jointly. The 128-dimensional shared embedding from the residual network was extracted for the UMAP and silhouette analyses reported in the main text and in Figure S1.</w:t>
      </w:r>
    </w:p>
    <w:p>
      <w:pPr>
        <w:pStyle w:val="Heading2"/>
        <w:spacing w:after="120" w:before="260"/>
      </w:pPr>
      <w:r>
        <w:rPr>
          <w:b/>
          <w:bCs/>
        </w:rPr>
        <w:t xml:space="preserve">Supplementary Table S5. Outcome prevalence with eligibility exclusions and survey-weighted estimates</w:t>
      </w:r>
    </w:p>
    <w:p>
      <w:pPr>
        <w:spacing w:after="80"/>
      </w:pPr>
      <w:r>
        <w:rPr>
          <w:b/>
          <w:bCs/>
          <w:sz w:val="20"/>
          <w:szCs w:val="20"/>
        </w:rPr>
        <w:t xml:space="preserve">S5a. Eligibility cascade</w:t>
      </w:r>
    </w:p>
    <w:tbl>
      <w:tblPr>
        <w:tblW w:type="dxa" w:w="8600"/>
        <w:tblBorders>
          <w:top w:val="single" w:color="1F3B57" w:sz="4"/>
          <w:left w:val="none"/>
          <w:bottom w:val="single" w:color="1F3B57" w:sz="4"/>
          <w:right w:val="none"/>
          <w:insideH w:val="single" w:color="BBBBBB" w:sz="2"/>
          <w:insideV w:val="none"/>
        </w:tblBorders>
      </w:tblPr>
      <w:tblGrid>
        <w:gridCol w:w="6200"/>
        <w:gridCol w:w="2400"/>
      </w:tblGrid>
      <w:tr>
        <w:trPr>
          <w:tblHeader/>
        </w:trPr>
        <w:tc>
          <w:tcPr>
            <w:tcW w:type="dxa" w:w="62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Step</w:t>
            </w:r>
          </w:p>
        </w:tc>
        <w:tc>
          <w:tcPr>
            <w:tcW w:type="dxa" w:w="24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Participants (n)</w:t>
            </w:r>
          </w:p>
        </w:tc>
      </w:tr>
      <w:tr>
        <w:tc>
          <w:tcPr>
            <w:tcW w:type="dxa" w:w="6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NHANES 2011-2014 participants (all ages)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28,879</w:t>
            </w:r>
          </w:p>
        </w:tc>
      </w:tr>
      <w:tr>
        <w:tc>
          <w:tcPr>
            <w:tcW w:type="dxa" w:w="6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Excluded: age &lt; 18 years or insufficient information for outcome definition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8,505</w:t>
            </w:r>
          </w:p>
        </w:tc>
      </w:tr>
      <w:tr>
        <w:tc>
          <w:tcPr>
            <w:tcW w:type="dxa" w:w="62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Analytical cohort (adults ≥ 18 years with definable outcomes)</w:t>
            </w:r>
          </w:p>
        </w:tc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20,374</w:t>
            </w:r>
          </w:p>
        </w:tc>
      </w:tr>
    </w:tbl>
    <w:p>
      <w:pPr>
        <w:spacing w:after="80" w:before="160"/>
      </w:pPr>
      <w:r>
        <w:rPr>
          <w:b/>
          <w:bCs/>
          <w:sz w:val="20"/>
          <w:szCs w:val="20"/>
        </w:rPr>
        <w:t xml:space="preserve">S5b. Outcome prevalence in the eligible cohort (N = 20,374)</w:t>
      </w:r>
    </w:p>
    <w:tbl>
      <w:tblPr>
        <w:tblW w:type="dxa" w:w="8600"/>
        <w:tblBorders>
          <w:top w:val="single" w:color="1F3B57" w:sz="4"/>
          <w:left w:val="none"/>
          <w:bottom w:val="single" w:color="1F3B57" w:sz="4"/>
          <w:right w:val="none"/>
          <w:insideH w:val="single" w:color="BBBBBB" w:sz="2"/>
          <w:insideV w:val="none"/>
        </w:tblBorders>
      </w:tblPr>
      <w:tblGrid>
        <w:gridCol w:w="2900"/>
        <w:gridCol w:w="1400"/>
        <w:gridCol w:w="1500"/>
        <w:gridCol w:w="1500"/>
        <w:gridCol w:w="1300"/>
      </w:tblGrid>
      <w:tr>
        <w:trPr>
          <w:tblHeader/>
        </w:trPr>
        <w:tc>
          <w:tcPr>
            <w:tcW w:type="dxa" w:w="29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Outcome</w:t>
            </w:r>
          </w:p>
        </w:tc>
        <w:tc>
          <w:tcPr>
            <w:tcW w:type="dxa" w:w="14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Cases (n)</w:t>
            </w:r>
          </w:p>
        </w:tc>
        <w:tc>
          <w:tcPr>
            <w:tcW w:type="dxa" w:w="15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Unweighted %</w:t>
            </w:r>
          </w:p>
        </w:tc>
        <w:tc>
          <w:tcPr>
            <w:tcW w:type="dxa" w:w="15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Survey-weighted %</w:t>
            </w:r>
          </w:p>
        </w:tc>
        <w:tc>
          <w:tcPr>
            <w:tcW w:type="dxa" w:w="13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95% CI</w:t>
            </w:r>
          </w:p>
        </w:tc>
      </w:tr>
      <w:tr>
        <w:tc>
          <w:tcPr>
            <w:tcW w:type="dxa" w:w="2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Undiagnosed diabetes</w:t>
            </w:r>
          </w:p>
        </w:tc>
        <w:tc>
          <w:tcPr>
            <w:tcW w:type="dxa" w:w="1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865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4.25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3.11</w:t>
            </w:r>
          </w:p>
        </w:tc>
        <w:tc>
          <w:tcPr>
            <w:tcW w:type="dxa" w:w="1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2.61-3.61</w:t>
            </w:r>
          </w:p>
        </w:tc>
      </w:tr>
      <w:tr>
        <w:tc>
          <w:tcPr>
            <w:tcW w:type="dxa" w:w="2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Undiagnosed hypertension</w:t>
            </w:r>
          </w:p>
        </w:tc>
        <w:tc>
          <w:tcPr>
            <w:tcW w:type="dxa" w:w="1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2,564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12.58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13.46</w:t>
            </w:r>
          </w:p>
        </w:tc>
        <w:tc>
          <w:tcPr>
            <w:tcW w:type="dxa" w:w="1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12.23-14.69</w:t>
            </w:r>
          </w:p>
        </w:tc>
      </w:tr>
      <w:tr>
        <w:tc>
          <w:tcPr>
            <w:tcW w:type="dxa" w:w="2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Undiagnosed dyslipidemia</w:t>
            </w:r>
          </w:p>
        </w:tc>
        <w:tc>
          <w:tcPr>
            <w:tcW w:type="dxa" w:w="1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2,645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12.98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13.72</w:t>
            </w:r>
          </w:p>
        </w:tc>
        <w:tc>
          <w:tcPr>
            <w:tcW w:type="dxa" w:w="1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12.61-14.83</w:t>
            </w:r>
          </w:p>
        </w:tc>
      </w:tr>
      <w:tr>
        <w:tc>
          <w:tcPr>
            <w:tcW w:type="dxa" w:w="2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Possible CKD risk</w:t>
            </w:r>
          </w:p>
        </w:tc>
        <w:tc>
          <w:tcPr>
            <w:tcW w:type="dxa" w:w="1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69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0.34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0.21</w:t>
            </w:r>
          </w:p>
        </w:tc>
        <w:tc>
          <w:tcPr>
            <w:tcW w:type="dxa" w:w="1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0.10-0.32</w:t>
            </w:r>
          </w:p>
        </w:tc>
      </w:tr>
      <w:tr>
        <w:tc>
          <w:tcPr>
            <w:tcW w:type="dxa" w:w="2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Any latent cardiometabolic disease</w:t>
            </w:r>
          </w:p>
        </w:tc>
        <w:tc>
          <w:tcPr>
            <w:tcW w:type="dxa" w:w="1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5,360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26.31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26.61</w:t>
            </w:r>
          </w:p>
        </w:tc>
        <w:tc>
          <w:tcPr>
            <w:tcW w:type="dxa" w:w="13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25.07-28.15</w:t>
            </w:r>
          </w:p>
        </w:tc>
      </w:tr>
    </w:tbl>
    <w:p>
      <w:pPr>
        <w:spacing w:after="160" w:before="40" w:line="480" w:lineRule="auto"/>
      </w:pPr>
      <w:r>
        <w:rPr>
          <w:b/>
          <w:bCs/>
          <w:i/>
          <w:iCs/>
          <w:sz w:val="18"/>
          <w:szCs w:val="18"/>
        </w:rPr>
        <w:t xml:space="preserve">Note. </w:t>
      </w:r>
      <w:r>
        <w:rPr>
          <w:i/>
          <w:iCs/>
          <w:sz w:val="18"/>
          <w:szCs w:val="18"/>
        </w:rPr>
        <w:t xml:space="preserve">Outcome prevalence is reported for the eligible (post-exclusion) analytical cohort, because the undiagnosed-disease outcomes are undefined for participants excluded for age or insufficient information. Survey-weighted estimates use the combined four-year MEC weights (each two-year weight divided by two); design-based 95% confidence intervals were computed by Taylor-series linearization accounting for stratification and clustering.</w:t>
      </w:r>
    </w:p>
    <w:p>
      <w:pPr>
        <w:pStyle w:val="Heading2"/>
        <w:spacing w:after="120" w:before="260"/>
      </w:pPr>
      <w:r>
        <w:rPr>
          <w:b/>
          <w:bCs/>
        </w:rPr>
        <w:t xml:space="preserve">Supplementary Table S6. Classification metrics at the default, Youden-optimal, and F1-optimal probability thresholds (Scenario 3)</w:t>
      </w:r>
    </w:p>
    <w:tbl>
      <w:tblPr>
        <w:tblW w:type="dxa" w:w="8600"/>
        <w:tblBorders>
          <w:top w:val="single" w:color="1F3B57" w:sz="4"/>
          <w:left w:val="none"/>
          <w:bottom w:val="single" w:color="1F3B57" w:sz="4"/>
          <w:right w:val="none"/>
          <w:insideH w:val="single" w:color="BBBBBB" w:sz="2"/>
          <w:insideV w:val="none"/>
        </w:tblBorders>
      </w:tblPr>
      <w:tblGrid>
        <w:gridCol w:w="1900"/>
        <w:gridCol w:w="1500"/>
        <w:gridCol w:w="1350"/>
        <w:gridCol w:w="950"/>
        <w:gridCol w:w="950"/>
        <w:gridCol w:w="950"/>
        <w:gridCol w:w="1000"/>
      </w:tblGrid>
      <w:tr>
        <w:trPr>
          <w:tblHeader/>
        </w:trPr>
        <w:tc>
          <w:tcPr>
            <w:tcW w:type="dxa" w:w="19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Model</w:t>
            </w:r>
          </w:p>
        </w:tc>
        <w:tc>
          <w:tcPr>
            <w:tcW w:type="dxa" w:w="15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Outcome</w:t>
            </w:r>
          </w:p>
        </w:tc>
        <w:tc>
          <w:tcPr>
            <w:tcW w:type="dxa" w:w="135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Threshold</w:t>
            </w:r>
          </w:p>
        </w:tc>
        <w:tc>
          <w:tcPr>
            <w:tcW w:type="dxa" w:w="95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Sensitivity</w:t>
            </w:r>
          </w:p>
        </w:tc>
        <w:tc>
          <w:tcPr>
            <w:tcW w:type="dxa" w:w="95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Specificity</w:t>
            </w:r>
          </w:p>
        </w:tc>
        <w:tc>
          <w:tcPr>
            <w:tcW w:type="dxa" w:w="95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Precision</w:t>
            </w:r>
          </w:p>
        </w:tc>
        <w:tc>
          <w:tcPr>
            <w:tcW w:type="dxa" w:w="10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F1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Logistic regression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Diabetes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0.711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0.623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0.077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0.139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0.43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0.873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0.521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0.075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0.138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0.77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0.260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0.951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0.191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0.221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Logistic regression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Hypertension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0.745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0.733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0.287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0.414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0.47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0.793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0.707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0.281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0.415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0.54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0.686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0.780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0.310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0.427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Logistic regression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Dyslipidemia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0.726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0.724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0.282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0.406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0.52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0.705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0.756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0.302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0.422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0.60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0.592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0.843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0.361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0.448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Logistic regression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Possible CKD risk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0.786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0.907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0.028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0.055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0.30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0.929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0.856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0.022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0.043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1.00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0.214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0.999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0.375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0.273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Logistic regression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Any latent disease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0.638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0.681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0.417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0.504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0.48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0.689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0.644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0.409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0.513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0.48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0.689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0.644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0.409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0.513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Random Forest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Diabetes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0.618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0.764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0.20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0.763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0.933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0.335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0.466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0.54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0.618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0.764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Random Forest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Hypertension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0.852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0.944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0.688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0.761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0.37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0.973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0.895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0.572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0.721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0.59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0.756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0.970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0.784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0.770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Random Forest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Dyslipidemia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0.955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0.939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0.698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0.807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0.43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0.987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0.921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0.651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0.784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0.54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0.922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0.949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0.729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0.815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Random Forest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Possible CKD risk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0.714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0.833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0.09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0.994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0.378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0.549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0.26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0.786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0.880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Random Forest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Any latent disease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0.907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0.903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0.769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0.832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0.45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0.934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0.877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0.731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0.820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0.52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0.892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0.916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0.791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0.839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XGBoost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Diabetes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0.740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0.767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0.123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0.211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0.56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0.705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0.839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0.163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0.264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0.77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0.329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0.986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0.514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0.401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XGBoost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Hypertension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0.982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0.792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0.404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0.573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0.59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0.959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0.839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0.462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0.624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0.71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0.797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0.901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0.538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0.643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XGBoost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Dyslipidemia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0.998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0.834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0.473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0.642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0.62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0.983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0.862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0.514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0.675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0.81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0.737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0.960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0.733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0.735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XGBoost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Possible CKD risk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0.786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0.997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0.500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0.611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0.11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0.965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0.090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0.166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0.78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0.786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0.917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0.846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XGBoost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Any latent disease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0.856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0.754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0.554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0.673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0.46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0.919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0.711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0.532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0.674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0.55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0.810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0.601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0.687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LightGBM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Diabetes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0.642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0.980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0.584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0.612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0.19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0.792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0.860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0.200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0.320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0.77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0.630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0.998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0.940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0.754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LightGBM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Hypertension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0.901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0.924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0.629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0.741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0.38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0.951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0.895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0.566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0.710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0.67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0.827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0.951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0.709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0.763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LightGBM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Dyslipidemia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0.943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0.942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0.710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0.810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0.31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0.977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0.922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0.653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0.783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0.68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0.887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0.960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0.769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0.824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LightGBM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Possible CKD risk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0.714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0.833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0.769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0.997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0.538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0.700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1.00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0.714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0.833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LightGBM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Any latent disease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0.903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0.878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0.725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0.45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0.922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0.863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0.707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0.800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0.63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0.826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0.924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0.796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0.811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Multi-task MLP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Diabetes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0.772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0.731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0.127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0.218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0.54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0.756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0.775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0.146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0.244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0.81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0.294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0.983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0.475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0.364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Multi-task MLP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Hypertension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0.944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0.745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0.353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0.514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0.47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0.964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0.734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0.347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0.511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0.69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0.855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0.448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0.575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Multi-task MLP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Dyslipidemia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0.964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0.408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0.573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0.62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0.947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0.830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0.435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0.597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0.75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0.788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0.910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0.549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0.647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Multi-task MLP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Possible CKD risk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0.987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0.188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0.304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0.03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0.867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0.959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0.073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0.134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1.00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0.999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0.800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Multi-task MLP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Any latent disease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0.871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0.723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0.529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0.658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0.52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0.861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0.734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0.536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0.661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0.52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0.856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0.738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0.539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0.661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Residual multi-task MLP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Diabetes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0.706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0.886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0.239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0.357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0.72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0.680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0.941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0.368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0.478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0.95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0.503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0.994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0.818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0.623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Residual multi-task MLP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Hypertension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0.868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0.851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0.461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0.602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0.26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0.960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0.779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0.389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0.554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0.76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0.716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0.930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0.600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0.653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Residual multi-task MLP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Dyslipidemia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0.964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0.863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0.493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0.652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0.53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0.964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0.868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0.502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0.660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0.83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0.943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0.663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0.729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Residual multi-task MLP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Possible CKD risk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0.998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0.571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0.667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0.933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0.873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0.026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0.051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1.00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1.000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0.889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 xml:space="preserve">Residual multi-task MLP</w:t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Any latent disease</w:t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Default (0.50) = 0.50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0.872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0.811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0.623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0.726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Youden J = 0.62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0.829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0.866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0.689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0.753</w:t>
            </w:r>
          </w:p>
        </w:tc>
      </w:tr>
      <w:tr>
        <w:tc>
          <w:tcPr>
            <w:tcW w:type="dxa" w:w="19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/>
            </w:r>
          </w:p>
        </w:tc>
        <w:tc>
          <w:tcPr>
            <w:tcW w:type="dxa" w:w="13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F1-optimal = 0.63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0.827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0.868</w:t>
            </w:r>
          </w:p>
        </w:tc>
        <w:tc>
          <w:tcPr>
            <w:tcW w:type="dxa" w:w="95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0.691</w:t>
            </w:r>
          </w:p>
        </w:tc>
        <w:tc>
          <w:tcPr>
            <w:tcW w:type="dxa" w:w="1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0.753</w:t>
            </w:r>
          </w:p>
        </w:tc>
      </w:tr>
    </w:tbl>
    <w:p>
      <w:pPr>
        <w:spacing w:after="160" w:before="40" w:line="480" w:lineRule="auto"/>
      </w:pPr>
      <w:r>
        <w:rPr>
          <w:b/>
          <w:bCs/>
          <w:i/>
          <w:iCs/>
          <w:sz w:val="18"/>
          <w:szCs w:val="18"/>
        </w:rPr>
        <w:t xml:space="preserve">Note. </w:t>
      </w:r>
      <w:r>
        <w:rPr>
          <w:i/>
          <w:iCs/>
          <w:sz w:val="18"/>
          <w:szCs w:val="18"/>
        </w:rPr>
        <w:t xml:space="preserve">All metrics are computed on the fixed held-out test set under Scenario 3. The main-text tables report the default 0.50 threshold. Youden's J maximizes sensitivity + specificity − 1; the F1-optimal threshold maximizes the F1-score on the precision-recall curve. The extreme values sometimes seen at 0.50 for rare, well-separated outcomes (e.g., Random Forest specificity and precision of 1.000 for undiagnosed diabetes, where only 107 of 4,075 participants are flagged positive) become moderate, screening-appropriate operating points at the Youden threshold, illustrating why threshold-free discrimination and conformal prediction, rather than a single fixed cut-off, underpin the model comparison.</w:t>
      </w:r>
    </w:p>
    <w:p>
      <w:pPr>
        <w:pStyle w:val="Heading2"/>
        <w:spacing w:after="120" w:before="260"/>
      </w:pPr>
      <w:r>
        <w:rPr>
          <w:b/>
          <w:bCs/>
        </w:rPr>
        <w:t xml:space="preserve">Supplementary Table S7. Repeated stratified five-fold cross-validation of discrimination (Scenario 3)</w:t>
      </w:r>
    </w:p>
    <w:tbl>
      <w:tblPr>
        <w:tblW w:type="dxa" w:w="8600"/>
        <w:tblBorders>
          <w:top w:val="single" w:color="1F3B57" w:sz="4"/>
          <w:left w:val="none"/>
          <w:bottom w:val="single" w:color="1F3B57" w:sz="4"/>
          <w:right w:val="none"/>
          <w:insideH w:val="single" w:color="BBBBBB" w:sz="2"/>
          <w:insideV w:val="none"/>
        </w:tblBorders>
      </w:tblPr>
      <w:tblGrid>
        <w:gridCol w:w="2400"/>
        <w:gridCol w:w="2000"/>
        <w:gridCol w:w="2100"/>
        <w:gridCol w:w="2100"/>
      </w:tblGrid>
      <w:tr>
        <w:trPr>
          <w:tblHeader/>
        </w:trPr>
        <w:tc>
          <w:tcPr>
            <w:tcW w:type="dxa" w:w="24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Model</w:t>
            </w:r>
          </w:p>
        </w:tc>
        <w:tc>
          <w:tcPr>
            <w:tcW w:type="dxa" w:w="20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Outcome</w:t>
            </w:r>
          </w:p>
        </w:tc>
        <w:tc>
          <w:tcPr>
            <w:tcW w:type="dxa" w:w="21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AUROC (mean ± SD)</w:t>
            </w:r>
          </w:p>
        </w:tc>
        <w:tc>
          <w:tcPr>
            <w:tcW w:type="dxa" w:w="2100"/>
            <w:shd w:fill="1F3B57" w:color="auto" w:val="clear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AUPRC (mean ± SD)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7"/>
                <w:szCs w:val="17"/>
              </w:rPr>
              <w:t xml:space="preserve">Logistic regression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Diabetes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0.735 ± 0.016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0.109 ± 0.011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Hypertension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0.795 ± 0.008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0.279 ± 0.010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Dyslipidemia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0.793 ± 0.008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0.349 ± 0.013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Possible CKD risk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0.940 ± 0.034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0.181 ± 0.065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Any latent disease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0.702 ± 0.010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0.427 ± 0.015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7"/>
                <w:szCs w:val="17"/>
              </w:rPr>
              <w:t xml:space="preserve">Random Forest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Diabetes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0.929 ± 0.012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0.719 ± 0.026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Hypertension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0.977 ± 0.002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0.863 ± 0.012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Dyslipidemia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0.986 ± 0.002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0.910 ± 0.010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Possible CKD risk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0.989 ± 0.012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0.885 ± 0.086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Any latent disease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0.967 ± 0.002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0.917 ± 0.006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7"/>
                <w:szCs w:val="17"/>
              </w:rPr>
              <w:t xml:space="preserve">XGBoost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Diabetes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0.856 ± 0.011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0.342 ± 0.038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Hypertension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0.943 ± 0.003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0.657 ± 0.015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Dyslipidemia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0.967 ± 0.003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0.786 ± 0.023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Possible CKD risk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0.985 ± 0.015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0.838 ± 0.095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Any latent disease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0.889 ± 0.006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0.725 ± 0.014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7"/>
                <w:szCs w:val="17"/>
              </w:rPr>
              <w:t xml:space="preserve">LightGBM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Diabetes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0.900 ± 0.013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0.699 ± 0.025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Hypertension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0.973 ± 0.002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0.829 ± 0.016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Dyslipidemia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0.986 ± 0.002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0.902 ± 0.018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Possible CKD risk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0.979 ± 0.030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0.878 ± 0.078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Any latent disease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0.955 ± 0.002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0.879 ± 0.006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7"/>
                <w:szCs w:val="17"/>
              </w:rPr>
              <w:t xml:space="preserve">Multi-task MLP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Diabetes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0.891 ± 0.012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0.590 ± 0.030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Hypertension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0.941 ± 0.003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0.669 ± 0.021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Dyslipidemia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0.963 ± 0.002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0.772 ± 0.020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Possible CKD risk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0.967 ± 0.031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0.814 ± 0.112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Any latent disease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0.917 ± 0.005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0.780 ± 0.015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sz w:val="17"/>
                <w:szCs w:val="17"/>
              </w:rPr>
              <w:t xml:space="preserve">Residual multi-task MLP</w:t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Diabetes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0.892 ± 0.011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0.631 ± 0.030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Hypertension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0.945 ± 0.004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0.702 ± 0.019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Dyslipidemia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0.966 ± 0.004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0.794 ± 0.024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Possible CKD risk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0.971 ± 0.029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0.823 ± 0.091</w:t>
            </w:r>
          </w:p>
        </w:tc>
      </w:tr>
      <w:tr>
        <w:tc>
          <w:tcPr>
            <w:tcW w:type="dxa" w:w="24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Any latent disease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0.929 ± 0.004</w:t>
            </w:r>
          </w:p>
        </w:tc>
        <w:tc>
          <w:tcPr>
            <w:tcW w:type="dxa" w:w="2100"/>
            <w:tcMar>
              <w:top w:type="dxa" w:w="30"/>
              <w:left w:type="dxa" w:w="70"/>
              <w:bottom w:type="dxa" w:w="30"/>
              <w:right w:type="dxa" w:w="70"/>
            </w:tcMar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0.820 ± 0.012</w:t>
            </w:r>
          </w:p>
        </w:tc>
      </w:tr>
    </w:tbl>
    <w:p>
      <w:pPr>
        <w:spacing w:after="160" w:before="40" w:line="480" w:lineRule="auto"/>
      </w:pPr>
      <w:r>
        <w:rPr>
          <w:b/>
          <w:bCs/>
          <w:i/>
          <w:iCs/>
          <w:sz w:val="18"/>
          <w:szCs w:val="18"/>
        </w:rPr>
        <w:t xml:space="preserve">Note. </w:t>
      </w:r>
      <w:r>
        <w:rPr>
          <w:i/>
          <w:iCs/>
          <w:sz w:val="18"/>
          <w:szCs w:val="18"/>
        </w:rPr>
        <w:t xml:space="preserve">Mean and standard deviation of AUROC and AUPRC across 15 held-out folds (5-fold cross-validation repeated 3 times) under Scenario 3, using the same preprocessing pipelines and hyperparameters as the main analysis. The small standard deviations, and the close agreement between these means and the single-split estimates reported in Table 3, indicate that discrimination is stable across different partitions of the population. Larger variability for possible CKD risk reflects its low event count (69 cases).</w:t>
      </w:r>
    </w:p>
    <w:p>
      <w:pPr>
        <w:pStyle w:val="Heading2"/>
        <w:spacing w:after="120" w:before="260"/>
      </w:pPr>
      <w:r>
        <w:rPr>
          <w:b/>
          <w:bCs/>
        </w:rPr>
        <w:t xml:space="preserve">Supplementary Figure S1. Silhouette analysis of the learned patient embeddings</w:t>
      </w:r>
    </w:p>
    <w:p>
      <w:pPr>
        <w:jc w:val="center"/>
      </w:pPr>
      <w:r>
        <w:drawing>
          <wp:inline distT="0" distB="0" distL="0" distR="0">
            <wp:extent cx="4095750" cy="3514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40" w:line="480" w:lineRule="auto"/>
      </w:pPr>
      <w:r>
        <w:rPr>
          <w:b/>
          <w:bCs/>
          <w:i/>
          <w:iCs/>
          <w:sz w:val="18"/>
          <w:szCs w:val="18"/>
        </w:rPr>
        <w:t xml:space="preserve">Note. </w:t>
      </w:r>
      <w:r>
        <w:rPr>
          <w:i/>
          <w:iCs/>
          <w:sz w:val="18"/>
          <w:szCs w:val="18"/>
        </w:rPr>
        <w:t xml:space="preserve">Silhouette coefficients of the full 128-dimensional embedding learned by the residual multi-task network, with patients grouped by the number of co-occurring undiagnosed conditions (0-3; the single group with 4 conditions is too small to plot). The mean silhouette coefficient is close to zero (−0.02 by disease count; 0.07 for any latent condition versus none), confirming quantitatively that the embedding encodes disease burden as a continuous gradient rather than as discrete, well-separated clusters, consistent with the continuous nature of cardiometabolic risk.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3569f89b83b58256e281d9c79f7bfe38bdd5d3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Revision pipeline</dc:creator>
  <cp:lastModifiedBy>Un-named</cp:lastModifiedBy>
  <cp:revision>1</cp:revision>
  <dcterms:created xsi:type="dcterms:W3CDTF">2026-08-07T06:26:54.559Z</dcterms:created>
  <dcterms:modified xsi:type="dcterms:W3CDTF">2026-08-07T06:26:54.559Z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