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5794952" w14:textId="32101853" w:rsidR="00F64194" w:rsidRPr="0084065D" w:rsidRDefault="00DC74DE" w:rsidP="00DC74DE">
      <w:pPr>
        <w:ind w:firstLine="0"/>
        <w:rPr>
          <w:rFonts w:ascii="Times New Roman" w:hAnsi="Times New Roman" w:cs="Times New Roman"/>
          <w:b/>
          <w:bCs/>
        </w:rPr>
      </w:pPr>
      <w:r w:rsidRPr="0084065D">
        <w:rPr>
          <w:rFonts w:ascii="Times New Roman" w:hAnsi="Times New Roman" w:cs="Times New Roman"/>
          <w:b/>
          <w:bCs/>
        </w:rPr>
        <w:t>Supplementary File 1</w:t>
      </w:r>
    </w:p>
    <w:p w14:paraId="17044AB4" w14:textId="118DE18C" w:rsidR="00DC74DE" w:rsidRPr="0084065D" w:rsidRDefault="00DC74DE" w:rsidP="00DC74DE">
      <w:pPr>
        <w:ind w:firstLine="0"/>
        <w:rPr>
          <w:rFonts w:ascii="Times New Roman" w:hAnsi="Times New Roman" w:cs="Times New Roman"/>
          <w:b/>
          <w:bCs/>
        </w:rPr>
      </w:pPr>
      <w:r w:rsidRPr="0084065D">
        <w:rPr>
          <w:rFonts w:ascii="Times New Roman" w:hAnsi="Times New Roman" w:cs="Times New Roman"/>
          <w:b/>
          <w:bCs/>
        </w:rPr>
        <w:t>Sample size calculation</w:t>
      </w:r>
    </w:p>
    <w:p w14:paraId="4B64CD4D" w14:textId="3FA8519A" w:rsidR="00DC74DE" w:rsidRPr="0084065D" w:rsidRDefault="00DC74DE" w:rsidP="00F06F5B">
      <w:pPr>
        <w:ind w:firstLine="0"/>
        <w:rPr>
          <w:rFonts w:ascii="Times New Roman" w:hAnsi="Times New Roman" w:cs="Times New Roman"/>
          <w:color w:val="000000" w:themeColor="text1"/>
        </w:rPr>
      </w:pPr>
      <w:r w:rsidRPr="0084065D">
        <w:rPr>
          <w:rFonts w:ascii="Times New Roman" w:hAnsi="Times New Roman" w:cs="Times New Roman"/>
          <w:color w:val="000000" w:themeColor="text1"/>
        </w:rPr>
        <w:t>We calculated the sample size for linear multiple regression analysis using G*Power 3.1.</w:t>
      </w:r>
      <w:r w:rsidRPr="0084065D">
        <w:rPr>
          <w:rFonts w:ascii="Times New Roman" w:hAnsi="Times New Roman" w:cs="Times New Roman"/>
          <w:color w:val="000000" w:themeColor="text1"/>
        </w:rPr>
        <w:fldChar w:fldCharType="begin" w:fldLock="1"/>
      </w:r>
      <w:r w:rsidR="00A81E3A" w:rsidRPr="0084065D">
        <w:rPr>
          <w:rFonts w:ascii="Times New Roman" w:hAnsi="Times New Roman" w:cs="Times New Roman"/>
          <w:color w:val="000000" w:themeColor="text1"/>
        </w:rPr>
        <w:instrText>ADDIN CSL_CITATION {"citationItems":[{"id":"ITEM-1","itemData":{"DOI":"10.3758/BRM.41.4.1149","ISSN":"1554351X","PMID":"19897823","abstract":"G*Power is a free power analysis program for a variety of statistical tests. We present extensions and improvements of the version introduced by Faul, Erdfelder, Lang, and Buchner (2007) in the domain of correlation and regression analyses. In the new version, we have added procedures to analyze the power of tests based on (1) single-sample tetrachoric correlations, (2) comparisons of dependent correlations, (3) bivariate linear regression, (4) multiple linear regression based on the random predictor model, (5) logistic regression, and (6) Poisson regression. We describe these new features and provide a brief introduction to their scope and handling. © 2009 The Psychonomic Society. Inc.","author":[{"dropping-particle":"","family":"Faul","given":"Franz","non-dropping-particle":"","parse-names":false,"suffix":""},{"dropping-particle":"","family":"Erdfelder","given":"Edgar","non-dropping-particle":"","parse-names":false,"suffix":""},{"dropping-particle":"","family":"Buchner","given":"Axel","non-dropping-particle":"","parse-names":false,"suffix":""},{"dropping-particle":"","family":"Lang","given":"Albert-Georg","non-dropping-particle":"","parse-names":false,"suffix":""}],"container-title":"Behavior Research Methods","id":"ITEM-1","issue":"4","issued":{"date-parts":[["2009"]]},"page":"1149-1160","title":"Statistical power analyses using G*Power 3.1: Tests for correlation and regression analyses","type":"article-journal","volume":"41"},"uris":["http://www.mendeley.com/documents/?uuid=efac40e7-9b85-4ce0-8fa2-d01be9df6eaf"]}],"mendeley":{"formattedCitation":"&lt;sup&gt;1&lt;/sup&gt;","plainTextFormattedCitation":"1","previouslyFormattedCitation":"&lt;sup&gt;66&lt;/sup&gt;"},"properties":{"noteIndex":0},"schema":"https://github.com/citation-style-language/schema/raw/master/csl-citation.json"}</w:instrText>
      </w:r>
      <w:r w:rsidRPr="0084065D">
        <w:rPr>
          <w:rFonts w:ascii="Times New Roman" w:hAnsi="Times New Roman" w:cs="Times New Roman"/>
          <w:color w:val="000000" w:themeColor="text1"/>
        </w:rPr>
        <w:fldChar w:fldCharType="separate"/>
      </w:r>
      <w:r w:rsidR="00A81E3A" w:rsidRPr="0084065D">
        <w:rPr>
          <w:rFonts w:ascii="Times New Roman" w:hAnsi="Times New Roman" w:cs="Times New Roman"/>
          <w:noProof/>
          <w:color w:val="000000" w:themeColor="text1"/>
          <w:vertAlign w:val="superscript"/>
        </w:rPr>
        <w:t>1</w:t>
      </w:r>
      <w:r w:rsidRPr="0084065D">
        <w:rPr>
          <w:rFonts w:ascii="Times New Roman" w:hAnsi="Times New Roman" w:cs="Times New Roman"/>
          <w:color w:val="000000" w:themeColor="text1"/>
        </w:rPr>
        <w:fldChar w:fldCharType="end"/>
      </w:r>
      <w:r w:rsidRPr="0084065D">
        <w:rPr>
          <w:rFonts w:ascii="Times New Roman" w:hAnsi="Times New Roman" w:cs="Times New Roman"/>
          <w:color w:val="000000" w:themeColor="text1"/>
        </w:rPr>
        <w:t xml:space="preserve"> To detect a moderate effect with 2</w:t>
      </w:r>
      <w:r w:rsidR="001C215E">
        <w:rPr>
          <w:rFonts w:ascii="Times New Roman" w:hAnsi="Times New Roman" w:cs="Times New Roman"/>
          <w:color w:val="000000" w:themeColor="text1"/>
        </w:rPr>
        <w:t>8</w:t>
      </w:r>
      <w:r w:rsidRPr="0084065D">
        <w:rPr>
          <w:rFonts w:ascii="Times New Roman" w:hAnsi="Times New Roman" w:cs="Times New Roman"/>
          <w:color w:val="000000" w:themeColor="text1"/>
        </w:rPr>
        <w:t xml:space="preserve"> covariates, effect size (f</w:t>
      </w:r>
      <w:r w:rsidRPr="0084065D">
        <w:rPr>
          <w:rFonts w:ascii="Times New Roman" w:hAnsi="Times New Roman" w:cs="Times New Roman"/>
          <w:color w:val="000000" w:themeColor="text1"/>
          <w:vertAlign w:val="superscript"/>
        </w:rPr>
        <w:t>2</w:t>
      </w:r>
      <w:r w:rsidRPr="0084065D">
        <w:rPr>
          <w:rFonts w:ascii="Times New Roman" w:hAnsi="Times New Roman" w:cs="Times New Roman"/>
          <w:color w:val="000000" w:themeColor="text1"/>
        </w:rPr>
        <w:t>)=0.14,</w:t>
      </w:r>
      <w:r w:rsidRPr="0084065D">
        <w:rPr>
          <w:rFonts w:ascii="Times New Roman" w:hAnsi="Times New Roman" w:cs="Times New Roman"/>
          <w:color w:val="000000" w:themeColor="text1"/>
        </w:rPr>
        <w:fldChar w:fldCharType="begin" w:fldLock="1"/>
      </w:r>
      <w:r w:rsidR="00A81E3A" w:rsidRPr="0084065D">
        <w:rPr>
          <w:rFonts w:ascii="Times New Roman" w:hAnsi="Times New Roman" w:cs="Times New Roman"/>
          <w:color w:val="000000" w:themeColor="text1"/>
        </w:rPr>
        <w:instrText>ADDIN CSL_CITATION {"citationItems":[{"id":"ITEM-1","itemData":{"DOI":"10.1186/s12877-024-04710-1","ISSN":"14712318","PMID":"38383339","abstract":"Background: Maximizing quality of life (QoL) is a major goal of care for people with dementia in nursing homes (NHs). Social determinants are critical for residents' QoL. However, similar to the United States and other countries, most Canadian NHs routinely monitor and publicly report quality of care, but not resident QoL and its social determinants. Therefore, we lack robust, quantitative studies evaluating the association of multiple intersecting social determinants with NH residents’ QoL. The goal of this study is to address this critical knowledge gap. Methods: We will recruit a random sample of 80 NHs from 5 Canadian provinces (Alberta, British Columbia, Manitoba, Nova Scotia, Ontario). We will stratify facilities by urban/rural location, for-profit/not-for-profit ownership, and size (above/below median number of beds among urban versus rural facilities in each province). In video-based structured interviews with care staff, we will complete QoL assessments for each of ~ 4,320 residents, using the DEMQOL-CH, a validated, feasible tool for this purpose. We will also assess resident’s social determinants of QoL, using items from validated Canadian population surveys. Health and quality of care data will come from routinely collected Resident Assessment Instrument – Minimum Data Set 2.0 records. Knowledge users (health system decision makers, Alzheimer Societies, NH managers, care staff, people with dementia and their family/friend caregivers) have been involved in the design of this study, and we will partner with them throughout the study. We will share and discuss study findings with knowledge users in web-based summits with embedded focus groups. This will provide much needed data on knowledge users' interpretations, usefulness and intended use of data on NH residents’ QoL and its health and social determinants. Discussion: This large-scale, robust, quantitative study will address a major knowledge gap by assessing QoL and multiple intersecting social determinants of QoL among NH residents with dementia. We will also generate evidence on clusters of intersecting social determinants of QoL. This study will be a prerequisite for future studies to investigate in depth the mechanisms leading to QoL inequities in LTC, longitudinal studies to identify trajectories in QoL, and robust intervention studies aiming to reduce these inequities.","author":[{"dropping-particle":"","family":"Hoben","given":"Matthias","non-dropping-particle":"","parse-names":false,"suffix":""},{"dropping-particle":"","family":"Dymchuk","given":"Emily","non-dropping-particle":"","parse-names":false,"suffix":""},{"dropping-particle":"","family":"Doupe","given":"Malcolm B.","non-dropping-particle":"","parse-names":false,"suffix":""},{"dropping-particle":"","family":"Keefe","given":"Janice","non-dropping-particle":"","parse-names":false,"suffix":""},{"dropping-particle":"","family":"Aubrecht","given":"Katie","non-dropping-particle":"","parse-names":false,"suffix":""},{"dropping-particle":"","family":"Kelly","given":"Christine","non-dropping-particle":"","parse-names":false,"suffix":""},{"dropping-particle":"","family":"Stajduhar","given":"Kelli","non-dropping-particle":"","parse-names":false,"suffix":""},{"dropping-particle":"","family":"Banerjee","given":"Sube","non-dropping-particle":"","parse-names":false,"suffix":""},{"dropping-particle":"","family":"O’Rourke","given":"Hannah M.","non-dropping-particle":"","parse-names":false,"suffix":""},{"dropping-particle":"","family":"Chamberlain","given":"Stephanie","non-dropping-particle":"","parse-names":false,"suffix":""},{"dropping-particle":"","family":"Beeber","given":"Anna","non-dropping-particle":"","parse-names":false,"suffix":""},{"dropping-particle":"","family":"Salma","given":"Jordana","non-dropping-particle":"","parse-names":false,"suffix":""},{"dropping-particle":"","family":"Jarrett","given":"Pamela","non-dropping-particle":"","parse-names":false,"suffix":""},{"dropping-particle":"","family":"Arya","given":"Amit","non-dropping-particle":"","parse-names":false,"suffix":""},{"dropping-particle":"","family":"Corbett","given":"Kyle","non-dropping-particle":"","parse-names":false,"suffix":""},{"dropping-particle":"","family":"Devkota","given":"Rashmi","non-dropping-particle":"","parse-names":false,"suffix":""},{"dropping-particle":"","family":"Ristau","given":"Melissa","non-dropping-particle":"","parse-names":false,"suffix":""},{"dropping-particle":"","family":"Shrestha","given":"Shovana","non-dropping-particle":"","parse-names":false,"suffix":""},{"dropping-particle":"","family":"Estabrooks","given":"Carole A.","non-dropping-particle":"","parse-names":false,"suffix":""}],"container-title":"BMC Geriatrics","id":"ITEM-1","issue":"1","issued":{"date-parts":[["2024"]]},"page":"1-11","publisher":"BioMed Central","title":"Counting what counts: assessing quality of life and its social determinants among nursing home residents with dementia","type":"article-journal","volume":"24"},"uris":["http://www.mendeley.com/documents/?uuid=de5dfe5f-e53c-4406-9423-cd98379a5608"]}],"mendeley":{"formattedCitation":"&lt;sup&gt;2&lt;/sup&gt;","plainTextFormattedCitation":"2","previouslyFormattedCitation":"&lt;sup&gt;60&lt;/sup&gt;"},"properties":{"noteIndex":0},"schema":"https://github.com/citation-style-language/schema/raw/master/csl-citation.json"}</w:instrText>
      </w:r>
      <w:r w:rsidRPr="0084065D">
        <w:rPr>
          <w:rFonts w:ascii="Times New Roman" w:hAnsi="Times New Roman" w:cs="Times New Roman"/>
          <w:color w:val="000000" w:themeColor="text1"/>
        </w:rPr>
        <w:fldChar w:fldCharType="separate"/>
      </w:r>
      <w:r w:rsidR="00A81E3A" w:rsidRPr="0084065D">
        <w:rPr>
          <w:rFonts w:ascii="Times New Roman" w:hAnsi="Times New Roman" w:cs="Times New Roman"/>
          <w:noProof/>
          <w:color w:val="000000" w:themeColor="text1"/>
          <w:vertAlign w:val="superscript"/>
        </w:rPr>
        <w:t>2</w:t>
      </w:r>
      <w:r w:rsidRPr="0084065D">
        <w:rPr>
          <w:rFonts w:ascii="Times New Roman" w:hAnsi="Times New Roman" w:cs="Times New Roman"/>
          <w:color w:val="000000" w:themeColor="text1"/>
        </w:rPr>
        <w:fldChar w:fldCharType="end"/>
      </w:r>
      <w:r w:rsidRPr="0084065D">
        <w:rPr>
          <w:rFonts w:ascii="Times New Roman" w:hAnsi="Times New Roman" w:cs="Times New Roman"/>
          <w:color w:val="000000" w:themeColor="text1"/>
        </w:rPr>
        <w:t xml:space="preserve"> power=0.80, alpha=0.05, we required a sample size of 19</w:t>
      </w:r>
      <w:r w:rsidR="00D71A24">
        <w:rPr>
          <w:rFonts w:ascii="Times New Roman" w:hAnsi="Times New Roman" w:cs="Times New Roman"/>
          <w:color w:val="000000" w:themeColor="text1"/>
        </w:rPr>
        <w:t>3</w:t>
      </w:r>
      <w:r w:rsidRPr="0084065D">
        <w:rPr>
          <w:rFonts w:ascii="Times New Roman" w:hAnsi="Times New Roman" w:cs="Times New Roman"/>
          <w:color w:val="000000" w:themeColor="text1"/>
        </w:rPr>
        <w:t>. We then multiplied the required sample size with a variance inflation factor (VIF) to account for the nested structure of data. VIF=1+(m-1) x ICC, with m (cluster size) being the average number of residents per NH home (total number of eligible residents/total number of NHs= 2</w:t>
      </w:r>
      <w:r w:rsidR="00D71A24">
        <w:rPr>
          <w:rFonts w:ascii="Times New Roman" w:hAnsi="Times New Roman" w:cs="Times New Roman"/>
          <w:color w:val="000000" w:themeColor="text1"/>
        </w:rPr>
        <w:t>950</w:t>
      </w:r>
      <w:r w:rsidRPr="0084065D">
        <w:rPr>
          <w:rFonts w:ascii="Times New Roman" w:hAnsi="Times New Roman" w:cs="Times New Roman"/>
          <w:color w:val="000000" w:themeColor="text1"/>
        </w:rPr>
        <w:t>/67=4</w:t>
      </w:r>
      <w:r w:rsidR="00D71A24">
        <w:rPr>
          <w:rFonts w:ascii="Times New Roman" w:hAnsi="Times New Roman" w:cs="Times New Roman"/>
          <w:color w:val="000000" w:themeColor="text1"/>
        </w:rPr>
        <w:t>4.02</w:t>
      </w:r>
      <w:r w:rsidRPr="0084065D">
        <w:rPr>
          <w:rFonts w:ascii="Times New Roman" w:hAnsi="Times New Roman" w:cs="Times New Roman"/>
          <w:color w:val="000000" w:themeColor="text1"/>
        </w:rPr>
        <w:t>) and a within-home intra-cluster correlation (ICC) of 0.0734. Thus, our minimum required sample size required for this study was 19</w:t>
      </w:r>
      <w:r w:rsidR="00D71A24">
        <w:rPr>
          <w:rFonts w:ascii="Times New Roman" w:hAnsi="Times New Roman" w:cs="Times New Roman"/>
          <w:color w:val="000000" w:themeColor="text1"/>
        </w:rPr>
        <w:t>3</w:t>
      </w:r>
      <w:r w:rsidRPr="0084065D">
        <w:rPr>
          <w:rFonts w:ascii="Times New Roman" w:hAnsi="Times New Roman" w:cs="Times New Roman"/>
          <w:color w:val="000000" w:themeColor="text1"/>
        </w:rPr>
        <w:t>*4.</w:t>
      </w:r>
      <w:r w:rsidR="00D71A24">
        <w:rPr>
          <w:rFonts w:ascii="Times New Roman" w:hAnsi="Times New Roman" w:cs="Times New Roman"/>
          <w:color w:val="000000" w:themeColor="text1"/>
        </w:rPr>
        <w:t>15</w:t>
      </w:r>
      <w:r w:rsidRPr="0084065D">
        <w:rPr>
          <w:rFonts w:ascii="Times New Roman" w:hAnsi="Times New Roman" w:cs="Times New Roman"/>
          <w:color w:val="000000" w:themeColor="text1"/>
        </w:rPr>
        <w:t>=</w:t>
      </w:r>
      <w:r w:rsidR="00D71A24">
        <w:rPr>
          <w:rFonts w:ascii="Times New Roman" w:hAnsi="Times New Roman" w:cs="Times New Roman"/>
          <w:color w:val="000000" w:themeColor="text1"/>
        </w:rPr>
        <w:t>80</w:t>
      </w:r>
      <w:r w:rsidR="003D3621">
        <w:rPr>
          <w:rFonts w:ascii="Times New Roman" w:hAnsi="Times New Roman" w:cs="Times New Roman"/>
          <w:color w:val="000000" w:themeColor="text1"/>
        </w:rPr>
        <w:t>3</w:t>
      </w:r>
      <w:r w:rsidR="00457BC0">
        <w:rPr>
          <w:rFonts w:ascii="Times New Roman" w:hAnsi="Times New Roman" w:cs="Times New Roman"/>
          <w:color w:val="000000" w:themeColor="text1"/>
        </w:rPr>
        <w:t xml:space="preserve">, </w:t>
      </w:r>
      <w:r w:rsidRPr="0084065D">
        <w:rPr>
          <w:rFonts w:ascii="Times New Roman" w:hAnsi="Times New Roman" w:cs="Times New Roman"/>
          <w:color w:val="000000" w:themeColor="text1"/>
        </w:rPr>
        <w:t xml:space="preserve">which is sufficient to detect moderate effect sizes, using complex mixed regression models in our eligible resident sample of </w:t>
      </w:r>
      <w:r w:rsidR="00A64B4D">
        <w:rPr>
          <w:rFonts w:ascii="Times New Roman" w:hAnsi="Times New Roman" w:cs="Times New Roman"/>
          <w:color w:val="000000" w:themeColor="text1"/>
        </w:rPr>
        <w:t>2950.</w:t>
      </w:r>
      <w:r w:rsidRPr="0084065D">
        <w:rPr>
          <w:rFonts w:ascii="Times New Roman" w:hAnsi="Times New Roman" w:cs="Times New Roman"/>
          <w:color w:val="000000" w:themeColor="text1"/>
        </w:rPr>
        <w:t xml:space="preserve"> </w:t>
      </w:r>
    </w:p>
    <w:p w14:paraId="61AF320E" w14:textId="77777777" w:rsidR="00A81E3A" w:rsidRPr="0084065D" w:rsidRDefault="00A81E3A" w:rsidP="00F06F5B">
      <w:pPr>
        <w:ind w:firstLine="0"/>
        <w:rPr>
          <w:rFonts w:ascii="Times New Roman" w:hAnsi="Times New Roman" w:cs="Times New Roman"/>
          <w:color w:val="000000" w:themeColor="text1"/>
        </w:rPr>
      </w:pPr>
    </w:p>
    <w:p w14:paraId="1AAE31CC" w14:textId="1BABFAF9" w:rsidR="00A81E3A" w:rsidRPr="0084065D" w:rsidRDefault="00A81E3A" w:rsidP="00F06F5B">
      <w:pPr>
        <w:ind w:firstLine="0"/>
        <w:rPr>
          <w:rFonts w:ascii="Times New Roman" w:hAnsi="Times New Roman" w:cs="Times New Roman"/>
          <w:color w:val="000000" w:themeColor="text1"/>
        </w:rPr>
      </w:pPr>
      <w:r w:rsidRPr="0084065D">
        <w:rPr>
          <w:rFonts w:ascii="Times New Roman" w:hAnsi="Times New Roman" w:cs="Times New Roman"/>
          <w:color w:val="000000" w:themeColor="text1"/>
        </w:rPr>
        <w:t>References</w:t>
      </w:r>
    </w:p>
    <w:p w14:paraId="2BE0DFAD" w14:textId="3745A34D" w:rsidR="00A81E3A" w:rsidRPr="0084065D" w:rsidRDefault="00A81E3A" w:rsidP="00A81E3A">
      <w:pPr>
        <w:widowControl w:val="0"/>
        <w:autoSpaceDE w:val="0"/>
        <w:autoSpaceDN w:val="0"/>
        <w:adjustRightInd w:val="0"/>
        <w:ind w:left="640" w:hanging="640"/>
        <w:rPr>
          <w:rFonts w:ascii="Times New Roman" w:hAnsi="Times New Roman" w:cs="Times New Roman"/>
          <w:noProof/>
          <w:kern w:val="0"/>
          <w:lang w:val="en-US"/>
        </w:rPr>
      </w:pPr>
      <w:r w:rsidRPr="0084065D">
        <w:rPr>
          <w:rFonts w:ascii="Times New Roman" w:hAnsi="Times New Roman" w:cs="Times New Roman"/>
          <w:color w:val="000000" w:themeColor="text1"/>
        </w:rPr>
        <w:fldChar w:fldCharType="begin" w:fldLock="1"/>
      </w:r>
      <w:r w:rsidRPr="0084065D">
        <w:rPr>
          <w:rFonts w:ascii="Times New Roman" w:hAnsi="Times New Roman" w:cs="Times New Roman"/>
          <w:color w:val="000000" w:themeColor="text1"/>
        </w:rPr>
        <w:instrText xml:space="preserve">ADDIN Mendeley Bibliography CSL_BIBLIOGRAPHY </w:instrText>
      </w:r>
      <w:r w:rsidRPr="0084065D">
        <w:rPr>
          <w:rFonts w:ascii="Times New Roman" w:hAnsi="Times New Roman" w:cs="Times New Roman"/>
          <w:color w:val="000000" w:themeColor="text1"/>
        </w:rPr>
        <w:fldChar w:fldCharType="separate"/>
      </w:r>
      <w:r w:rsidRPr="0084065D">
        <w:rPr>
          <w:rFonts w:ascii="Times New Roman" w:hAnsi="Times New Roman" w:cs="Times New Roman"/>
          <w:noProof/>
          <w:kern w:val="0"/>
          <w:lang w:val="en-US"/>
        </w:rPr>
        <w:t>1.</w:t>
      </w:r>
      <w:r w:rsidRPr="0084065D">
        <w:rPr>
          <w:rFonts w:ascii="Times New Roman" w:hAnsi="Times New Roman" w:cs="Times New Roman"/>
          <w:noProof/>
          <w:kern w:val="0"/>
          <w:lang w:val="en-US"/>
        </w:rPr>
        <w:tab/>
        <w:t xml:space="preserve">Faul F, Erdfelder E, Buchner A, Lang AG. Statistical power analyses using G*Power 3.1: Tests for correlation and regression analyses. </w:t>
      </w:r>
      <w:r w:rsidRPr="0084065D">
        <w:rPr>
          <w:rFonts w:ascii="Times New Roman" w:hAnsi="Times New Roman" w:cs="Times New Roman"/>
          <w:i/>
          <w:iCs/>
          <w:noProof/>
          <w:kern w:val="0"/>
          <w:lang w:val="en-US"/>
        </w:rPr>
        <w:t>Behav Res Methods</w:t>
      </w:r>
      <w:r w:rsidRPr="0084065D">
        <w:rPr>
          <w:rFonts w:ascii="Times New Roman" w:hAnsi="Times New Roman" w:cs="Times New Roman"/>
          <w:noProof/>
          <w:kern w:val="0"/>
          <w:lang w:val="en-US"/>
        </w:rPr>
        <w:t>. 2009;41(4):1149-1160. doi:10.3758/BRM.41.4.1149</w:t>
      </w:r>
    </w:p>
    <w:p w14:paraId="6CF1A8F1" w14:textId="77777777" w:rsidR="00A81E3A" w:rsidRPr="0084065D" w:rsidRDefault="00A81E3A" w:rsidP="00A81E3A">
      <w:pPr>
        <w:widowControl w:val="0"/>
        <w:autoSpaceDE w:val="0"/>
        <w:autoSpaceDN w:val="0"/>
        <w:adjustRightInd w:val="0"/>
        <w:ind w:left="640" w:hanging="640"/>
        <w:rPr>
          <w:rFonts w:ascii="Times New Roman" w:hAnsi="Times New Roman" w:cs="Times New Roman"/>
          <w:noProof/>
        </w:rPr>
      </w:pPr>
      <w:r w:rsidRPr="0084065D">
        <w:rPr>
          <w:rFonts w:ascii="Times New Roman" w:hAnsi="Times New Roman" w:cs="Times New Roman"/>
          <w:noProof/>
          <w:kern w:val="0"/>
          <w:lang w:val="en-US"/>
        </w:rPr>
        <w:t>2.</w:t>
      </w:r>
      <w:r w:rsidRPr="0084065D">
        <w:rPr>
          <w:rFonts w:ascii="Times New Roman" w:hAnsi="Times New Roman" w:cs="Times New Roman"/>
          <w:noProof/>
          <w:kern w:val="0"/>
          <w:lang w:val="en-US"/>
        </w:rPr>
        <w:tab/>
        <w:t xml:space="preserve">Hoben M, Dymchuk E, Doupe MB, et al. Counting what counts: assessing quality of life and its social determinants among nursing home residents with dementia. </w:t>
      </w:r>
      <w:r w:rsidRPr="0084065D">
        <w:rPr>
          <w:rFonts w:ascii="Times New Roman" w:hAnsi="Times New Roman" w:cs="Times New Roman"/>
          <w:i/>
          <w:iCs/>
          <w:noProof/>
          <w:kern w:val="0"/>
          <w:lang w:val="en-US"/>
        </w:rPr>
        <w:t>BMC Geriatr</w:t>
      </w:r>
      <w:r w:rsidRPr="0084065D">
        <w:rPr>
          <w:rFonts w:ascii="Times New Roman" w:hAnsi="Times New Roman" w:cs="Times New Roman"/>
          <w:noProof/>
          <w:kern w:val="0"/>
          <w:lang w:val="en-US"/>
        </w:rPr>
        <w:t>. 2024;24(1):1-11. doi:10.1186/s12877-024-04710-1</w:t>
      </w:r>
    </w:p>
    <w:p w14:paraId="20B1C023" w14:textId="0DEB0F21" w:rsidR="00A81E3A" w:rsidRPr="0084065D" w:rsidRDefault="00A81E3A" w:rsidP="00F06F5B">
      <w:pPr>
        <w:ind w:firstLine="0"/>
        <w:rPr>
          <w:rFonts w:ascii="Times New Roman" w:hAnsi="Times New Roman" w:cs="Times New Roman"/>
          <w:color w:val="000000" w:themeColor="text1"/>
        </w:rPr>
      </w:pPr>
      <w:r w:rsidRPr="0084065D">
        <w:rPr>
          <w:rFonts w:ascii="Times New Roman" w:hAnsi="Times New Roman" w:cs="Times New Roman"/>
          <w:color w:val="000000" w:themeColor="text1"/>
        </w:rPr>
        <w:fldChar w:fldCharType="end"/>
      </w:r>
    </w:p>
    <w:p w14:paraId="2994348A" w14:textId="77777777" w:rsidR="00DC74DE" w:rsidRPr="0084065D" w:rsidRDefault="00DC74DE">
      <w:pPr>
        <w:rPr>
          <w:rFonts w:ascii="Times New Roman" w:hAnsi="Times New Roman" w:cs="Times New Roman"/>
        </w:rPr>
      </w:pPr>
    </w:p>
    <w:sectPr w:rsidR="00DC74DE" w:rsidRPr="0084065D">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15"/>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74DE"/>
    <w:rsid w:val="000D2B7B"/>
    <w:rsid w:val="001C215E"/>
    <w:rsid w:val="0039724C"/>
    <w:rsid w:val="003D3621"/>
    <w:rsid w:val="00422A7E"/>
    <w:rsid w:val="00457BC0"/>
    <w:rsid w:val="00544A26"/>
    <w:rsid w:val="005471E3"/>
    <w:rsid w:val="00617B00"/>
    <w:rsid w:val="0084065D"/>
    <w:rsid w:val="00A25E2F"/>
    <w:rsid w:val="00A64B4D"/>
    <w:rsid w:val="00A77688"/>
    <w:rsid w:val="00A81E3A"/>
    <w:rsid w:val="00D71A24"/>
    <w:rsid w:val="00D97292"/>
    <w:rsid w:val="00DC74DE"/>
    <w:rsid w:val="00DF56B9"/>
    <w:rsid w:val="00E126E0"/>
    <w:rsid w:val="00F06F5B"/>
    <w:rsid w:val="00F64194"/>
    <w:rsid w:val="00F66AEF"/>
    <w:rsid w:val="00FB08B5"/>
    <w:rsid w:val="00FB62CE"/>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54DC52"/>
  <w15:chartTrackingRefBased/>
  <w15:docId w15:val="{4DE60931-C5B4-474A-86EE-3F67FCDF03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CA" w:eastAsia="en-US" w:bidi="ar-SA"/>
        <w14:ligatures w14:val="standardContextual"/>
      </w:rPr>
    </w:rPrDefault>
    <w:pPrDefault>
      <w:pPr>
        <w:spacing w:line="480" w:lineRule="auto"/>
        <w:ind w:firstLine="7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C74D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C74D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C74D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C74D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C74D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C74DE"/>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C74DE"/>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C74DE"/>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C74DE"/>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C74D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C74D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C74D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C74D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C74D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C74D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C74D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C74D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C74DE"/>
    <w:rPr>
      <w:rFonts w:eastAsiaTheme="majorEastAsia" w:cstheme="majorBidi"/>
      <w:color w:val="272727" w:themeColor="text1" w:themeTint="D8"/>
    </w:rPr>
  </w:style>
  <w:style w:type="paragraph" w:styleId="Title">
    <w:name w:val="Title"/>
    <w:basedOn w:val="Normal"/>
    <w:next w:val="Normal"/>
    <w:link w:val="TitleChar"/>
    <w:uiPriority w:val="10"/>
    <w:qFormat/>
    <w:rsid w:val="00DC74D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C74D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C74DE"/>
    <w:pPr>
      <w:numPr>
        <w:ilvl w:val="1"/>
      </w:numPr>
      <w:spacing w:after="160"/>
      <w:ind w:firstLine="72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C74D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C74DE"/>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DC74DE"/>
    <w:rPr>
      <w:i/>
      <w:iCs/>
      <w:color w:val="404040" w:themeColor="text1" w:themeTint="BF"/>
    </w:rPr>
  </w:style>
  <w:style w:type="paragraph" w:styleId="ListParagraph">
    <w:name w:val="List Paragraph"/>
    <w:basedOn w:val="Normal"/>
    <w:uiPriority w:val="34"/>
    <w:qFormat/>
    <w:rsid w:val="00DC74DE"/>
    <w:pPr>
      <w:ind w:left="720"/>
      <w:contextualSpacing/>
    </w:pPr>
  </w:style>
  <w:style w:type="character" w:styleId="IntenseEmphasis">
    <w:name w:val="Intense Emphasis"/>
    <w:basedOn w:val="DefaultParagraphFont"/>
    <w:uiPriority w:val="21"/>
    <w:qFormat/>
    <w:rsid w:val="00DC74DE"/>
    <w:rPr>
      <w:i/>
      <w:iCs/>
      <w:color w:val="0F4761" w:themeColor="accent1" w:themeShade="BF"/>
    </w:rPr>
  </w:style>
  <w:style w:type="paragraph" w:styleId="IntenseQuote">
    <w:name w:val="Intense Quote"/>
    <w:basedOn w:val="Normal"/>
    <w:next w:val="Normal"/>
    <w:link w:val="IntenseQuoteChar"/>
    <w:uiPriority w:val="30"/>
    <w:qFormat/>
    <w:rsid w:val="00DC74D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C74DE"/>
    <w:rPr>
      <w:i/>
      <w:iCs/>
      <w:color w:val="0F4761" w:themeColor="accent1" w:themeShade="BF"/>
    </w:rPr>
  </w:style>
  <w:style w:type="character" w:styleId="IntenseReference">
    <w:name w:val="Intense Reference"/>
    <w:basedOn w:val="DefaultParagraphFont"/>
    <w:uiPriority w:val="32"/>
    <w:qFormat/>
    <w:rsid w:val="00DC74DE"/>
    <w:rPr>
      <w:b/>
      <w:bCs/>
      <w:smallCaps/>
      <w:color w:val="0F4761" w:themeColor="accent1" w:themeShade="BF"/>
      <w:spacing w:val="5"/>
    </w:rPr>
  </w:style>
  <w:style w:type="character" w:styleId="CommentReference">
    <w:name w:val="annotation reference"/>
    <w:basedOn w:val="DefaultParagraphFont"/>
    <w:uiPriority w:val="99"/>
    <w:semiHidden/>
    <w:unhideWhenUsed/>
    <w:rsid w:val="00422A7E"/>
    <w:rPr>
      <w:sz w:val="16"/>
      <w:szCs w:val="16"/>
    </w:rPr>
  </w:style>
  <w:style w:type="paragraph" w:styleId="CommentText">
    <w:name w:val="annotation text"/>
    <w:basedOn w:val="Normal"/>
    <w:link w:val="CommentTextChar"/>
    <w:uiPriority w:val="99"/>
    <w:semiHidden/>
    <w:unhideWhenUsed/>
    <w:rsid w:val="00422A7E"/>
    <w:pPr>
      <w:spacing w:line="240" w:lineRule="auto"/>
    </w:pPr>
    <w:rPr>
      <w:sz w:val="20"/>
      <w:szCs w:val="20"/>
    </w:rPr>
  </w:style>
  <w:style w:type="character" w:customStyle="1" w:styleId="CommentTextChar">
    <w:name w:val="Comment Text Char"/>
    <w:basedOn w:val="DefaultParagraphFont"/>
    <w:link w:val="CommentText"/>
    <w:uiPriority w:val="99"/>
    <w:semiHidden/>
    <w:rsid w:val="00422A7E"/>
    <w:rPr>
      <w:sz w:val="20"/>
      <w:szCs w:val="20"/>
    </w:rPr>
  </w:style>
  <w:style w:type="paragraph" w:styleId="CommentSubject">
    <w:name w:val="annotation subject"/>
    <w:basedOn w:val="CommentText"/>
    <w:next w:val="CommentText"/>
    <w:link w:val="CommentSubjectChar"/>
    <w:uiPriority w:val="99"/>
    <w:semiHidden/>
    <w:unhideWhenUsed/>
    <w:rsid w:val="00422A7E"/>
    <w:rPr>
      <w:b/>
      <w:bCs/>
    </w:rPr>
  </w:style>
  <w:style w:type="character" w:customStyle="1" w:styleId="CommentSubjectChar">
    <w:name w:val="Comment Subject Char"/>
    <w:basedOn w:val="CommentTextChar"/>
    <w:link w:val="CommentSubject"/>
    <w:uiPriority w:val="99"/>
    <w:semiHidden/>
    <w:rsid w:val="00422A7E"/>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6C21864-B45E-9048-BFF9-3403FD88AC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1</Pages>
  <Words>1302</Words>
  <Characters>7425</Characters>
  <Application>Microsoft Office Word</Application>
  <DocSecurity>0</DocSecurity>
  <Lines>61</Lines>
  <Paragraphs>17</Paragraphs>
  <ScaleCrop>false</ScaleCrop>
  <Company/>
  <LinksUpToDate>false</LinksUpToDate>
  <CharactersWithSpaces>8710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Shovana Shrestha</dc:creator>
  <cp:keywords/>
  <dc:description/>
  <cp:lastModifiedBy>Shovana Shrestha</cp:lastModifiedBy>
  <cp:revision>18</cp:revision>
  <dcterms:created xsi:type="dcterms:W3CDTF">2026-05-13T05:32:00Z</dcterms:created>
  <dcterms:modified xsi:type="dcterms:W3CDTF">2026-08-09T05:21:00Z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 11th edition</vt:lpwstr>
  </property>
  <property fmtid="{D5CDD505-2E9C-101B-9397-08002B2CF9AE}" pid="4" name="Mendeley Recent Style Id 1_1">
    <vt:lpwstr>http://www.zotero.org/styles/apa</vt:lpwstr>
  </property>
  <property fmtid="{D5CDD505-2E9C-101B-9397-08002B2CF9AE}" pid="5" name="Mendeley Recent Style Name 1_1">
    <vt:lpwstr>American Psychological Association 7th edition</vt:lpwstr>
  </property>
  <property fmtid="{D5CDD505-2E9C-101B-9397-08002B2CF9AE}" pid="6" name="Mendeley Recent Style Id 2_1">
    <vt:lpwstr>http://www.zotero.org/styles/chicago-author-date</vt:lpwstr>
  </property>
  <property fmtid="{D5CDD505-2E9C-101B-9397-08002B2CF9AE}" pid="7" name="Mendeley Recent Style Name 2_1">
    <vt:lpwstr>Chicago Manual of Style 17th edition (author-date)</vt:lpwstr>
  </property>
  <property fmtid="{D5CDD505-2E9C-101B-9397-08002B2CF9AE}" pid="8" name="Mendeley Recent Style Id 3_1">
    <vt:lpwstr>http://www.zotero.org/styles/harvard-cite-them-right</vt:lpwstr>
  </property>
  <property fmtid="{D5CDD505-2E9C-101B-9397-08002B2CF9AE}" pid="9" name="Mendeley Recent Style Name 3_1">
    <vt:lpwstr>Cite Them Right 12th edition - Harvard</vt:lpwstr>
  </property>
  <property fmtid="{D5CDD505-2E9C-101B-9397-08002B2CF9AE}" pid="10" name="Mendeley Recent Style Id 4_1">
    <vt:lpwstr>http://www.zotero.org/styles/ieee</vt:lpwstr>
  </property>
  <property fmtid="{D5CDD505-2E9C-101B-9397-08002B2CF9AE}" pid="11" name="Mendeley Recent Style Name 4_1">
    <vt:lpwstr>IEEE</vt:lpwstr>
  </property>
  <property fmtid="{D5CDD505-2E9C-101B-9397-08002B2CF9AE}" pid="12" name="Mendeley Recent Style Id 5_1">
    <vt:lpwstr>http://www.zotero.org/styles/modern-humanities-research-association</vt:lpwstr>
  </property>
  <property fmtid="{D5CDD505-2E9C-101B-9397-08002B2CF9AE}" pid="13" name="Mendeley Recent Style Name 5_1">
    <vt:lpwstr>Modern Humanities Research Association 4th edition (note with bibliography)</vt:lpwstr>
  </property>
  <property fmtid="{D5CDD505-2E9C-101B-9397-08002B2CF9AE}" pid="14" name="Mendeley Recent Style Id 6_1">
    <vt:lpwstr>http://www.zotero.org/styles/modern-language-association</vt:lpwstr>
  </property>
  <property fmtid="{D5CDD505-2E9C-101B-9397-08002B2CF9AE}" pid="15" name="Mendeley Recent Style Name 6_1">
    <vt:lpwstr>Modern Language Association 9th edition</vt:lpwstr>
  </property>
  <property fmtid="{D5CDD505-2E9C-101B-9397-08002B2CF9AE}" pid="16" name="Mendeley Recent Style Id 7_1">
    <vt:lpwstr>http://www.zotero.org/styles/nature</vt:lpwstr>
  </property>
  <property fmtid="{D5CDD505-2E9C-101B-9397-08002B2CF9AE}" pid="17" name="Mendeley Recent Style Name 7_1">
    <vt:lpwstr>Nature</vt:lpwstr>
  </property>
  <property fmtid="{D5CDD505-2E9C-101B-9397-08002B2CF9AE}" pid="18" name="Mendeley Recent Style Id 8_1">
    <vt:lpwstr>http://www.zotero.org/styles/vancouver</vt:lpwstr>
  </property>
  <property fmtid="{D5CDD505-2E9C-101B-9397-08002B2CF9AE}" pid="19" name="Mendeley Recent Style Name 8_1">
    <vt:lpwstr>Vancouver</vt:lpwstr>
  </property>
  <property fmtid="{D5CDD505-2E9C-101B-9397-08002B2CF9AE}" pid="20" name="Mendeley Recent Style Id 9_1">
    <vt:lpwstr>http://www.zotero.org/styles/vancouver-superscript</vt:lpwstr>
  </property>
  <property fmtid="{D5CDD505-2E9C-101B-9397-08002B2CF9AE}" pid="21" name="Mendeley Recent Style Name 9_1">
    <vt:lpwstr>Vancouver (superscript)</vt:lpwstr>
  </property>
  <property fmtid="{D5CDD505-2E9C-101B-9397-08002B2CF9AE}" pid="22" name="Mendeley Document_1">
    <vt:lpwstr>True</vt:lpwstr>
  </property>
  <property fmtid="{D5CDD505-2E9C-101B-9397-08002B2CF9AE}" pid="23" name="Mendeley Unique User Id_1">
    <vt:lpwstr>3dffc7f4-d261-3bfa-aad3-f13ef792bfbb</vt:lpwstr>
  </property>
  <property fmtid="{D5CDD505-2E9C-101B-9397-08002B2CF9AE}" pid="24" name="Mendeley Citation Style_1">
    <vt:lpwstr>http://www.zotero.org/styles/american-medical-association</vt:lpwstr>
  </property>
</Properties>
</file>