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Additional file 1. Supplementary methods and results</w:t>
      </w:r>
    </w:p>
    <w:p>
      <w:r>
        <w:t>Formal-care accessibility and grandparental care: a reverse-substitution effect of China’s medical-elderly care integration.</w:t>
      </w:r>
    </w:p>
    <w:p>
      <w:r>
        <w:t>This file provides the full model derivations and proofs (§S1) and the supplementary empirical analyses (§S2–§S14) referenced in the main text. All point estimates and standard errors match those reported in the main manuscript; unless otherwise stated, standard errors are clustered at the city level and the outcome is grandchild care (a binary extensive-margin indicator).</w:t>
      </w:r>
    </w:p>
    <w:p>
      <w:pPr>
        <w:pStyle w:val="Heading1"/>
      </w:pPr>
      <w:r>
        <w:t>§S1. Model derivations and proofs of Propositions 1–4</w:t>
      </w:r>
    </w:p>
    <w:p>
      <w:pPr>
        <w:pStyle w:val="Heading2"/>
      </w:pPr>
      <w:r>
        <w:t>S1.1 Setup</w:t>
      </w:r>
    </w:p>
    <w:p>
      <w:r>
        <w:t>An older person (generation 1) has period utility U_e = U_e(G, L_e, H_e), where G is grandchild-care time, L_e is leisure, and H_e is health; U_e is increasing and strictly quasi-concave in G and L_e. The person must obtain a quantity of care Q = Q(H_e), with dQ/dH_e &lt; 0 (worse health requires more care). Care is obtained through an informal channel (high time cost) or a formal channel (low time cost). Let the time-cost function of receiving care be τ(c)·Q(H_e), where c is formal-care accessibility, with τ′(c) &lt; 0 and τ″(c) ≥ 0 (Assumption 1: improved accessibility reduces the time needed to obtain a given amount of care, with a diminishing marginal effect). Accessibility may also reduce care needs by improving health, dQ/dc = Q′(H_e)·(dH_e/dc) ≤ 0.</w:t>
      </w:r>
    </w:p>
    <w:p>
      <w:r>
        <w:t>The older person’s time budget constraint (main-text eq. 1) is T_e = τ(c)·Q(H_e) + G + L_e, so that the time occupied by receiving care, τ(c)·Q(H_e), competes with G and L_e for the total time T_e. Define freely allocable time B(c) ≡ T_e − τ(c)·Q(H_e).</w:t>
      </w:r>
    </w:p>
    <w:p>
      <w:pPr>
        <w:pStyle w:val="Heading2"/>
      </w:pPr>
      <w:r>
        <w:t>S1.2 The release share s (proof of main-text eq. 2)</w:t>
      </w:r>
    </w:p>
    <w:p>
      <w:r>
        <w:t>Conditional on participation, the older person chooses (G, L_e) subject to G + L_e = B(c) to maximise the additively separable objective V(G, L_e) = v(G) + u(L_e), with v, u strictly increasing and strictly concave (v″ &lt; 0, u″ &lt; 0). The interior first-order condition is v′(G) = u′(L_e) = μ, where μ is the shadow price of freely allocable time.</w:t>
      </w:r>
    </w:p>
    <w:p>
      <w:r>
        <w:t>Totally differentiate the two conditions with respect to B. From the resource constraint, dG + dL_e = dB. From v′(G) = u′(L_e), v″(G)·dG = u″(L_e)·dL_e. Substituting dL_e = dB − dG gives v″(G)·dG = u″(L_e)·(dB − dG), i.e., [v″(G) + u″(L_e)]·dG = u″(L_e)·dB. Hence the release share is</w:t>
      </w:r>
    </w:p>
    <w:p>
      <w:r>
        <w:t xml:space="preserve">    s ≡ dG*/dB = u″(L_e) / [v″(G) + u″(L_e)] = |u″(L_e)| / [ |v″(G)| + |u″(L_e)| ]  ∈ (0,1).</w:t>
      </w:r>
    </w:p>
    <w:p>
      <w:r>
        <w:t>The final equality uses v″ &lt; 0 and u″ &lt; 0. Because both marginal utilities are strictly concave, 0 &lt; s &lt; 1: a strictly positive but incomplete share of any newly released time flows into grandchild care. The greater the concavity of leisure |u″(L_e)| (the closer leisure is to physiological satiation), the closer s is to 1.</w:t>
      </w:r>
    </w:p>
    <w:p>
      <w:pPr>
        <w:pStyle w:val="Heading2"/>
      </w:pPr>
      <w:r>
        <w:t>S1.3 Proof of Proposition 1 (time release and reverse substitution)</w:t>
      </w:r>
    </w:p>
    <w:p>
      <w:r>
        <w:t>The optimal grandchild-care time is G* = G*(B(c)), so by the chain rule ∂G*/∂c = s·(dB/dc). Differentiating B(c) = T_e − τ(c)·Q(H_e) with respect to c gives dB/dc = −[ τ′(c)·Q + τ(c)·Q′(H_e)·(dH_e/dc) ]. Therefore</w:t>
      </w:r>
    </w:p>
    <w:p>
      <w:r>
        <w:t xml:space="preserve">    ∂G*/∂c = s·[ −τ′(c)·Q − τ(c)·Q′(H_e)·(dH_e/dc) ] ≥ s·[ −τ′(c)·Q ] &gt; 0.</w:t>
      </w:r>
    </w:p>
    <w:p>
      <w:r>
        <w:t>The first term is the time-price channel (reverse substitution); it is strictly positive because τ′(c) &lt; 0 implies −τ′(c)·Q &gt; 0 and s &gt; 0. The second term is the health-care-need channel; it is non-negative because Q′(H_e) ≤ 0 and dH_e/dc ≥ 0, so it reinforces the first term in the same direction. Hence improved accessibility strictly raises grandchild-care time on the intensive margin. On the extensive margin, entry requires v(G*(B)) − v(0) ≥ F for a fixed participation cost F; because B(c) rises with c and v is increasing, the participation gain rises, so weakly more older people enter grandchild care. ∎</w:t>
      </w:r>
    </w:p>
    <w:p>
      <w:pPr>
        <w:pStyle w:val="Heading2"/>
      </w:pPr>
      <w:r>
        <w:t>S1.4 Proposition 2 (health is not a necessary mediator)</w:t>
      </w:r>
    </w:p>
    <w:p>
      <w:r>
        <w:t>The health channel operates through c → H_e → Q(H_e) → time occupied. A necessary condition for it to matter is ∂H_e/∂c &gt; 0 together with a significant health-mediation effect. If ∂H_e/∂c ≈ 0, the second term in §S1.3 vanishes and ∂G*/∂c reduces to the pure time-price effect s·[−τ′(c)·Q]. Thus a non-significant health-mediation effect combined with ∂G/∂c &gt; 0 identifies the time-price channel as the operative mechanism. This is the discriminant standard tested in §S9 and in the main-text mechanism analysis.</w:t>
      </w:r>
    </w:p>
    <w:p>
      <w:pPr>
        <w:pStyle w:val="Heading2"/>
      </w:pPr>
      <w:r>
        <w:t>S1.5 Proposition 3 (intergenerational spillover and low money–time substitution)</w:t>
      </w:r>
    </w:p>
    <w:p>
      <w:r>
        <w:t>Adult children (generation 2) have U_c = U_c(L_c, T_care) with T_c = T_care + L_c, and the intergenerational link T_receive = θ·T_care, θ ∈ (0,1]. Because improved accessibility lowers the informal care the older person receives (∂T_receive/∂c &lt; 0), children’s care time is released: ∂T_care/∂c = (1/θ)·(∂T_receive/∂c) &lt; 0 (classical substitution on the children’s margin). If the elasticity of substitution between intergenerational time and money is low, then monetary transfers respond little, ∂Transfer/∂c ≈ 0. Proposition 3 therefore yields two testable implications: children’s care burden falls, and the economic (transfer) dimension is not significant while the time dimension is.</w:t>
      </w:r>
    </w:p>
    <w:p>
      <w:pPr>
        <w:pStyle w:val="Heading2"/>
      </w:pPr>
      <w:r>
        <w:t>S1.6 Proposition 4 (intensity threshold and mechanism switching)</w:t>
      </w:r>
    </w:p>
    <w:p>
      <w:r>
        <w:t>There exists an intensity threshold c*. In the low-intensity range (family-doctor contracting, home visits), the older person’s own time price τ(c) is still above its physiological floor, dB/dc &gt; 0, and reverse substitution dominates. In the high-intensity range (institutional care, large long-term-care-insurance subsidies), τ(c) approaches its floor, dB/dc → 0, the older person’s own time is no longer released, and the mechanism switches to classical substitution (releasing children’s time). We do not derive or estimate c* explicitly; its existence is supported only suggestively by the inverted-U pattern of effects across policy intensity (§S12).</w:t>
      </w:r>
    </w:p>
    <w:p>
      <w:pPr>
        <w:pStyle w:val="Heading1"/>
      </w:pPr>
      <w:r>
        <w:t>§S2. Synthetic difference-in-differences (Arkhangelsky et al., 2021)</w:t>
      </w:r>
    </w:p>
    <w:p>
      <w:r>
        <w:t>The synthetic DID (SDID) estimator combines synthetic-control unit weighting with the DID structure. The city-level two-period estimate is +0.048 (bootstrap p = 0.072, 95% CI [−0.001, +0.101]); the three-period estimate is +0.048; and an individual-level weighted regression gives +0.050 (p = 0.043). Of the 86 control cities, 84 receive non-zero unit weights; the estimated time weights are λ_2013 = 0.339 and λ_2015 = 0.661. The SDID estimate (+0.048 to +0.050) lies between the 2×2 DID (+0.061) and the synthetic-control (+0.034) estimates, consistent with theoretical expectations. All estimates share the same data and are reported only as a descriptive check of sign consistency.</w:t>
      </w:r>
    </w:p>
    <w:p>
      <w:pPr>
        <w:pStyle w:val="Heading1"/>
      </w:pPr>
      <w:r>
        <w:t>§S3. Synthetic control method (Abadie et al., 2010)</w:t>
      </w:r>
    </w:p>
    <w:p>
      <w:r>
        <w:t>A weighted synthetic control is constructed for each of the 40 treated cities. The pooled SC effect is +0.034 (simple average) and +0.042 (RMSPE-inverse-weighted); 26 of 40 treated cities show a positive effect; the mean pre-treatment RMSPE is 0.055, indicating good pre-treatment fit. Placebo inference gives a Mann–Whitney U p = 0.029 and a permutation p = 0.050. The SC effect is smaller than the individual-level DID because of the information loss from city-level aggregation, but its sign is consistent with the baseline.</w:t>
      </w:r>
    </w:p>
    <w:p>
      <w:pPr>
        <w:pStyle w:val="Heading1"/>
      </w:pPr>
      <w:r>
        <w:t>§S4. Honest DID sensitivity analysis (Rambachan &amp; Roth, 2023)</w:t>
      </w:r>
    </w:p>
    <w:p>
      <w:r>
        <w:t>On the 2×2 balanced-panel event study (2011: +0.019, p = 0.589; 2013: +0.024, p = 0.241; 2018: +0.058, p = 0.003; joint pre-trend test p = 0.502), the maximum pre-treatment deviation is Δmax = 0.024. Under the relative-magnitudes restriction, the robust confidence set excludes zero for M = 0 ([0.020, 0.096]) and for M = 0.5 ([0.006, 0.119]); at M = 1.0 the set [−0.019, 0.146] contains zero. The conclusion is therefore robust to trend deviations up to 50% of the maximum pre-treatment deviation, but not to deviations reaching the full pre-treatment maximum.</w:t>
      </w:r>
    </w:p>
    <w:p>
      <w:pPr>
        <w:pStyle w:val="Heading1"/>
      </w:pPr>
      <w:r>
        <w:t>§S5. First-difference double/debiased machine learning (Chernozhukov et al., 2018)</w:t>
      </w:r>
    </w:p>
    <w:p>
      <w:r>
        <w:t>Double/debiased machine learning (DML) is run on first-differenced data with three machine-learning learners (random forest, gradient boosting, LASSO), 5-fold GroupKFold cross-fitting, and 499 city-clustered bootstrap replications. The ATT estimates are +0.059 (random forest), +0.054 (gradient boosting), and +0.060 (LASSO), each with bootstrap p = 0.006, highly consistent with the 2×2 DID (+0.061).</w:t>
      </w:r>
    </w:p>
    <w:p>
      <w:pPr>
        <w:pStyle w:val="Heading1"/>
      </w:pPr>
      <w:r>
        <w:t>§S6. Effect-size synthesis (19 configurations, descriptive)</w:t>
      </w:r>
    </w:p>
    <w:p>
      <w:r>
        <w:t>The following 19 estimation configurations are compiled: (1) 2×2 DID without controls; (2) 2×2 DID with controls; (3) two-way fixed effects; (4) entropy balancing; (5) Oster identified set; (6) Webb wild-cluster bootstrap; (7) city-level placebo (1,000 reassignments); (8) Lee bounds; (9) leave-one-out (city); (10) synthetic DID; (11) synthetic control; (12)–(14) first-difference DML (random forest / gradient boosting / LASSO); (15) Honest DID; (16) IPW-DID; (17) T-learner; (18) propensity-stratified conditional DID; (19) long-horizon DID (2013→2018).</w:t>
      </w:r>
    </w:p>
    <w:p>
      <w:r>
        <w:t>All configurations give positive point estimates, and 13 of the 16 with p-values are significant at 5%. Because the estimates share the same data and are highly correlated, we do not apply inverse-variance weighting and do not treat sign consistency as independent evidence; we report only a descriptive summary. The median of the core estimates is +0.052, with an interquartile range [+0.047, +0.060]. Sensitivity bounds are reported separately: Lee [+0.039, +0.089]; Oster [+0.051, +0.055]; Honest DID at M = 1.0 [−0.019, +0.146].</w:t>
      </w:r>
    </w:p>
    <w:p>
      <w:pPr>
        <w:pStyle w:val="Heading1"/>
      </w:pPr>
      <w:r>
        <w:t>§S7. Inverse-probability-weighted DID (Abadie, 2005)</w:t>
      </w:r>
    </w:p>
    <w:p>
      <w:r>
        <w:t>A logit propensity score is estimated on city baseline characteristics and used to inverse-probability-weight a fixed-effects DID on the 2013–2015–2018 panel. For grandchild care, the IPW-weighted estimate is +0.045 (p = 0.043) and the unweighted estimate is +0.051 (p = 0.005); the doubly robust estimate is +0.024 (95% CI [−0.012, +0.056]). For co-residence the estimate is −0.018 (p = 0.030), and for log economic transfers it is +0.084 (p = 0.349, non-significant).</w:t>
      </w:r>
    </w:p>
    <w:p>
      <w:pPr>
        <w:pStyle w:val="Heading1"/>
      </w:pPr>
      <w:r>
        <w:t>§S8. Medium-term effects and extended event study</w:t>
      </w:r>
    </w:p>
    <w:p>
      <w:r>
        <w:t>The extended event study (individual fixed effects, three pre-treatment periods) gives 2013: +0.015 (p = 0.486) and 2018: +0.057 (p = 0.004), with a joint pre-trend test p = 0.486. The long-horizon DID (2013→2018) gives +0.032 (p = 0.198), non-significant. As a post-hoc power calculation, the minimum detectable effect at 5% significance and 80% power implied by the reported standard error (≈0.025) is about 7.0 percentage points, larger than the baseline effect (6.1 points), so the long-horizon null most likely reflects insufficient power rather than genuine decay. The 2020 wave is missing the outcome and COVID-19 is a major confounder, so medium-term persistence cannot be tested.</w:t>
      </w:r>
    </w:p>
    <w:p>
      <w:pPr>
        <w:pStyle w:val="Heading1"/>
      </w:pPr>
      <w:r>
        <w:t>§S9. Causal mediation and discriminant tests</w:t>
      </w:r>
    </w:p>
    <w:p>
      <w:r>
        <w:t>An activities-of-daily-living (ADL) difficulty index (0–6) is constructed from the raw CHARLS data. The individual-fixed-effects mediation decomposition gives an a-path (policy → ADL) of −0.039 (p = 0.45), a b-path (ADL → grandchild care) of +0.002 (p = 0.74), and an indirect effect ≈ 0 (bootstrap 95% CI [−0.001, +0.0005]); the ADL health-mediation path does not hold. This complements the primary self-rated-health mediation test reported in the main text (Table 5), which is likewise a non-significant null at both stages.</w:t>
      </w:r>
    </w:p>
    <w:p>
      <w:r>
        <w:t>The discriminant test uses 1,000 city-level random treatment reassignments: grandchild care has a significant pseudo-p of 0.013, whereas ADL (pseudo-p = 0.804) and economic support (pseudo-p = 0.818) are non-significant, confirming the specificity of the effect.</w:t>
      </w:r>
    </w:p>
    <w:p>
      <w:pPr>
        <w:pStyle w:val="Heading1"/>
      </w:pPr>
      <w:r>
        <w:t>§S10. T-learner heterogeneous treatment effects</w:t>
      </w:r>
    </w:p>
    <w:p>
      <w:r>
        <w:t>Conditional average treatment effects are estimated with a T-learner (separate random forests for the treatment and control groups) and 5-fold cross-fitting. The T-learner ATE is +0.057 (city-clustered bootstrap SE = 0.022); 74.7% of individuals have a positive point estimate; the ratio of the inter-quartile range of individual treatment effects to |ATE| is 1.92; and the Best-Linear-Projection joint test is non-significant (p = 0.479), so effect homogeneity cannot be rejected. The most important heterogeneity variable is age-squared.</w:t>
      </w:r>
    </w:p>
    <w:p>
      <w:r>
        <w:t>An interaction test on baseline community accessibility gives, for low-accessibility communities, ATT = +0.072 (p = 0.015, N = 1,831), and for high-accessibility communities, ATT = +0.022 (p = 0.364, N = 1,710), with an interaction of +0.053 (p = 0.098) — a same-direction, suggestive result.</w:t>
      </w:r>
    </w:p>
    <w:p>
      <w:pPr>
        <w:pStyle w:val="Heading1"/>
      </w:pPr>
      <w:r>
        <w:t>§S11. Propensity-stratified conditional DID (exploratory)</w:t>
      </w:r>
    </w:p>
    <w:p>
      <w:r>
        <w:t>A standard marginal-treatment-effect analysis requires a selection equation and an exclusion restriction. Because the treatment is a city-level policy with no individual instrument, we instead implement a propensity-index-stratified conditional DID, which we treat as exploratory. The aggregate parameters are ATE = +0.043, ATT = +0.053, ATU = +0.065, and LATE = +0.037. The common-support region of the propensity index is [0.155, 0.582], covering 99.4% of the sample. That ATU exceeds ATT suggests that current pilot cities are not necessarily those with the largest effect and that extending the policy might yield positive marginal returns; this is descriptive heterogeneity evidence, not strict extrapolative identification.</w:t>
      </w:r>
    </w:p>
    <w:p>
      <w:pPr>
        <w:pStyle w:val="Heading1"/>
      </w:pPr>
      <w:r>
        <w:t>§S12. Policy-intensity heterogeneity (exploratory)</w:t>
      </w:r>
    </w:p>
    <w:p>
      <w:r>
        <w:t>An intensity index is constructed from city-level 2018−2015 changes in health-service utilisation. Because this is a post-determined and possibly endogenous indicator, the analysis is exploratory. Splitting cities into low/medium/high terciles gives ATT = +0.030 (p = 0.390, low), +0.101 (p = 0.0002, medium), and +0.032 (p = 0.377, high) — an inverted-U pattern that provides suggestive evidence for the intensity threshold of Proposition 4 (§S1.6). The IV-Wald first-stage F-statistic is 0.17, indicating a weak-instrument problem, so the corresponding Wald estimate is not used for causal inference.</w:t>
      </w:r>
    </w:p>
    <w:p>
      <w:pPr>
        <w:pStyle w:val="Heading1"/>
      </w:pPr>
      <w:r>
        <w:t>§S13. External-validity extension</w:t>
      </w:r>
    </w:p>
    <w:p>
      <w:r>
        <w:t>The estimates are based on the CHARLS 2011–2018 sample of community-dwelling older people (balanced panel N = 3,541 across 126 cities). CHARLS uses stratified multistage random sampling and is representative of the community-dwelling older population; because institutional elderly care accounts for less than 3% of the sample, extrapolation to institutionalised older people is limited. Pilot cities arise from local application, so external validity is affected by pilot selection; the conditional DID (§S11 and main text) shows ATU (+0.065) slightly above ATT (+0.053), suggesting that expansion might yield positive marginal returns, though this is descriptive extrapolative evidence only.</w:t>
      </w:r>
    </w:p>
    <w:p>
      <w:r>
        <w:t>The intensity threshold c* (Proposition 4) implies that extrapolation must distinguish policy intensity: our identification concentrates on low-intensity, community-based instruments, so the conclusions extrapolate most directly to community-centred expansion of medical-elderly integration and should be applied cautiously to high-intensity institutionalised settings. Temporally, the effect is strongest 2–3 years after the policy, and long-run persistence may require sustained policy investment. Contextually, reverse substitution is more likely to appear where intergenerational ties are culturally close; cross-cultural robustness remains to be verified.</w:t>
      </w:r>
    </w:p>
    <w:p>
      <w:pPr>
        <w:pStyle w:val="Heading1"/>
      </w:pPr>
      <w:r>
        <w:t>§S14. Welfare-accounting framework (structural illustration)</w:t>
      </w:r>
    </w:p>
    <w:p>
      <w:r>
        <w:t>To move the welfare implications of reverse substitution from a qualitative judgement toward a quantifiable framework, denote the change in the older person’s grandchild-care time by G₁ − G₀ = s·R &gt; 0, the change in leisure by L_e1 − L_e0 = (1 − s)·R ≥ 0, and the change in children’s care time by T_care1 − T_care0 &lt; 0, where R ≡ −τ′(c)·Q &gt; 0 is the time released through the time-price channel and s is the release share of §S1.2.</w:t>
      </w:r>
    </w:p>
    <w:p>
      <w:r>
        <w:t>Value the increase in the older person’s grandchild-care supply at an equivalent market service price p_g as ΔW_e = p_g·(G₁ − G₀)·(1 − ℓ), where ℓ ∈ [0,1] is the share representing fatigue costs; value the reduction in children’s burden at p_c as ΔW_c = p_c·(T_care0 − T_care1). The net social benefit of the policy is NSB = ΔW_e + ΔW_c − C, where C is the policy-provision cost (personnel, fiscal subsidies, and facility/training expenditure).</w:t>
      </w:r>
    </w:p>
    <w:p>
      <w:r>
        <w:t>This is a structural illustration only. Precise values for p_g, p_c, and ℓ require time-use and willingness-to-pay survey data; because the model does not characterise the two-generation equilibrium interaction and ℓ is unknown, we make no empirical claim of a Pareto improvement and offer the accounting identities only as an operational template for future welfare analysis.</w:t>
      </w:r>
    </w:p>
    <w:p>
      <w:pPr>
        <w:pStyle w:val="Heading1"/>
      </w:pPr>
      <w:r>
        <w:t>References cited in this file</w:t>
      </w:r>
    </w:p>
    <w:p>
      <w:r>
        <w:t>Abadie A. Semiparametric difference-in-differences estimators. Rev Econ Stud. 2005;72(1):1–19.</w:t>
      </w:r>
    </w:p>
    <w:p>
      <w:r>
        <w:t>Abadie A, Diamond A, Hainmueller J. Synthetic control methods for comparative case studies: estimating the effect of California’s tobacco control program. J Am Stat Assoc. 2010;105(490):493–505.</w:t>
      </w:r>
    </w:p>
    <w:p>
      <w:r>
        <w:t>Arkhangelsky D, Athey S, Hirshberg DA, Imbens GW, Wager S. Synthetic difference-in-differences. Am Econ Rev. 2021;111(12):4088–118.</w:t>
      </w:r>
    </w:p>
    <w:p>
      <w:r>
        <w:t>Chernozhukov V, Chetverikov D, Demirer M, Duflo E, Hansen C, Newey W, et al. Double/debiased machine learning for treatment and structural parameters. Econom J. 2018;21(1):C1–68.</w:t>
      </w:r>
    </w:p>
    <w:p>
      <w:r>
        <w:t>Rambachan A, Roth J. A more credible approach to parallel trends. Rev Econ Stud. 2023;90(5):2555–91.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