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6480000" cy="34549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S01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454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Figure S1. </w:t>
      </w:r>
      <w:r>
        <w:rPr>
          <w:rFonts w:ascii="Times New Roman" w:hAnsi="Times New Roman" w:eastAsia="Times New Roman"/>
          <w:b w:val="0"/>
          <w:i w:val="0"/>
          <w:sz w:val="24"/>
        </w:rPr>
        <w:t>Complete month-to-month ERA5-Land thermal-state transition counts across rolling folds. Rows are sources, columns are destinations, and cells give within-fold counts (n = 46).</w:t>
      </w:r>
    </w:p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S1. </w:t>
      </w:r>
      <w:r>
        <w:rPr>
          <w:rFonts w:ascii="Times New Roman" w:hAnsi="Times New Roman" w:eastAsia="Times New Roman"/>
          <w:b w:val="0"/>
          <w:i w:val="0"/>
          <w:sz w:val="24"/>
        </w:rPr>
        <w:t>Fold-specific accuracy, run dispersion, parameter counts, and DCSF reductions across the ten-method rolling validation. Reductions are relative to each comparator; the 239,809-parameter DCSF count covers trainable neural parameters and excludes its fixed fold-specific XGBoost h6 anchor.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763"/>
        <w:gridCol w:w="2670"/>
        <w:gridCol w:w="1399"/>
        <w:gridCol w:w="1653"/>
        <w:gridCol w:w="1653"/>
        <w:gridCol w:w="1526"/>
        <w:gridCol w:w="1271"/>
        <w:gridCol w:w="890"/>
        <w:gridCol w:w="1525"/>
      </w:tblGrid>
      <w:tr>
        <w:trPr>
          <w:cantSplit/>
          <w:tblHeader w:val="true"/>
        </w:trPr>
        <w:tc>
          <w:tcPr>
            <w:tcW w:type="dxa" w:w="76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Rank</w:t>
            </w:r>
          </w:p>
        </w:tc>
        <w:tc>
          <w:tcPr>
            <w:tcW w:type="dxa" w:w="26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Method</w:t>
            </w:r>
          </w:p>
        </w:tc>
        <w:tc>
          <w:tcPr>
            <w:tcW w:type="dxa" w:w="1399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Type</w:t>
            </w:r>
          </w:p>
        </w:tc>
        <w:tc>
          <w:tcPr>
            <w:tcW w:type="dxa" w:w="165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 MAE</w:t>
            </w:r>
          </w:p>
        </w:tc>
        <w:tc>
          <w:tcPr>
            <w:tcW w:type="dxa" w:w="165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 MAE</w:t>
            </w:r>
          </w:p>
        </w:tc>
        <w:tc>
          <w:tcPr>
            <w:tcW w:type="dxa" w:w="152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Equal-fold MAE</w:t>
            </w:r>
          </w:p>
        </w:tc>
        <w:tc>
          <w:tcPr>
            <w:tcW w:type="dxa" w:w="1271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Parameters</w:t>
            </w:r>
          </w:p>
        </w:tc>
        <w:tc>
          <w:tcPr>
            <w:tcW w:type="dxa" w:w="89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Runs</w:t>
            </w:r>
          </w:p>
        </w:tc>
        <w:tc>
          <w:tcPr>
            <w:tcW w:type="dxa" w:w="152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DCSF reduction (%)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267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RegimeTransfer-DCSF</w:t>
            </w:r>
          </w:p>
        </w:tc>
        <w:tc>
          <w:tcPr>
            <w:tcW w:type="dxa" w:w="139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 causal hybrid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1.1738 ± 0.0023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1.1743 ± 0.0035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1.1741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—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Traditional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1.2448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1.2725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1.2587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6.72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1.3985 ± 0.0243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1.5946 ± 0.0129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1.4965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4,206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21.55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iTransformer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1.4123 ± 0.0105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1.5939 ± 0.0177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1.5031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9,222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21.89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TimeXer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1.4290 ± 0.0166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1.5796 ± 0.0143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1.5043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17,446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21.95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TimeMixer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1.4185 ± 0.0174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1.6179 ± 0.0250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1.5182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2,049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22.67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1.4772 ± 0.0720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1.5814 ± 0.0390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1.5293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1,332,746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23.23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XGBoost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Traditional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1.4821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1.5917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1.5369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23.61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Timer-XL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1.4858 ± 0.0153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1.6695 ± 0.0239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1.5777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8,942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25.58</w:t>
            </w:r>
          </w:p>
        </w:tc>
      </w:tr>
      <w:tr>
        <w:trPr>
          <w:cantSplit/>
        </w:trPr>
        <w:tc>
          <w:tcPr>
            <w:tcW w:type="dxa" w:w="76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MoSSL</w:t>
            </w:r>
          </w:p>
        </w:tc>
        <w:tc>
          <w:tcPr>
            <w:tcW w:type="dxa" w:w="1399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Deep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2.2467 ± 1.8011</w:t>
            </w:r>
          </w:p>
        </w:tc>
        <w:tc>
          <w:tcPr>
            <w:tcW w:type="dxa" w:w="165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2.3503 ± 1.9207</w:t>
            </w:r>
          </w:p>
        </w:tc>
        <w:tc>
          <w:tcPr>
            <w:tcW w:type="dxa" w:w="152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2.2985</w:t>
            </w:r>
          </w:p>
        </w:tc>
        <w:tc>
          <w:tcPr>
            <w:tcW w:type="dxa" w:w="1271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112,881</w:t>
            </w:r>
          </w:p>
        </w:tc>
        <w:tc>
          <w:tcPr>
            <w:tcW w:type="dxa" w:w="89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2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48.92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S2. </w:t>
      </w:r>
      <w:r>
        <w:rPr>
          <w:rFonts w:ascii="Times New Roman" w:hAnsi="Times New Roman" w:eastAsia="Times New Roman"/>
          <w:b w:val="0"/>
          <w:i w:val="0"/>
          <w:sz w:val="24"/>
        </w:rPr>
        <w:t>Baseline configurations and implementation sources for the seven learned model families. Panels A–D report shared inputs, optimization settings, model architecture, and code sources.</w:t>
      </w: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A. Shared input and evaluation design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5073"/>
        <w:gridCol w:w="8277"/>
      </w:tblGrid>
      <w:tr>
        <w:trPr>
          <w:cantSplit/>
          <w:tblHeader w:val="true"/>
        </w:trPr>
        <w:tc>
          <w:tcPr>
            <w:tcW w:type="dxa" w:w="507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Setting</w:t>
            </w:r>
          </w:p>
        </w:tc>
        <w:tc>
          <w:tcPr>
            <w:tcW w:type="dxa" w:w="827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Value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Runs per model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folds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A; Rolling B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Seeds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2025–2029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Input history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 months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Forecast horizons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 3, and 6 months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Predictors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grid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44 × 86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Spatial patch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 × 2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Native features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96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Input scaling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Target scaling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T2M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Future covariates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None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Target domain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Valid-domain mask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B. Shared optimization settings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5073"/>
        <w:gridCol w:w="8277"/>
      </w:tblGrid>
      <w:tr>
        <w:trPr>
          <w:cantSplit/>
          <w:tblHeader w:val="true"/>
        </w:trPr>
        <w:tc>
          <w:tcPr>
            <w:tcW w:type="dxa" w:w="507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Setting</w:t>
            </w:r>
          </w:p>
        </w:tc>
        <w:tc>
          <w:tcPr>
            <w:tcW w:type="dxa" w:w="827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Value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Search trials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Maximum epochs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50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Maximum runtime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 h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Device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CUDA GPU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Batch size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32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Learning rate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 × 10⁻⁴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Weight decay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 × 10⁻⁴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Gradient clipping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073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Early-stopping patience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 epochs</w:t>
            </w:r>
          </w:p>
        </w:tc>
      </w:tr>
      <w:tr>
        <w:trPr>
          <w:cantSplit/>
        </w:trPr>
        <w:tc>
          <w:tcPr>
            <w:tcW w:type="dxa" w:w="5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selection criterion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Validation MAE</w:t>
            </w:r>
          </w:p>
        </w:tc>
      </w:tr>
      <w:tr>
        <w:trPr>
          <w:cantSplit/>
        </w:trPr>
        <w:tc>
          <w:tcPr>
            <w:tcW w:type="dxa" w:w="5073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Test evaluations during tuning</w:t>
            </w:r>
          </w:p>
        </w:tc>
        <w:tc>
          <w:tcPr>
            <w:tcW w:type="dxa" w:w="827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C. Model-specific architecture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2002"/>
        <w:gridCol w:w="1869"/>
        <w:gridCol w:w="9479"/>
      </w:tblGrid>
      <w:tr>
        <w:trPr>
          <w:cantSplit/>
          <w:tblHeader w:val="true"/>
        </w:trPr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</w:t>
            </w:r>
          </w:p>
        </w:tc>
        <w:tc>
          <w:tcPr>
            <w:tcW w:type="dxa" w:w="1869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Parameters</w:t>
            </w:r>
          </w:p>
        </w:tc>
        <w:tc>
          <w:tcPr>
            <w:tcW w:type="dxa" w:w="9479"/>
            <w:vAlign w:val="center"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Architecture settings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iTransformer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9,222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width 32; FF width 64; 1 encoder layer; 4 heads; dropout 0; normalization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TimeMixer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2,049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width 16; FF width 32; 1 encoder layer; channel-independent; one 2× downsampling layer; moving average 3; dropout 0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1,332,746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Four 8-channel stages; one block per stage; large kernels 5/5/3/3; small kernels 3/3/3/3; patch 2; stride 2; FF ratio 2; RevIN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TimeXer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17,446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width 32; FF width 64; 1 encoder layer; 4 heads; patch length 3; dropout 0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MoSSL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112,881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 channels; 2 components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4,206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width 16; FF width 32; 1 encoder layer; 4 heads; patch length 3; α = 0.1; top-p = 0.5; positional encoding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Timer-XL</w:t>
            </w:r>
          </w:p>
        </w:tc>
        <w:tc>
          <w:tcPr>
            <w:tcW w:type="dxa" w:w="1869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8,942</w:t>
            </w:r>
          </w:p>
        </w:tc>
        <w:tc>
          <w:tcPr>
            <w:tcW w:type="dxa" w:w="9479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 width 32; FF width 64; 1 encoder layer; 4 heads; input/output tokens 3/6; GELU; normalization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D. Implementation sources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2002"/>
        <w:gridCol w:w="3338"/>
        <w:gridCol w:w="2002"/>
        <w:gridCol w:w="3604"/>
        <w:gridCol w:w="2404"/>
      </w:tblGrid>
      <w:tr>
        <w:trPr>
          <w:cantSplit/>
          <w:tblHeader w:val="true"/>
        </w:trPr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Model</w:t>
            </w:r>
          </w:p>
        </w:tc>
        <w:tc>
          <w:tcPr>
            <w:tcW w:type="dxa" w:w="333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Reference source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Reference revision</w:t>
            </w:r>
          </w:p>
        </w:tc>
        <w:tc>
          <w:tcPr>
            <w:tcW w:type="dxa" w:w="36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Analysis source</w:t>
            </w:r>
          </w:p>
        </w:tc>
        <w:tc>
          <w:tcPr>
            <w:tcW w:type="dxa" w:w="24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Analysis revision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iTransformer</w:t>
            </w:r>
          </w:p>
        </w:tc>
        <w:tc>
          <w:tcPr>
            <w:tcW w:type="dxa" w:w="333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thuml/iTransformer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c2426e68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thuml/iTransformer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c2426e68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TimeMixer</w:t>
            </w:r>
          </w:p>
        </w:tc>
        <w:tc>
          <w:tcPr>
            <w:tcW w:type="dxa" w:w="333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kwuking/TimeMixer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e2461058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kwuking/TimeMixer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e2461058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333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luodhhh/ModernTCN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56a9a2c0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luodhhh/ModernTCN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56a9a2c0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TimeXer</w:t>
            </w:r>
          </w:p>
        </w:tc>
        <w:tc>
          <w:tcPr>
            <w:tcW w:type="dxa" w:w="333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thuml/TimeXer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76011909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thuml/TimeXer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76011909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MoSSL</w:t>
            </w:r>
          </w:p>
        </w:tc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beginner-sketch/MoSSL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2ca992ea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beginner-sketch/MoSSL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2ca992ea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TROUBADOUR000/TimeFilter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dffde87e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TROUBADOUR000/TimeFilter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dffde87e</w:t>
            </w:r>
          </w:p>
        </w:tc>
      </w:tr>
      <w:tr>
        <w:trPr>
          <w:cantSplit/>
        </w:trPr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Timer-XL</w:t>
            </w:r>
          </w:p>
        </w:tc>
        <w:tc>
          <w:tcPr>
            <w:tcW w:type="dxa" w:w="333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thuml/Timer-XL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0f4a9879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thuml/OpenLTM</w:t>
            </w:r>
          </w:p>
        </w:tc>
        <w:tc>
          <w:tcPr>
            <w:tcW w:type="dxa" w:w="24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0b300509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S3. </w:t>
      </w:r>
      <w:r>
        <w:rPr>
          <w:rFonts w:ascii="Times New Roman" w:hAnsi="Times New Roman" w:eastAsia="Times New Roman"/>
          <w:b w:val="0"/>
          <w:i w:val="0"/>
          <w:sz w:val="24"/>
        </w:rPr>
        <w:t>Ten loss-migration candidates evaluated in the development-validation setting. Candidate MAE and specification roles define the selection set; bold identifies the selected 48-channel sigmoid-migration specification.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596"/>
        <w:gridCol w:w="2861"/>
        <w:gridCol w:w="1073"/>
        <w:gridCol w:w="954"/>
        <w:gridCol w:w="954"/>
        <w:gridCol w:w="1192"/>
        <w:gridCol w:w="954"/>
        <w:gridCol w:w="954"/>
        <w:gridCol w:w="954"/>
        <w:gridCol w:w="1550"/>
        <w:gridCol w:w="1308"/>
      </w:tblGrid>
      <w:tr>
        <w:trPr>
          <w:cantSplit/>
          <w:tblHeader w:val="true"/>
        </w:trPr>
        <w:tc>
          <w:tcPr>
            <w:tcW w:type="dxa" w:w="59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Rank</w:t>
            </w:r>
          </w:p>
        </w:tc>
        <w:tc>
          <w:tcPr>
            <w:tcW w:type="dxa" w:w="2861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Candidate</w:t>
            </w:r>
          </w:p>
        </w:tc>
        <w:tc>
          <w:tcPr>
            <w:tcW w:type="dxa" w:w="107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Schedule</w:t>
            </w:r>
          </w:p>
        </w:tc>
        <w:tc>
          <w:tcPr>
            <w:tcW w:type="dxa" w:w="95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Structure</w:t>
            </w:r>
          </w:p>
        </w:tc>
        <w:tc>
          <w:tcPr>
            <w:tcW w:type="dxa" w:w="95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Channels</w:t>
            </w:r>
          </w:p>
        </w:tc>
        <w:tc>
          <w:tcPr>
            <w:tcW w:type="dxa" w:w="119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Parameters</w:t>
            </w:r>
          </w:p>
        </w:tc>
        <w:tc>
          <w:tcPr>
            <w:tcW w:type="dxa" w:w="95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deep weight</w:t>
            </w:r>
          </w:p>
        </w:tc>
        <w:tc>
          <w:tcPr>
            <w:tcW w:type="dxa" w:w="95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deep weight</w:t>
            </w:r>
          </w:p>
        </w:tc>
        <w:tc>
          <w:tcPr>
            <w:tcW w:type="dxa" w:w="95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deep weight</w:t>
            </w:r>
          </w:p>
        </w:tc>
        <w:tc>
          <w:tcPr>
            <w:tcW w:type="dxa" w:w="155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Equal-fold MAE (°C)</w:t>
            </w:r>
          </w:p>
        </w:tc>
        <w:tc>
          <w:tcPr>
            <w:tcW w:type="dxa" w:w="130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ΔMAE (°C)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sigmoid migration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Sigmoid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1.169501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0.000000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32-channel linear migration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Linear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32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91,105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1.169929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0.000429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linear migration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Linear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1.171408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0.001907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target-only training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Target only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1.171426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0.001925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linear, no structure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Linear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No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1.172241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0.002740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linear, 60-month recency weighting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Linear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1.172927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0.003426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cosine migration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Cosine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1.173422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0.003921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abrupt migration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Abrupt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1.173477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0.003976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64-channel linear migration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Linear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64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414,209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1.173566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0.004065</w:t>
            </w:r>
          </w:p>
        </w:tc>
      </w:tr>
      <w:tr>
        <w:trPr>
          <w:cantSplit/>
        </w:trPr>
        <w:tc>
          <w:tcPr>
            <w:tcW w:type="dxa" w:w="59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2861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48-channel fixed weighting</w:t>
            </w:r>
          </w:p>
        </w:tc>
        <w:tc>
          <w:tcPr>
            <w:tcW w:type="dxa" w:w="107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Yes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</w:t>
            </w:r>
          </w:p>
        </w:tc>
        <w:tc>
          <w:tcPr>
            <w:tcW w:type="dxa" w:w="119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239,809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95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155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1.173771</w:t>
            </w:r>
          </w:p>
        </w:tc>
        <w:tc>
          <w:tcPr>
            <w:tcW w:type="dxa" w:w="130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0.004270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S4. </w:t>
      </w:r>
      <w:r>
        <w:rPr>
          <w:rFonts w:ascii="Times New Roman" w:hAnsi="Times New Roman" w:eastAsia="Times New Roman"/>
          <w:b w:val="0"/>
          <w:i w:val="0"/>
          <w:sz w:val="24"/>
        </w:rPr>
        <w:t>Complete 50-configuration level–anchor sensitivity matrix. Rows report prespecified perturbations around the selected specification.</w:t>
      </w: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A. Performance across the 50 configurations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335"/>
        <w:gridCol w:w="2002"/>
        <w:gridCol w:w="3604"/>
        <w:gridCol w:w="1602"/>
        <w:gridCol w:w="1602"/>
        <w:gridCol w:w="1602"/>
        <w:gridCol w:w="1603"/>
      </w:tblGrid>
      <w:tr>
        <w:trPr>
          <w:cantSplit/>
          <w:tblHeader w:val="true"/>
        </w:trPr>
        <w:tc>
          <w:tcPr>
            <w:tcW w:type="dxa" w:w="13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Ablation ID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Family</w:t>
            </w:r>
          </w:p>
        </w:tc>
        <w:tc>
          <w:tcPr>
            <w:tcW w:type="dxa" w:w="36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Specification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 MAE (°C)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 MAE (°C)</w:t>
            </w:r>
          </w:p>
        </w:tc>
        <w:tc>
          <w:tcPr>
            <w:tcW w:type="dxa" w:w="1602"/>
            <w:vAlign w:val="center"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Main-validation MAE (°C)</w:t>
            </w:r>
          </w:p>
        </w:tc>
        <w:tc>
          <w:tcPr>
            <w:tcW w:type="dxa" w:w="1603"/>
            <w:vAlign w:val="center"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Three-fold equal-mean MAE (°C)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A00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1.2448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1.3500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1.2891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A01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1.2429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1.3405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1.2782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1.2494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1.2380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1.3446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1.2773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1.2637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1.2351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1.3609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1.2865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A04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1.3618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1.2592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A05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1.1921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1.1982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1.3526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1.2477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A06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1.1985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1.1844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1.3576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1.2468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A07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1.2133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1.1824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1.3742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1.2566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A08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1.1718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1.2065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1.4138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1.2640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A09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1.1705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1.1830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1.4057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1.2531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A10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1.1776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1.1700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1.4101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1.2525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A11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1.1924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1.1699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1.4257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1.2627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1.4993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1.3050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1.1799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1.2100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1.4932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1.2944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A14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1.1870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1.1976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1.4977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1.2941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A15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1.5116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1.3037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1.2266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1.2099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1.3361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1.2576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1.2356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1.3671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1.2808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1.2050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1.2655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1.4068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1.2925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h1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1.2174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1.1769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1.3533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1.2492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h1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1.1868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1.2029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1.3929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1.2609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h3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1.1958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1.2326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1.4239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1.2841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state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1.2098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1.3985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1.2689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shape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1.1744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1.1952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1.4322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1.2673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A24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state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1.1880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1.4001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1.2609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A25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shape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1.1757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1.1766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1.4038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1.2520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A26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state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1.2183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1.1736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1.3661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1.2527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A27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shape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1.1769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1.1747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1.3980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1.2499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A28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state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1.2235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1.2351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1.3582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1.2723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A29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shape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1.2473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1.2498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1.3246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1.2739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A30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state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1.2337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1.2462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1.3608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1.2802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A31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shape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1.2461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1.2641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1.3572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1.2891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state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1.2044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1.3947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1.2898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shape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1.2458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1.2692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1.3628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1.2926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state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1.1862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1.1692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1.4021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1.2525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state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1.1916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1.1696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1.3736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1.2450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state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1.1929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1.2027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1.4855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1.2937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shape h1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1.2250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1.2532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1.4624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1.3135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shape h3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1.1771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1.2135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1.4287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1.2731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shape h6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1.4380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1.2912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Sign intervention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Flip all state signs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1.4147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1.4247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1.4143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1.4179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Sign intervention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Flip all shape signs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1.2015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1.2827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1.4704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1.3182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Sign intervention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Flip all component signs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1.4302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1.5158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1.4754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1.4738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components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1.1782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1.1890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1.4019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1.2564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components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1.1919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1.1841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1.4431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1.2730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components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1.1782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1.1797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1.3955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1.2511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components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1.1852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1.1755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1.4362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1.2656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components ×0.5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1.1909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1.1695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1.3755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1.2453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components ×1.5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1.1792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1.1787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1.4525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1.2701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A49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weight reversal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Swap h1 h6 weights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1.1871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1.1824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1.4282</w:t>
            </w:r>
          </w:p>
        </w:tc>
        <w:tc>
          <w:tcPr>
            <w:tcW w:type="dxa" w:w="160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1.2659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B. Horizon-specific level–shape responsibility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335"/>
        <w:gridCol w:w="2002"/>
        <w:gridCol w:w="3604"/>
        <w:gridCol w:w="1068"/>
        <w:gridCol w:w="1068"/>
        <w:gridCol w:w="1068"/>
        <w:gridCol w:w="1068"/>
        <w:gridCol w:w="1068"/>
        <w:gridCol w:w="1069"/>
      </w:tblGrid>
      <w:tr>
        <w:trPr>
          <w:cantSplit/>
          <w:tblHeader w:val="true"/>
        </w:trPr>
        <w:tc>
          <w:tcPr>
            <w:tcW w:type="dxa" w:w="13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Ablation ID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Family</w:t>
            </w:r>
          </w:p>
        </w:tc>
        <w:tc>
          <w:tcPr>
            <w:tcW w:type="dxa" w:w="36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Specification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state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shape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state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shape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state</w:t>
            </w:r>
          </w:p>
        </w:tc>
        <w:tc>
          <w:tcPr>
            <w:tcW w:type="dxa" w:w="1069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shape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A00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A01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×0; shape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A04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-0.6250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A05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-0.6250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A06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-0.6250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A07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×0.5; shape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-0.6250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A08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A09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A10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A11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×1; shape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-0.9750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-1.8750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-0.9750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-1.8750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A14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-0.9750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-1.8750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A15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Global component scale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State ×1.5; shape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-0.9750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-1.8750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A19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h1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h1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inclusion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Include h3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state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shape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A24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state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A25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shape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A26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state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A27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knockout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Remove shape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A28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state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A29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shape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A30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state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A31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shape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A32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state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A33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component only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Only shape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state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state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state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shape h1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shape h3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A39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Shared weight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Share shape h6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Sign intervention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Flip all state signs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Sign intervention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Flip all shape signs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Sign intervention</w:t>
            </w:r>
          </w:p>
        </w:tc>
        <w:tc>
          <w:tcPr>
            <w:tcW w:type="dxa" w:w="36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Flip all component signs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components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-0.4250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h1 components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components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-0.3250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h3 components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-0.9750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components ×0.5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-0.6250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Single horizon scale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h6 components ×1.5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-1.8750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0.4500</w:t>
            </w:r>
          </w:p>
        </w:tc>
      </w:tr>
      <w:tr>
        <w:trPr>
          <w:cantSplit/>
        </w:trPr>
        <w:tc>
          <w:tcPr>
            <w:tcW w:type="dxa" w:w="13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A49</w:t>
            </w:r>
          </w:p>
        </w:tc>
        <w:tc>
          <w:tcPr>
            <w:tcW w:type="dxa" w:w="2002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Horizon weight reversal</w:t>
            </w:r>
          </w:p>
        </w:tc>
        <w:tc>
          <w:tcPr>
            <w:tcW w:type="dxa" w:w="36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Swap h1 h6 weights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-1.2500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-0.6500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-0.1000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-0.8500</w:t>
            </w:r>
          </w:p>
        </w:tc>
        <w:tc>
          <w:tcPr>
            <w:tcW w:type="dxa" w:w="1069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0.4000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S5. </w:t>
      </w:r>
      <w:r>
        <w:rPr>
          <w:rFonts w:ascii="Times New Roman" w:hAnsi="Times New Roman" w:eastAsia="Times New Roman"/>
          <w:b w:val="0"/>
          <w:i w:val="0"/>
          <w:sz w:val="24"/>
        </w:rPr>
        <w:t>Transition-gain uncertainty under two-, three-, and six-month circular moving-block bootstraps. Gain equals comparator MAE minus DCSF MAE; 20,000 fold-stratified replicates define intervals, and bold marks the primary three-month block.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2270"/>
        <w:gridCol w:w="2937"/>
        <w:gridCol w:w="1068"/>
        <w:gridCol w:w="1602"/>
        <w:gridCol w:w="1335"/>
        <w:gridCol w:w="2403"/>
        <w:gridCol w:w="1735"/>
      </w:tblGrid>
      <w:tr>
        <w:trPr>
          <w:cantSplit/>
          <w:tblHeader w:val="true"/>
        </w:trPr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Comparator</w:t>
            </w:r>
          </w:p>
        </w:tc>
        <w:tc>
          <w:tcPr>
            <w:tcW w:type="dxa" w:w="293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subset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Months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Block (months)</w:t>
            </w:r>
          </w:p>
        </w:tc>
        <w:tc>
          <w:tcPr>
            <w:tcW w:type="dxa" w:w="13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Gain (°C)</w:t>
            </w:r>
          </w:p>
        </w:tc>
        <w:tc>
          <w:tcPr>
            <w:tcW w:type="dxa" w:w="240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95% CI (°C)</w:t>
            </w:r>
          </w:p>
        </w:tc>
        <w:tc>
          <w:tcPr>
            <w:tcW w:type="dxa" w:w="17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Pr(gain &gt; 0)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[-0.002, 0.443]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0.405]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[0.072, 0.379]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[-0.172, 0.524]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0.853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[-0.122, 0.468]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0.891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[-0.038, 0.398]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0.953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0.277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[-0.138, 0.750]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0.900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0.277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[-0.096, 0.690]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0.926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0.277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[-0.018, 0.679]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0.966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0.161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[0.007, 0.361]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0.981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0.161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[0.004, 0.384]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ModernTCN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0.161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[0.008, 0.411]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0.981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0.218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[0.081, 0.357]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0.218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[0.081, 0.355]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0.218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[0.091, 0.335]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0.170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[-0.338, 0.572]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0.772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0.170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[-0.262, 0.538]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0.790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0.170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[-0.163, 0.447]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0.858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0.118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[-0.063, 0.332]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0.889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0.118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[-0.064, 0.330]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0.882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0.118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[-0.052, 0.322]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0.902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0.326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[0.154, 0.498]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0.326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[0.154, 0.498]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Seasonal climatology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0.326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[0.189, 0.479]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[0.060, 0.547]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[0.073, 0.526]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0.995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[0.104, 0.505]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0.299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[-0.135, 0.694]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0.913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0.299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[-0.108, 0.650]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0.927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Changing − nonchanging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 vs 11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0.299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[-0.008, 0.562]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0.307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[-0.077, 0.768]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0.938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0.307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[-0.039, 0.706]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0.958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0.307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0.679]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0.984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[0.048, 0.660]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0.996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[0.043, 0.694]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0.993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TimeFilter</w:t>
            </w:r>
          </w:p>
        </w:tc>
        <w:tc>
          <w:tcPr>
            <w:tcW w:type="dxa" w:w="293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[0.041, 0.691]</w:t>
            </w:r>
          </w:p>
        </w:tc>
        <w:tc>
          <w:tcPr>
            <w:tcW w:type="dxa" w:w="17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0.992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S6. </w:t>
      </w:r>
      <w:r>
        <w:rPr>
          <w:rFonts w:ascii="Times New Roman" w:hAnsi="Times New Roman" w:eastAsia="Times New Roman"/>
          <w:b w:val="0"/>
          <w:i w:val="0"/>
          <w:sz w:val="24"/>
        </w:rPr>
        <w:t>Complete 3 × 3 thermal-state threshold sensitivity across state counts, monthly composition, and three comparator-gain families. The asterisk marks θR = 0.20 and θW = 0.50; gains equal comparator MAE minus DCSF MAE, and every definition contains 48 state months and 36 classifiable h1 months.</w:t>
      </w: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A1. Classification agreement and transition counts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068"/>
        <w:gridCol w:w="1068"/>
        <w:gridCol w:w="3204"/>
        <w:gridCol w:w="2002"/>
        <w:gridCol w:w="2002"/>
        <w:gridCol w:w="2002"/>
        <w:gridCol w:w="2004"/>
      </w:tblGrid>
      <w:tr>
        <w:trPr>
          <w:cantSplit/>
          <w:tblHeader w:val="true"/>
        </w:trPr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θR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θW</w:t>
            </w:r>
          </w:p>
        </w:tc>
        <w:tc>
          <w:tcPr>
            <w:tcW w:type="dxa" w:w="32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Agreement, n/48 (%)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transitions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</w:t>
            </w:r>
          </w:p>
        </w:tc>
        <w:tc>
          <w:tcPr>
            <w:tcW w:type="dxa" w:w="20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Non-transition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44/48 (91.7%)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45/48 (93.8%)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43/48 (89.6%)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47/48 (97.9%)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0.20*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0.50*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48/48 (100.0%)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46/48 (95.8%)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45/48 (93.8%)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46/48 (95.8%)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32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44/48 (91.7%)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0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A2. Monthly thermal-state composition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068"/>
        <w:gridCol w:w="1068"/>
        <w:gridCol w:w="2536"/>
        <w:gridCol w:w="2136"/>
        <w:gridCol w:w="2270"/>
        <w:gridCol w:w="2136"/>
        <w:gridCol w:w="2136"/>
      </w:tblGrid>
      <w:tr>
        <w:trPr>
          <w:cantSplit/>
          <w:tblHeader w:val="true"/>
        </w:trPr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θR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θW</w:t>
            </w:r>
          </w:p>
        </w:tc>
        <w:tc>
          <w:tcPr>
            <w:tcW w:type="dxa" w:w="25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Near climatology</w:t>
            </w:r>
          </w:p>
        </w:tc>
        <w:tc>
          <w:tcPr>
            <w:tcW w:type="dxa" w:w="21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Regional warm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Widespread warm</w:t>
            </w:r>
          </w:p>
        </w:tc>
        <w:tc>
          <w:tcPr>
            <w:tcW w:type="dxa" w:w="21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Regional cold</w:t>
            </w:r>
          </w:p>
        </w:tc>
        <w:tc>
          <w:tcPr>
            <w:tcW w:type="dxa" w:w="21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Widespread cold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0.20*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0.50*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25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5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B1. TimeFilter-relative gain (°C)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068"/>
        <w:gridCol w:w="1068"/>
        <w:gridCol w:w="2270"/>
        <w:gridCol w:w="2002"/>
        <w:gridCol w:w="2002"/>
        <w:gridCol w:w="2270"/>
        <w:gridCol w:w="2670"/>
      </w:tblGrid>
      <w:tr>
        <w:trPr>
          <w:cantSplit/>
          <w:tblHeader w:val="true"/>
        </w:trPr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θR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θW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transitions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Non-transition</w:t>
            </w:r>
          </w:p>
        </w:tc>
        <w:tc>
          <w:tcPr>
            <w:tcW w:type="dxa" w:w="2670"/>
            <w:vAlign w:val="center"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− non-transition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+0.260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+0.336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+0.057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+0.203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+0.307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+0.098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+0.148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+0.235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+0.280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+0.083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+0.316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+0.336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-0.032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+0.348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0.20*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0.50*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+0.301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+0.307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+0.002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+0.299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+0.307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+0.280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+0.231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+0.288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+0.047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+0.244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+0.249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+0.072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+0.199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+0.249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+0.072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+0.199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B2. Seasonal-climatology-relative gain (°C)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068"/>
        <w:gridCol w:w="1068"/>
        <w:gridCol w:w="2270"/>
        <w:gridCol w:w="2002"/>
        <w:gridCol w:w="2002"/>
        <w:gridCol w:w="2270"/>
        <w:gridCol w:w="2670"/>
      </w:tblGrid>
      <w:tr>
        <w:trPr>
          <w:cantSplit/>
          <w:tblHeader w:val="true"/>
        </w:trPr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θR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θW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transitions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Non-transition</w:t>
            </w:r>
          </w:p>
        </w:tc>
        <w:tc>
          <w:tcPr>
            <w:tcW w:type="dxa" w:w="2670"/>
            <w:vAlign w:val="center"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− non-transition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+0.157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+0.084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+0.191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-0.034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+0.173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+0.225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+0.143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+0.030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+0.163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+0.071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+0.172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-0.008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+0.084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+0.087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+0.114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0.20*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0.50*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+0.218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+0.048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+0.170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+0.211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+0.364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+0.071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+0.086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+0.124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+0.078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+0.093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+0.110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+0.106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+0.061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+0.212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+0.106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+0.061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+0.151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B3. ModernTCN-relative gain (°C)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1068"/>
        <w:gridCol w:w="1068"/>
        <w:gridCol w:w="2270"/>
        <w:gridCol w:w="2002"/>
        <w:gridCol w:w="2002"/>
        <w:gridCol w:w="2270"/>
        <w:gridCol w:w="2670"/>
      </w:tblGrid>
      <w:tr>
        <w:trPr>
          <w:cantSplit/>
          <w:tblHeader w:val="true"/>
        </w:trPr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θR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θW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transitions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Non-transition</w:t>
            </w:r>
          </w:p>
        </w:tc>
        <w:tc>
          <w:tcPr>
            <w:tcW w:type="dxa" w:w="2670"/>
            <w:vAlign w:val="center"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− non-transition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+0.109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+0.052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+0.148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+0.109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+0.081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+0.108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+0.175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+0.110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+0.135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+0.040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+0.232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+0.297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+0.005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+0.227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0.20*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0.50*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+0.221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+0.029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+0.192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+0.082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+0.126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+0.218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+0.274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+0.053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+0.165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+0.065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+0.141</w:t>
            </w:r>
          </w:p>
        </w:tc>
      </w:tr>
      <w:tr>
        <w:trPr>
          <w:cantSplit/>
        </w:trPr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+0.206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+0.161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+0.247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+0.065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+0.141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S7. </w:t>
      </w:r>
      <w:r>
        <w:rPr>
          <w:rFonts w:ascii="Times New Roman" w:hAnsi="Times New Roman" w:eastAsia="Times New Roman"/>
          <w:b w:val="0"/>
          <w:i w:val="0"/>
          <w:sz w:val="24"/>
        </w:rPr>
        <w:t>Local-warming-gradient sensitivity across three trend definitions, tertiles, quantiles, fold summaries, and matched block contrasts. Panels also report trend–gain associations and within-fold-centred correlations; bold marks the primary three-month block.</w:t>
      </w: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A. Trend periods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5607"/>
        <w:gridCol w:w="3872"/>
        <w:gridCol w:w="3871"/>
      </w:tblGrid>
      <w:tr>
        <w:trPr>
          <w:cantSplit/>
          <w:tblHeader w:val="true"/>
        </w:trPr>
        <w:tc>
          <w:tcPr>
            <w:tcW w:type="dxa" w:w="560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Definition</w:t>
            </w:r>
          </w:p>
        </w:tc>
        <w:tc>
          <w:tcPr>
            <w:tcW w:type="dxa" w:w="387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 period</w:t>
            </w:r>
          </w:p>
        </w:tc>
        <w:tc>
          <w:tcPr>
            <w:tcW w:type="dxa" w:w="3871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 period</w:t>
            </w:r>
          </w:p>
        </w:tc>
      </w:tr>
      <w:tr>
        <w:trPr>
          <w:cantSplit/>
        </w:trPr>
        <w:tc>
          <w:tcPr>
            <w:tcW w:type="dxa" w:w="560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387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2000–2024</w:t>
            </w:r>
          </w:p>
        </w:tc>
        <w:tc>
          <w:tcPr>
            <w:tcW w:type="dxa" w:w="38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2000–2024</w:t>
            </w:r>
          </w:p>
        </w:tc>
      </w:tr>
      <w:tr>
        <w:trPr>
          <w:cantSplit/>
        </w:trPr>
        <w:tc>
          <w:tcPr>
            <w:tcW w:type="dxa" w:w="560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387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2000–2014</w:t>
            </w:r>
          </w:p>
        </w:tc>
        <w:tc>
          <w:tcPr>
            <w:tcW w:type="dxa" w:w="387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2000–2014</w:t>
            </w:r>
          </w:p>
        </w:tc>
      </w:tr>
      <w:tr>
        <w:trPr>
          <w:cantSplit/>
        </w:trPr>
        <w:tc>
          <w:tcPr>
            <w:tcW w:type="dxa" w:w="560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387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2000–2014</w:t>
            </w:r>
          </w:p>
        </w:tc>
        <w:tc>
          <w:tcPr>
            <w:tcW w:type="dxa" w:w="3871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2000–2016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B. Tertile performance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2074"/>
        <w:gridCol w:w="907"/>
        <w:gridCol w:w="1685"/>
        <w:gridCol w:w="1167"/>
        <w:gridCol w:w="1167"/>
        <w:gridCol w:w="1037"/>
        <w:gridCol w:w="1037"/>
        <w:gridCol w:w="1037"/>
        <w:gridCol w:w="1037"/>
        <w:gridCol w:w="1167"/>
        <w:gridCol w:w="1035"/>
      </w:tblGrid>
      <w:tr>
        <w:trPr>
          <w:cantSplit/>
          <w:tblHeader w:val="true"/>
        </w:trPr>
        <w:tc>
          <w:tcPr>
            <w:tcW w:type="dxa" w:w="207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definition</w:t>
            </w:r>
          </w:p>
        </w:tc>
        <w:tc>
          <w:tcPr>
            <w:tcW w:type="dxa" w:w="90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Tertile</w:t>
            </w:r>
          </w:p>
        </w:tc>
        <w:tc>
          <w:tcPr>
            <w:tcW w:type="dxa" w:w="168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interval</w:t>
            </w:r>
          </w:p>
        </w:tc>
        <w:tc>
          <w:tcPr>
            <w:tcW w:type="dxa" w:w="116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trend</w:t>
            </w:r>
          </w:p>
        </w:tc>
        <w:tc>
          <w:tcPr>
            <w:tcW w:type="dxa" w:w="116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Fold–cell n</w:t>
            </w:r>
          </w:p>
        </w:tc>
        <w:tc>
          <w:tcPr>
            <w:tcW w:type="dxa" w:w="103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Unique cells</w:t>
            </w:r>
          </w:p>
        </w:tc>
        <w:tc>
          <w:tcPr>
            <w:tcW w:type="dxa" w:w="103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DCSF MAE</w:t>
            </w:r>
          </w:p>
        </w:tc>
        <w:tc>
          <w:tcPr>
            <w:tcW w:type="dxa" w:w="103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TF MAE</w:t>
            </w:r>
          </w:p>
        </w:tc>
        <w:tc>
          <w:tcPr>
            <w:tcW w:type="dxa" w:w="103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Gain (°C)</w:t>
            </w:r>
          </w:p>
        </w:tc>
        <w:tc>
          <w:tcPr>
            <w:tcW w:type="dxa" w:w="1167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Reduction (%)</w:t>
            </w:r>
          </w:p>
        </w:tc>
        <w:tc>
          <w:tcPr>
            <w:tcW w:type="dxa" w:w="10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Win fraction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[0.101, 0.359]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0.303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1.191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1.451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+0.260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17.89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0.621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[0.359, 0.447]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0.398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666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1.190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1.463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+0.273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18.68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0.637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[0.448, 1.019]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0.583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1.275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1.644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+0.369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22.46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0.674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[-0.406, 0.019]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-0.057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1.205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1.471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+0.267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18.13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0.612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0.163]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0.093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666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1.231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1.538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+0.307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19.97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0.639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[0.164, 0.755]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0.267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1.221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1.550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+0.328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21.19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0.681</w:t>
            </w:r>
          </w:p>
        </w:tc>
      </w:tr>
      <w:tr>
        <w:trPr>
          <w:cantSplit/>
        </w:trPr>
        <w:tc>
          <w:tcPr>
            <w:tcW w:type="dxa" w:w="207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[-0.406, 0.194]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0.031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410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1.493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+0.270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18.10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0.613</w:t>
            </w:r>
          </w:p>
        </w:tc>
      </w:tr>
      <w:tr>
        <w:trPr>
          <w:cantSplit/>
        </w:trPr>
        <w:tc>
          <w:tcPr>
            <w:tcW w:type="dxa" w:w="207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0.291]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0.169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666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473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1.223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1.527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+0.303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19.87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0.637</w:t>
            </w:r>
          </w:p>
        </w:tc>
      </w:tr>
      <w:tr>
        <w:trPr>
          <w:cantSplit/>
        </w:trPr>
        <w:tc>
          <w:tcPr>
            <w:tcW w:type="dxa" w:w="207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90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168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[0.164, 0.770]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0.319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668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407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1.210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1.539</w:t>
            </w:r>
          </w:p>
        </w:tc>
        <w:tc>
          <w:tcPr>
            <w:tcW w:type="dxa" w:w="103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+0.329</w:t>
            </w:r>
          </w:p>
        </w:tc>
        <w:tc>
          <w:tcPr>
            <w:tcW w:type="dxa" w:w="1167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21.36</w:t>
            </w:r>
          </w:p>
        </w:tc>
        <w:tc>
          <w:tcPr>
            <w:tcW w:type="dxa" w:w="10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0.682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C. Trend–gain associations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3338"/>
        <w:gridCol w:w="2804"/>
        <w:gridCol w:w="2403"/>
        <w:gridCol w:w="1068"/>
        <w:gridCol w:w="1602"/>
        <w:gridCol w:w="2135"/>
      </w:tblGrid>
      <w:tr>
        <w:trPr>
          <w:cantSplit/>
          <w:tblHeader w:val="true"/>
        </w:trPr>
        <w:tc>
          <w:tcPr>
            <w:tcW w:type="dxa" w:w="333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definition</w:t>
            </w:r>
          </w:p>
        </w:tc>
        <w:tc>
          <w:tcPr>
            <w:tcW w:type="dxa" w:w="28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subset</w:t>
            </w:r>
          </w:p>
        </w:tc>
        <w:tc>
          <w:tcPr>
            <w:tcW w:type="dxa" w:w="240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Analysis unit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Pearson r</w:t>
            </w:r>
          </w:p>
        </w:tc>
        <w:tc>
          <w:tcPr>
            <w:tcW w:type="dxa" w:w="21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gain (°C)</w:t>
            </w:r>
          </w:p>
        </w:tc>
      </w:tr>
      <w:tr>
        <w:trPr>
          <w:cantSplit/>
        </w:trPr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Grid 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0.563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</w:tr>
      <w:tr>
        <w:trPr>
          <w:cantSplit/>
        </w:trPr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Grid 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0.288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</w:tr>
      <w:tr>
        <w:trPr>
          <w:cantSplit/>
        </w:trPr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Grid 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0.564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0.308</w:t>
            </w:r>
          </w:p>
        </w:tc>
      </w:tr>
      <w:tr>
        <w:trPr>
          <w:cantSplit/>
        </w:trPr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Grid 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0.259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</w:tr>
      <w:tr>
        <w:trPr>
          <w:cantSplit/>
        </w:trPr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Grid 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0.495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</w:tr>
      <w:tr>
        <w:trPr>
          <w:cantSplit/>
        </w:trPr>
        <w:tc>
          <w:tcPr>
            <w:tcW w:type="dxa" w:w="333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Grid 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-0.144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0.308</w:t>
            </w:r>
          </w:p>
        </w:tc>
      </w:tr>
      <w:tr>
        <w:trPr>
          <w:cantSplit/>
        </w:trPr>
        <w:tc>
          <w:tcPr>
            <w:tcW w:type="dxa" w:w="333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Fold–cell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0.425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0.296</w:t>
            </w:r>
          </w:p>
        </w:tc>
      </w:tr>
      <w:tr>
        <w:trPr>
          <w:cantSplit/>
        </w:trPr>
        <w:tc>
          <w:tcPr>
            <w:tcW w:type="dxa" w:w="333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Fold–cell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0.545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</w:tr>
      <w:tr>
        <w:trPr>
          <w:cantSplit/>
        </w:trPr>
        <w:tc>
          <w:tcPr>
            <w:tcW w:type="dxa" w:w="333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Fold–cell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0.192</w:t>
            </w:r>
          </w:p>
        </w:tc>
        <w:tc>
          <w:tcPr>
            <w:tcW w:type="dxa" w:w="21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D1. Quantile profiles — full-record 2000–2024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934"/>
        <w:gridCol w:w="934"/>
        <w:gridCol w:w="1602"/>
        <w:gridCol w:w="1602"/>
        <w:gridCol w:w="1602"/>
        <w:gridCol w:w="1602"/>
        <w:gridCol w:w="1602"/>
        <w:gridCol w:w="1602"/>
        <w:gridCol w:w="1870"/>
      </w:tblGrid>
      <w:tr>
        <w:trPr>
          <w:cantSplit/>
          <w:tblHeader w:val="true"/>
        </w:trPr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Quantile</w:t>
            </w:r>
          </w:p>
        </w:tc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Median trend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All: median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All: mean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Warm: median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Warm: mean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Cool: median gain</w:t>
            </w:r>
          </w:p>
        </w:tc>
        <w:tc>
          <w:tcPr>
            <w:tcW w:type="dxa" w:w="18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Cool: mean gain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0.269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0.253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0.231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0.249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0.257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0.261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0.282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0.273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0.236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0.280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0.278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0.285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0.285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0.433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0.290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0.466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0.341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0.324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0.519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0.393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0.370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0.373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0.369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0.740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0.430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0.447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0.459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D2. Quantile profiles — fixed pre-validation 2000–2014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934"/>
        <w:gridCol w:w="934"/>
        <w:gridCol w:w="1602"/>
        <w:gridCol w:w="1602"/>
        <w:gridCol w:w="1602"/>
        <w:gridCol w:w="1602"/>
        <w:gridCol w:w="1602"/>
        <w:gridCol w:w="1602"/>
        <w:gridCol w:w="1870"/>
      </w:tblGrid>
      <w:tr>
        <w:trPr>
          <w:cantSplit/>
          <w:tblHeader w:val="true"/>
        </w:trPr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Quantile</w:t>
            </w:r>
          </w:p>
        </w:tc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Median trend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All: median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All: mean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Warm: median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Warm: mean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Cool: median gain</w:t>
            </w:r>
          </w:p>
        </w:tc>
        <w:tc>
          <w:tcPr>
            <w:tcW w:type="dxa" w:w="18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Cool: mean gain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-0.120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0.324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0.314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0.295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0.303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0.305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0.033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0.318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0.335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0.076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0.311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0.323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0.149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0.318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0.337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0.346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0.387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0.241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0.267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0.210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0.246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0.420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0.290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0.276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D3. Quantile profiles — fold-training only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934"/>
        <w:gridCol w:w="934"/>
        <w:gridCol w:w="1602"/>
        <w:gridCol w:w="1602"/>
        <w:gridCol w:w="1602"/>
        <w:gridCol w:w="1602"/>
        <w:gridCol w:w="1602"/>
        <w:gridCol w:w="1602"/>
        <w:gridCol w:w="1870"/>
      </w:tblGrid>
      <w:tr>
        <w:trPr>
          <w:cantSplit/>
          <w:tblHeader w:val="true"/>
        </w:trPr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Quantile</w:t>
            </w:r>
          </w:p>
        </w:tc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Median trend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All: median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All: mean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Warm: median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Warm: mean gain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Cool: median gain</w:t>
            </w:r>
          </w:p>
        </w:tc>
        <w:tc>
          <w:tcPr>
            <w:tcW w:type="dxa" w:w="18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Cool: mean gain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-0.091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0.155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0.120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0.183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-0.018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0.038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0.054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0.061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0.091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0.036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0.172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0.186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0.136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0.165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0.173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0.209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0.231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0.262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0.274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0.135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0.209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0.330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0.168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0.279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0.442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0.288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0.447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0.429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8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0.227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0.380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0.327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0.376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0.392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0.363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0.390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0.401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0.402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0.296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0.343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0.385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0.461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0.441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0.310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0.338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11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0.344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0.445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0.425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0.254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0.301</w:t>
            </w:r>
          </w:p>
        </w:tc>
      </w:tr>
      <w:tr>
        <w:trPr>
          <w:cantSplit/>
        </w:trPr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167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0.408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0.354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0.356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0.489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0.485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0.247</w:t>
            </w:r>
          </w:p>
        </w:tc>
        <w:tc>
          <w:tcPr>
            <w:tcW w:type="dxa" w:w="18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0.247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E. High-minus-low gain contrasts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3204"/>
        <w:gridCol w:w="2670"/>
        <w:gridCol w:w="1736"/>
        <w:gridCol w:w="2136"/>
        <w:gridCol w:w="2270"/>
        <w:gridCol w:w="1334"/>
      </w:tblGrid>
      <w:tr>
        <w:trPr>
          <w:cantSplit/>
          <w:tblHeader w:val="true"/>
        </w:trPr>
        <w:tc>
          <w:tcPr>
            <w:tcW w:type="dxa" w:w="32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definition</w:t>
            </w:r>
          </w:p>
        </w:tc>
        <w:tc>
          <w:tcPr>
            <w:tcW w:type="dxa" w:w="26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subset</w:t>
            </w:r>
          </w:p>
        </w:tc>
        <w:tc>
          <w:tcPr>
            <w:tcW w:type="dxa" w:w="17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Block (months)</w:t>
            </w:r>
          </w:p>
        </w:tc>
        <w:tc>
          <w:tcPr>
            <w:tcW w:type="dxa" w:w="21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 − low gain (°C)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95% CI (°C)</w:t>
            </w:r>
          </w:p>
        </w:tc>
        <w:tc>
          <w:tcPr>
            <w:tcW w:type="dxa" w:w="13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Pr(&gt;0)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[-0.132, +0.229]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0.747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[-0.131, +0.220]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0.757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+0.062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[-0.130, +0.203]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0.753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-0.022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[-0.340, +0.280]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0.454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-0.022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[-0.316, +0.267]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0.453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-0.022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[-0.276, +0.238]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0.450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[+0.044, +0.256]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0.997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[+0.059, +0.243]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0.998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Fixed pre-validation 2000–2014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[+0.069, +0.221]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0.999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+0.058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[-0.080, +0.192]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0.799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+0.058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[-0.068, +0.179]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0.817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+0.058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[-0.058, +0.146]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0.855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-0.018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[-0.229, +0.219]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0.420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-0.018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[-0.201, +0.191]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0.415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-0.018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[-0.177, +0.147]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0.406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+0.141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[+0.051, +0.220]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0.998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+0.141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[+0.059, +0.208]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0.998</w:t>
            </w:r>
          </w:p>
        </w:tc>
      </w:tr>
      <w:tr>
        <w:trPr>
          <w:cantSplit/>
        </w:trPr>
        <w:tc>
          <w:tcPr>
            <w:tcW w:type="dxa" w:w="32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Fold-training only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+0.141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[+0.076, +0.193]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1.000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[-0.047, +0.252]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0.920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[-0.053, +0.248]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0.915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+0.110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[-0.052, +0.238]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0.917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[-0.138, +0.360]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0.828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[-0.136, +0.364]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0.824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+0.120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[-0.124, +0.366]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0.829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+0.099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[-0.019, +0.206]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0.952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+0.099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[-0.001, +0.190]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0.974</w:t>
            </w:r>
          </w:p>
        </w:tc>
      </w:tr>
      <w:tr>
        <w:trPr>
          <w:cantSplit/>
        </w:trPr>
        <w:tc>
          <w:tcPr>
            <w:tcW w:type="dxa" w:w="3204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Full-record 2000–2024</w:t>
            </w:r>
          </w:p>
        </w:tc>
        <w:tc>
          <w:tcPr>
            <w:tcW w:type="dxa" w:w="26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+0.099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[+0.011, +0.176]</w:t>
            </w:r>
          </w:p>
        </w:tc>
        <w:tc>
          <w:tcPr>
            <w:tcW w:type="dxa" w:w="13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0.985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F. Fold-specific trend–gain associations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2804"/>
        <w:gridCol w:w="1335"/>
        <w:gridCol w:w="1068"/>
        <w:gridCol w:w="1468"/>
        <w:gridCol w:w="2136"/>
        <w:gridCol w:w="2136"/>
        <w:gridCol w:w="1202"/>
        <w:gridCol w:w="1201"/>
      </w:tblGrid>
      <w:tr>
        <w:trPr>
          <w:cantSplit/>
          <w:tblHeader w:val="true"/>
        </w:trPr>
        <w:tc>
          <w:tcPr>
            <w:tcW w:type="dxa" w:w="28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subset</w:t>
            </w:r>
          </w:p>
        </w:tc>
        <w:tc>
          <w:tcPr>
            <w:tcW w:type="dxa" w:w="1335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Cells</w:t>
            </w:r>
          </w:p>
        </w:tc>
        <w:tc>
          <w:tcPr>
            <w:tcW w:type="dxa" w:w="14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Months/cell</w:t>
            </w:r>
          </w:p>
        </w:tc>
        <w:tc>
          <w:tcPr>
            <w:tcW w:type="dxa" w:w="21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trend ± SD</w:t>
            </w:r>
          </w:p>
        </w:tc>
        <w:tc>
          <w:tcPr>
            <w:tcW w:type="dxa" w:w="21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gain ± SD</w:t>
            </w:r>
          </w:p>
        </w:tc>
        <w:tc>
          <w:tcPr>
            <w:tcW w:type="dxa" w:w="12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Pearson r</w:t>
            </w:r>
          </w:p>
        </w:tc>
        <w:tc>
          <w:tcPr>
            <w:tcW w:type="dxa" w:w="1201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Gain–trend slope</w:t>
            </w:r>
          </w:p>
        </w:tc>
      </w:tr>
      <w:tr>
        <w:trPr>
          <w:cantSplit/>
        </w:trPr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4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0.101 ± 0.149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0.178 ± 0.180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0.331</w:t>
            </w:r>
          </w:p>
        </w:tc>
        <w:tc>
          <w:tcPr>
            <w:tcW w:type="dxa" w:w="120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0.398</w:t>
            </w:r>
          </w:p>
        </w:tc>
      </w:tr>
      <w:tr>
        <w:trPr>
          <w:cantSplit/>
        </w:trPr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4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 ± 0.122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0.415 ± 0.113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-0.064</w:t>
            </w:r>
          </w:p>
        </w:tc>
        <w:tc>
          <w:tcPr>
            <w:tcW w:type="dxa" w:w="120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-0.060</w:t>
            </w:r>
          </w:p>
        </w:tc>
      </w:tr>
      <w:tr>
        <w:trPr>
          <w:cantSplit/>
        </w:trPr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4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0.101 ± 0.149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0.145 ± 0.160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0.378</w:t>
            </w:r>
          </w:p>
        </w:tc>
        <w:tc>
          <w:tcPr>
            <w:tcW w:type="dxa" w:w="120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0.406</w:t>
            </w:r>
          </w:p>
        </w:tc>
      </w:tr>
      <w:tr>
        <w:trPr>
          <w:cantSplit/>
        </w:trPr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4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 ± 0.122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0.442 ± 0.168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0.333</w:t>
            </w:r>
          </w:p>
        </w:tc>
        <w:tc>
          <w:tcPr>
            <w:tcW w:type="dxa" w:w="120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0.460</w:t>
            </w:r>
          </w:p>
        </w:tc>
      </w:tr>
      <w:tr>
        <w:trPr>
          <w:cantSplit/>
        </w:trPr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4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0.101 ± 0.149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0.210 ± 0.240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0.243</w:t>
            </w:r>
          </w:p>
        </w:tc>
        <w:tc>
          <w:tcPr>
            <w:tcW w:type="dxa" w:w="1201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0.391</w:t>
            </w:r>
          </w:p>
        </w:tc>
      </w:tr>
      <w:tr>
        <w:trPr>
          <w:cantSplit/>
        </w:trPr>
        <w:tc>
          <w:tcPr>
            <w:tcW w:type="dxa" w:w="28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335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4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 ± 0.122</w:t>
            </w:r>
          </w:p>
        </w:tc>
        <w:tc>
          <w:tcPr>
            <w:tcW w:type="dxa" w:w="21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0.391 ± 0.204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-0.301</w:t>
            </w:r>
          </w:p>
        </w:tc>
        <w:tc>
          <w:tcPr>
            <w:tcW w:type="dxa" w:w="1201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-0.505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G. Fold-specific tertile performance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2270"/>
        <w:gridCol w:w="1068"/>
        <w:gridCol w:w="934"/>
        <w:gridCol w:w="934"/>
        <w:gridCol w:w="934"/>
        <w:gridCol w:w="1736"/>
        <w:gridCol w:w="1202"/>
        <w:gridCol w:w="1068"/>
        <w:gridCol w:w="1068"/>
        <w:gridCol w:w="1068"/>
        <w:gridCol w:w="1068"/>
      </w:tblGrid>
      <w:tr>
        <w:trPr>
          <w:cantSplit/>
          <w:tblHeader w:val="true"/>
        </w:trPr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subset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</w:t>
            </w:r>
          </w:p>
        </w:tc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Tertile</w:t>
            </w:r>
          </w:p>
        </w:tc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Months</w:t>
            </w:r>
          </w:p>
        </w:tc>
        <w:tc>
          <w:tcPr>
            <w:tcW w:type="dxa" w:w="93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Cells</w:t>
            </w:r>
          </w:p>
        </w:tc>
        <w:tc>
          <w:tcPr>
            <w:tcW w:type="dxa" w:w="173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interval</w:t>
            </w:r>
          </w:p>
        </w:tc>
        <w:tc>
          <w:tcPr>
            <w:tcW w:type="dxa" w:w="12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trend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DCSF MAE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TF MAE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Gain (°C)</w:t>
            </w:r>
          </w:p>
        </w:tc>
        <w:tc>
          <w:tcPr>
            <w:tcW w:type="dxa" w:w="1068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Cell-win fraction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[-0.406, 0.019]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1.353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1.456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+0.103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0.562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0.164]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1.346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1.503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+0.157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0.595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12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[0.164, 0.755]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1.288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1.561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+0.273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0.680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[-0.198, 0.195]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1.103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1.528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+0.425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0.660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[0.195, 0.291]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1.110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1.549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+0.439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0.676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13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[0.291, 0.770]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1.138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1.519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+0.381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0.684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[-0.406, 0.019]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1.611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1.690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+0.080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0.528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0.164]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1.623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1.747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+0.124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0.581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[0.164, 0.755]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1.495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1.726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+0.231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0.756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[-0.198, 0.195]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1.418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1.798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+0.380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0.636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[0.195, 0.291]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1.369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1.803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+0.435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0.681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[0.291, 0.770]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1.332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1.843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+0.511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0.759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[-0.406, 0.019]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-0.057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1.095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1.221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+0.126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0.597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[0.019, 0.164]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0.093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1.069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1.258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+0.190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0.608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A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[0.164, 0.755]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0.267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1.081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1.395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+0.314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0.604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[-0.198, 0.195]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0.119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0.834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1.297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+0.463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0.679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Middle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333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[0.195, 0.291]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0.245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0.889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1.331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+0.442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0.671</w:t>
            </w:r>
          </w:p>
        </w:tc>
      </w:tr>
      <w:tr>
        <w:trPr>
          <w:cantSplit/>
        </w:trPr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Rolling B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93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334</w:t>
            </w:r>
          </w:p>
        </w:tc>
        <w:tc>
          <w:tcPr>
            <w:tcW w:type="dxa" w:w="1736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[0.291, 0.770]</w:t>
            </w:r>
          </w:p>
        </w:tc>
        <w:tc>
          <w:tcPr>
            <w:tcW w:type="dxa" w:w="12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0.370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0.973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1.241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+0.269</w:t>
            </w:r>
          </w:p>
        </w:tc>
        <w:tc>
          <w:tcPr>
            <w:tcW w:type="dxa" w:w="1068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0.620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H. Within-fold-centred association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4539"/>
        <w:gridCol w:w="2403"/>
        <w:gridCol w:w="2403"/>
        <w:gridCol w:w="1602"/>
        <w:gridCol w:w="2403"/>
      </w:tblGrid>
      <w:tr>
        <w:trPr>
          <w:cantSplit/>
          <w:tblHeader w:val="true"/>
        </w:trPr>
        <w:tc>
          <w:tcPr>
            <w:tcW w:type="dxa" w:w="4539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Transition subset</w:t>
            </w:r>
          </w:p>
        </w:tc>
        <w:tc>
          <w:tcPr>
            <w:tcW w:type="dxa" w:w="240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Memberships</w:t>
            </w:r>
          </w:p>
        </w:tc>
        <w:tc>
          <w:tcPr>
            <w:tcW w:type="dxa" w:w="240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Unique cells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Folds</w:t>
            </w:r>
          </w:p>
        </w:tc>
        <w:tc>
          <w:tcPr>
            <w:tcW w:type="dxa" w:w="2403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Pearson r</w:t>
            </w:r>
          </w:p>
        </w:tc>
      </w:tr>
      <w:tr>
        <w:trPr>
          <w:cantSplit/>
        </w:trPr>
        <w:tc>
          <w:tcPr>
            <w:tcW w:type="dxa" w:w="453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All state-changing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2,002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0.195</w:t>
            </w:r>
          </w:p>
        </w:tc>
      </w:tr>
      <w:tr>
        <w:trPr>
          <w:cantSplit/>
        </w:trPr>
        <w:tc>
          <w:tcPr>
            <w:tcW w:type="dxa" w:w="4539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Warming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2,002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0.355</w:t>
            </w:r>
          </w:p>
        </w:tc>
      </w:tr>
      <w:tr>
        <w:trPr>
          <w:cantSplit/>
        </w:trPr>
        <w:tc>
          <w:tcPr>
            <w:tcW w:type="dxa" w:w="4539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Cooling transitions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2,002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1,001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403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0.020</w:t>
            </w:r>
          </w:p>
        </w:tc>
      </w:tr>
    </w:tbl>
    <w:p>
      <w:pPr>
        <w:pStyle w:val="7"/>
        <w:keepNext/>
        <w:pageBreakBefore/>
        <w:spacing w:before="120" w:after="24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 xml:space="preserve">Supplementary Table S8. </w:t>
      </w:r>
      <w:r>
        <w:rPr>
          <w:rFonts w:ascii="Times New Roman" w:hAnsi="Times New Roman" w:eastAsia="Times New Roman"/>
          <w:b w:val="0"/>
          <w:i w:val="0"/>
          <w:sz w:val="24"/>
        </w:rPr>
        <w:t>Autocorrelation-aware annual warm-footprint trend sensitivity under Hamed–Rao inference and two-, three-, and five-year residual-block intervals. Intervals use 20,000 Theil–Sen residual-block draws; bold marks the primary three-year block.</w:t>
      </w: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A. Hamed–Rao trend test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7476"/>
        <w:gridCol w:w="3070"/>
        <w:gridCol w:w="2804"/>
      </w:tblGrid>
      <w:tr>
        <w:trPr>
          <w:cantSplit/>
          <w:tblHeader w:val="true"/>
        </w:trPr>
        <w:tc>
          <w:tcPr>
            <w:tcW w:type="dxa" w:w="7476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Metric</w:t>
            </w:r>
          </w:p>
        </w:tc>
        <w:tc>
          <w:tcPr>
            <w:tcW w:type="dxa" w:w="30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/ decade</w:t>
            </w:r>
          </w:p>
        </w:tc>
        <w:tc>
          <w:tcPr>
            <w:tcW w:type="dxa" w:w="28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Hamed–Rao p</w:t>
            </w:r>
          </w:p>
        </w:tc>
      </w:tr>
      <w:tr>
        <w:trPr>
          <w:cantSplit/>
        </w:trPr>
        <w:tc>
          <w:tcPr>
            <w:tcW w:type="dxa" w:w="7476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warm-area fraction</w:t>
            </w:r>
          </w:p>
        </w:tc>
        <w:tc>
          <w:tcPr>
            <w:tcW w:type="dxa" w:w="30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+9.29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0.00545</w:t>
            </w:r>
          </w:p>
        </w:tc>
      </w:tr>
      <w:tr>
        <w:trPr>
          <w:cantSplit/>
        </w:trPr>
        <w:tc>
          <w:tcPr>
            <w:tcW w:type="dxa" w:w="7476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Annual maximum warm area</w:t>
            </w:r>
          </w:p>
        </w:tc>
        <w:tc>
          <w:tcPr>
            <w:tcW w:type="dxa" w:w="30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+15.49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0.028</w:t>
            </w:r>
          </w:p>
        </w:tc>
      </w:tr>
      <w:tr>
        <w:trPr>
          <w:cantSplit/>
        </w:trPr>
        <w:tc>
          <w:tcPr>
            <w:tcW w:type="dxa" w:w="7476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Widespread-warm months</w:t>
            </w:r>
          </w:p>
        </w:tc>
        <w:tc>
          <w:tcPr>
            <w:tcW w:type="dxa" w:w="30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+0.91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0.015</w:t>
            </w:r>
          </w:p>
        </w:tc>
      </w:tr>
      <w:tr>
        <w:trPr>
          <w:cantSplit/>
        </w:trPr>
        <w:tc>
          <w:tcPr>
            <w:tcW w:type="dxa" w:w="7476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Regional-or-widespread-warm months</w:t>
            </w:r>
          </w:p>
        </w:tc>
        <w:tc>
          <w:tcPr>
            <w:tcW w:type="dxa" w:w="30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+1.43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0.012</w:t>
            </w:r>
          </w:p>
        </w:tc>
      </w:tr>
    </w:tbl>
    <w:p>
      <w:pPr>
        <w:spacing w:after="20"/>
      </w:pPr>
    </w:p>
    <w:p>
      <w:pPr>
        <w:keepNext/>
        <w:spacing w:before="60" w:after="60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</w:rPr>
        <w:t>B. Residual block-bootstrap intervals</w:t>
      </w:r>
    </w:p>
    <w:tbl>
      <w:tblPr>
        <w:tblW w:type="dxa" w:w="1335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85" w:type="dxa"/>
          <w:bottom w:w="60" w:type="dxa"/>
          <w:right w:w="85" w:type="dxa"/>
        </w:tblCellMar>
      </w:tblPr>
      <w:tblGrid>
        <w:gridCol w:w="4672"/>
        <w:gridCol w:w="2002"/>
        <w:gridCol w:w="2270"/>
        <w:gridCol w:w="2804"/>
        <w:gridCol w:w="1602"/>
      </w:tblGrid>
      <w:tr>
        <w:trPr>
          <w:cantSplit/>
          <w:tblHeader w:val="true"/>
        </w:trPr>
        <w:tc>
          <w:tcPr>
            <w:tcW w:type="dxa" w:w="467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Metric</w:t>
            </w:r>
          </w:p>
        </w:tc>
        <w:tc>
          <w:tcPr>
            <w:tcW w:type="dxa" w:w="20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Block (years)</w:t>
            </w:r>
          </w:p>
        </w:tc>
        <w:tc>
          <w:tcPr>
            <w:tcW w:type="dxa" w:w="2270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Trend / decade</w:t>
            </w:r>
          </w:p>
        </w:tc>
        <w:tc>
          <w:tcPr>
            <w:tcW w:type="dxa" w:w="2804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95% CI / decade</w:t>
            </w:r>
          </w:p>
        </w:tc>
        <w:tc>
          <w:tcPr>
            <w:tcW w:type="dxa" w:w="1602"/>
            <w:vAlign w:val="center"/>
            <w:noWrap/>
            <w:tcBorders>
              <w:top w:val="single" w:sz="10" w:space="0" w:color="000000"/>
              <w:left w:val="nil"/>
              <w:bottom w:val="single" w:sz="6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Pr(slope &gt; 0)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Annual maximum warm area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+15.49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[1.32, 29.33] pp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0.982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Annual maximum warm area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+15.49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[1.94, 28.09] pp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0.986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Annual maximum warm area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+15.49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[2.42, 27.38] pp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0.992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warm-area fraction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+9.29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[3.22, 15.15] pp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0.999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warm-area fraction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+9.29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[2.72, 15.52] pp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0.998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 warm-area fraction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+9.29 pp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[1.92, 15.93] pp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0.996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Regional-or-widespread-warm months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+1.43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[0.29, 2.47] months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0.993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Regional-or-widespread-warm months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+1.43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[0.17, 2.58] months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0.986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Regional-or-widespread-warm months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+1.43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[0.00, 2.63] months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0.977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Widespread-warm months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+0.91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[0.05, 1.68] months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0.981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Widespread-warm months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+0.91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[0.00, 1.71] months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0.976</w:t>
            </w:r>
          </w:p>
        </w:tc>
      </w:tr>
      <w:tr>
        <w:trPr>
          <w:cantSplit/>
        </w:trPr>
        <w:tc>
          <w:tcPr>
            <w:tcW w:type="dxa" w:w="4672"/>
            <w:vAlign w:val="center"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Widespread-warm months</w:t>
            </w:r>
          </w:p>
        </w:tc>
        <w:tc>
          <w:tcPr>
            <w:tcW w:type="dxa" w:w="20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2270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+0.91 months</w:t>
            </w:r>
          </w:p>
        </w:tc>
        <w:tc>
          <w:tcPr>
            <w:tcW w:type="dxa" w:w="2804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[0.00, 1.75] months</w:t>
            </w:r>
          </w:p>
        </w:tc>
        <w:tc>
          <w:tcPr>
            <w:tcW w:type="dxa" w:w="1602"/>
            <w:vAlign w:val="center"/>
            <w:noWrap/>
            <w:tcBorders>
              <w:top w:val="nil"/>
              <w:left w:val="nil"/>
              <w:bottom w:val="single" w:sz="10" w:space="0" w:color="000000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0.974</w:t>
            </w:r>
          </w:p>
        </w:tc>
      </w:tr>
    </w:tbl>
    <w:sectPr>
      <w:headerReference w:type="default" r:id="rId26"/>
      <w:footerReference w:type="default" r:id="rId27"/>
      <w:pgSz w:w="15840" w:h="12240" w:orient="landscape"/>
      <w:pgMar w:top="1138" w:right="1181" w:bottom="1138" w:left="1282" w:header="283" w:footer="51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9D895">
    <w:pPr>
      <w:jc w:val="right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1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  <w:lvlOverride w:ilvl="0">
      <w:lvl w:ilvl="0" w:tentative="1">
        <w:start w:val="1"/>
        <w:numFmt w:val="decimal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  <w:b/>
          <w:bCs/>
        </w:rPr>
      </w:lvl>
    </w:lvlOverride>
    <w:lvlOverride w:ilvl="2">
      <w:lvl w:ilvl="2" w:tentative="1">
        <w:start w:val="1"/>
        <w:numFmt w:val="decimal"/>
        <w:lvlText w:val="%1.%2.%3"/>
        <w:lvlJc w:val="left"/>
        <w:pPr>
          <w:tabs>
            <w:tab w:val="left" w:pos="567"/>
          </w:tabs>
          <w:ind w:left="567" w:hanging="567"/>
        </w:pPr>
        <w:rPr>
          <w:rFonts w:hint="default"/>
          <w:b/>
          <w:bCs/>
        </w:rPr>
      </w:lvl>
    </w:lvlOverride>
    <w:lvlOverride w:ilvl="3">
      <w:lvl w:ilvl="3" w:tentative="1">
        <w:start w:val="1"/>
        <w:numFmt w:val="decimal"/>
        <w:lvlText w:val="%1.%2.%3.%4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4">
      <w:lvl w:ilvl="4" w:tentative="1">
        <w:start w:val="1"/>
        <w:numFmt w:val="decimal"/>
        <w:lvlText w:val="%1.%2.%3.%4.%5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1BE"/>
    <w:rsid w:val="000018FA"/>
    <w:rsid w:val="000047E8"/>
    <w:rsid w:val="0000513D"/>
    <w:rsid w:val="000104E9"/>
    <w:rsid w:val="000151AA"/>
    <w:rsid w:val="00015D7B"/>
    <w:rsid w:val="0002011B"/>
    <w:rsid w:val="00022447"/>
    <w:rsid w:val="0002273A"/>
    <w:rsid w:val="0002338D"/>
    <w:rsid w:val="00026560"/>
    <w:rsid w:val="00027270"/>
    <w:rsid w:val="00034304"/>
    <w:rsid w:val="00035434"/>
    <w:rsid w:val="00035E01"/>
    <w:rsid w:val="000372C5"/>
    <w:rsid w:val="00041483"/>
    <w:rsid w:val="00045678"/>
    <w:rsid w:val="000458E4"/>
    <w:rsid w:val="00057FD6"/>
    <w:rsid w:val="00063779"/>
    <w:rsid w:val="00063D84"/>
    <w:rsid w:val="00064BED"/>
    <w:rsid w:val="00065321"/>
    <w:rsid w:val="0006636D"/>
    <w:rsid w:val="00075308"/>
    <w:rsid w:val="00077D53"/>
    <w:rsid w:val="00081394"/>
    <w:rsid w:val="000868E2"/>
    <w:rsid w:val="000971BF"/>
    <w:rsid w:val="000A1A20"/>
    <w:rsid w:val="000A4C5F"/>
    <w:rsid w:val="000B34BD"/>
    <w:rsid w:val="000B6D5F"/>
    <w:rsid w:val="000C15B4"/>
    <w:rsid w:val="000C16FF"/>
    <w:rsid w:val="000C6D6B"/>
    <w:rsid w:val="000C7E2A"/>
    <w:rsid w:val="000D3F74"/>
    <w:rsid w:val="000E22BF"/>
    <w:rsid w:val="000E577A"/>
    <w:rsid w:val="000F0CCE"/>
    <w:rsid w:val="000F4CFB"/>
    <w:rsid w:val="000F572F"/>
    <w:rsid w:val="000F5E60"/>
    <w:rsid w:val="000F5FE1"/>
    <w:rsid w:val="00112CC4"/>
    <w:rsid w:val="00117666"/>
    <w:rsid w:val="00120D24"/>
    <w:rsid w:val="00121058"/>
    <w:rsid w:val="00121A4E"/>
    <w:rsid w:val="001223A7"/>
    <w:rsid w:val="00122750"/>
    <w:rsid w:val="00123484"/>
    <w:rsid w:val="0012579F"/>
    <w:rsid w:val="001309CA"/>
    <w:rsid w:val="00134256"/>
    <w:rsid w:val="00140FEE"/>
    <w:rsid w:val="00147395"/>
    <w:rsid w:val="00151B26"/>
    <w:rsid w:val="00152161"/>
    <w:rsid w:val="00154D50"/>
    <w:rsid w:val="001552C9"/>
    <w:rsid w:val="00156F2B"/>
    <w:rsid w:val="00162713"/>
    <w:rsid w:val="00177D84"/>
    <w:rsid w:val="00185A0B"/>
    <w:rsid w:val="00193BB0"/>
    <w:rsid w:val="00193C52"/>
    <w:rsid w:val="00194A3D"/>
    <w:rsid w:val="00195FF4"/>
    <w:rsid w:val="001964EF"/>
    <w:rsid w:val="001A04BB"/>
    <w:rsid w:val="001A569E"/>
    <w:rsid w:val="001A6153"/>
    <w:rsid w:val="001B1A2C"/>
    <w:rsid w:val="001B4704"/>
    <w:rsid w:val="001B6779"/>
    <w:rsid w:val="001D4737"/>
    <w:rsid w:val="001D49B7"/>
    <w:rsid w:val="001D5C23"/>
    <w:rsid w:val="001D5E8D"/>
    <w:rsid w:val="001E0F89"/>
    <w:rsid w:val="001E4F08"/>
    <w:rsid w:val="001F0C75"/>
    <w:rsid w:val="001F4C07"/>
    <w:rsid w:val="001F6EA2"/>
    <w:rsid w:val="001F755B"/>
    <w:rsid w:val="00201C94"/>
    <w:rsid w:val="002029F3"/>
    <w:rsid w:val="00206322"/>
    <w:rsid w:val="00207751"/>
    <w:rsid w:val="00213C41"/>
    <w:rsid w:val="002141C4"/>
    <w:rsid w:val="00217BA1"/>
    <w:rsid w:val="00220AEA"/>
    <w:rsid w:val="00226954"/>
    <w:rsid w:val="00230640"/>
    <w:rsid w:val="002368CB"/>
    <w:rsid w:val="002369E4"/>
    <w:rsid w:val="00241612"/>
    <w:rsid w:val="00241A75"/>
    <w:rsid w:val="00253240"/>
    <w:rsid w:val="002544DD"/>
    <w:rsid w:val="002629A3"/>
    <w:rsid w:val="00265660"/>
    <w:rsid w:val="0026603E"/>
    <w:rsid w:val="002677A0"/>
    <w:rsid w:val="00267D18"/>
    <w:rsid w:val="00271C0F"/>
    <w:rsid w:val="002868E2"/>
    <w:rsid w:val="002869C3"/>
    <w:rsid w:val="0028758C"/>
    <w:rsid w:val="002936E4"/>
    <w:rsid w:val="002969B2"/>
    <w:rsid w:val="00296B88"/>
    <w:rsid w:val="002A038D"/>
    <w:rsid w:val="002A1BED"/>
    <w:rsid w:val="002A260D"/>
    <w:rsid w:val="002A5EE1"/>
    <w:rsid w:val="002A70FE"/>
    <w:rsid w:val="002B1B94"/>
    <w:rsid w:val="002B410B"/>
    <w:rsid w:val="002B6C9A"/>
    <w:rsid w:val="002C2A28"/>
    <w:rsid w:val="002C5B26"/>
    <w:rsid w:val="002C74CA"/>
    <w:rsid w:val="002D3CD7"/>
    <w:rsid w:val="002E70D1"/>
    <w:rsid w:val="002F744D"/>
    <w:rsid w:val="002F79A0"/>
    <w:rsid w:val="002F7A8B"/>
    <w:rsid w:val="00303DE6"/>
    <w:rsid w:val="00310124"/>
    <w:rsid w:val="00314C80"/>
    <w:rsid w:val="00322306"/>
    <w:rsid w:val="00324E4B"/>
    <w:rsid w:val="00327B18"/>
    <w:rsid w:val="00331A0E"/>
    <w:rsid w:val="00331ACD"/>
    <w:rsid w:val="00331EF4"/>
    <w:rsid w:val="0033311A"/>
    <w:rsid w:val="00341682"/>
    <w:rsid w:val="00343108"/>
    <w:rsid w:val="00344D51"/>
    <w:rsid w:val="0035251E"/>
    <w:rsid w:val="003544FB"/>
    <w:rsid w:val="00354D59"/>
    <w:rsid w:val="003627FA"/>
    <w:rsid w:val="00365D63"/>
    <w:rsid w:val="0036793B"/>
    <w:rsid w:val="00372682"/>
    <w:rsid w:val="00372C58"/>
    <w:rsid w:val="00372D30"/>
    <w:rsid w:val="00373E4C"/>
    <w:rsid w:val="00376CC5"/>
    <w:rsid w:val="0039693B"/>
    <w:rsid w:val="003971B4"/>
    <w:rsid w:val="003B0785"/>
    <w:rsid w:val="003B3C40"/>
    <w:rsid w:val="003D23D5"/>
    <w:rsid w:val="003D2F2D"/>
    <w:rsid w:val="003D3555"/>
    <w:rsid w:val="003D673B"/>
    <w:rsid w:val="003D6E08"/>
    <w:rsid w:val="003D7302"/>
    <w:rsid w:val="003F5FD4"/>
    <w:rsid w:val="003F7F15"/>
    <w:rsid w:val="00401590"/>
    <w:rsid w:val="00402C1C"/>
    <w:rsid w:val="00416F6B"/>
    <w:rsid w:val="00427CFE"/>
    <w:rsid w:val="00442314"/>
    <w:rsid w:val="00446CF2"/>
    <w:rsid w:val="00446E4C"/>
    <w:rsid w:val="00451C2F"/>
    <w:rsid w:val="0046196B"/>
    <w:rsid w:val="00463E3D"/>
    <w:rsid w:val="004645AE"/>
    <w:rsid w:val="004650F8"/>
    <w:rsid w:val="00465828"/>
    <w:rsid w:val="004728AB"/>
    <w:rsid w:val="004757E1"/>
    <w:rsid w:val="00481E73"/>
    <w:rsid w:val="00487739"/>
    <w:rsid w:val="0049161C"/>
    <w:rsid w:val="004A07E2"/>
    <w:rsid w:val="004A09E2"/>
    <w:rsid w:val="004A1865"/>
    <w:rsid w:val="004A3DCD"/>
    <w:rsid w:val="004A3F81"/>
    <w:rsid w:val="004A4451"/>
    <w:rsid w:val="004B311F"/>
    <w:rsid w:val="004C1281"/>
    <w:rsid w:val="004C176B"/>
    <w:rsid w:val="004C61AA"/>
    <w:rsid w:val="004C6557"/>
    <w:rsid w:val="004C6B8D"/>
    <w:rsid w:val="004D2F0D"/>
    <w:rsid w:val="004D3E33"/>
    <w:rsid w:val="004D687D"/>
    <w:rsid w:val="004D6911"/>
    <w:rsid w:val="004D7564"/>
    <w:rsid w:val="004E251D"/>
    <w:rsid w:val="004E2E8E"/>
    <w:rsid w:val="004E7D97"/>
    <w:rsid w:val="004F492A"/>
    <w:rsid w:val="004F6DA5"/>
    <w:rsid w:val="00504FB7"/>
    <w:rsid w:val="005072F7"/>
    <w:rsid w:val="00510770"/>
    <w:rsid w:val="0051091B"/>
    <w:rsid w:val="0052252B"/>
    <w:rsid w:val="005250F2"/>
    <w:rsid w:val="00535BFE"/>
    <w:rsid w:val="00544C16"/>
    <w:rsid w:val="0055025A"/>
    <w:rsid w:val="0055056B"/>
    <w:rsid w:val="00551D50"/>
    <w:rsid w:val="00552D63"/>
    <w:rsid w:val="00553882"/>
    <w:rsid w:val="0055757D"/>
    <w:rsid w:val="005638DE"/>
    <w:rsid w:val="005641BC"/>
    <w:rsid w:val="00565744"/>
    <w:rsid w:val="00567E0D"/>
    <w:rsid w:val="00567F95"/>
    <w:rsid w:val="0057731C"/>
    <w:rsid w:val="005827C7"/>
    <w:rsid w:val="0058482C"/>
    <w:rsid w:val="005865B3"/>
    <w:rsid w:val="0059152A"/>
    <w:rsid w:val="005933A5"/>
    <w:rsid w:val="005940EF"/>
    <w:rsid w:val="0059615E"/>
    <w:rsid w:val="00597264"/>
    <w:rsid w:val="00597C03"/>
    <w:rsid w:val="005A16A2"/>
    <w:rsid w:val="005A1D84"/>
    <w:rsid w:val="005A3E2E"/>
    <w:rsid w:val="005A3FE6"/>
    <w:rsid w:val="005A70EA"/>
    <w:rsid w:val="005B7A1C"/>
    <w:rsid w:val="005C3963"/>
    <w:rsid w:val="005C74A0"/>
    <w:rsid w:val="005D1840"/>
    <w:rsid w:val="005D2345"/>
    <w:rsid w:val="005D35E4"/>
    <w:rsid w:val="005D5346"/>
    <w:rsid w:val="005D7910"/>
    <w:rsid w:val="005E1CF0"/>
    <w:rsid w:val="005E4C3B"/>
    <w:rsid w:val="005E6F03"/>
    <w:rsid w:val="00603983"/>
    <w:rsid w:val="0060684B"/>
    <w:rsid w:val="00610AF3"/>
    <w:rsid w:val="00614C68"/>
    <w:rsid w:val="0062154F"/>
    <w:rsid w:val="0062443D"/>
    <w:rsid w:val="00624BD4"/>
    <w:rsid w:val="00626026"/>
    <w:rsid w:val="006269BC"/>
    <w:rsid w:val="00626B4E"/>
    <w:rsid w:val="006273C6"/>
    <w:rsid w:val="00631A8C"/>
    <w:rsid w:val="00631E9C"/>
    <w:rsid w:val="00632CDD"/>
    <w:rsid w:val="00632FA6"/>
    <w:rsid w:val="00633000"/>
    <w:rsid w:val="00633A02"/>
    <w:rsid w:val="00634478"/>
    <w:rsid w:val="0064070B"/>
    <w:rsid w:val="00643A11"/>
    <w:rsid w:val="006446F0"/>
    <w:rsid w:val="00647222"/>
    <w:rsid w:val="00651CA2"/>
    <w:rsid w:val="00653D60"/>
    <w:rsid w:val="0065621F"/>
    <w:rsid w:val="00656C0D"/>
    <w:rsid w:val="00660D05"/>
    <w:rsid w:val="0067107A"/>
    <w:rsid w:val="006717A0"/>
    <w:rsid w:val="00671D9A"/>
    <w:rsid w:val="00673539"/>
    <w:rsid w:val="00673952"/>
    <w:rsid w:val="00675337"/>
    <w:rsid w:val="00686C9D"/>
    <w:rsid w:val="00692C4D"/>
    <w:rsid w:val="006A373F"/>
    <w:rsid w:val="006B2926"/>
    <w:rsid w:val="006B2D5B"/>
    <w:rsid w:val="006B67A6"/>
    <w:rsid w:val="006B7D14"/>
    <w:rsid w:val="006C186D"/>
    <w:rsid w:val="006C1C5B"/>
    <w:rsid w:val="006D5B93"/>
    <w:rsid w:val="006E093D"/>
    <w:rsid w:val="006E0F9D"/>
    <w:rsid w:val="006E18DE"/>
    <w:rsid w:val="006E54C5"/>
    <w:rsid w:val="006F48EB"/>
    <w:rsid w:val="006F5E72"/>
    <w:rsid w:val="006F6D4F"/>
    <w:rsid w:val="00700562"/>
    <w:rsid w:val="007073E3"/>
    <w:rsid w:val="0071046A"/>
    <w:rsid w:val="0071278A"/>
    <w:rsid w:val="007164F3"/>
    <w:rsid w:val="00721F18"/>
    <w:rsid w:val="007255FF"/>
    <w:rsid w:val="00725A7D"/>
    <w:rsid w:val="00727093"/>
    <w:rsid w:val="0073003E"/>
    <w:rsid w:val="0073085C"/>
    <w:rsid w:val="00732FD9"/>
    <w:rsid w:val="00733B80"/>
    <w:rsid w:val="00735609"/>
    <w:rsid w:val="00735C1B"/>
    <w:rsid w:val="00746505"/>
    <w:rsid w:val="00752E7A"/>
    <w:rsid w:val="00752FD1"/>
    <w:rsid w:val="00753137"/>
    <w:rsid w:val="00763952"/>
    <w:rsid w:val="00780B53"/>
    <w:rsid w:val="00790BB3"/>
    <w:rsid w:val="00792043"/>
    <w:rsid w:val="00793411"/>
    <w:rsid w:val="007940C1"/>
    <w:rsid w:val="00796922"/>
    <w:rsid w:val="0079701F"/>
    <w:rsid w:val="00797EDD"/>
    <w:rsid w:val="007B0322"/>
    <w:rsid w:val="007B3E49"/>
    <w:rsid w:val="007B70D7"/>
    <w:rsid w:val="007C0E3F"/>
    <w:rsid w:val="007C14B7"/>
    <w:rsid w:val="007C206C"/>
    <w:rsid w:val="007C256C"/>
    <w:rsid w:val="007C4DC1"/>
    <w:rsid w:val="007C5729"/>
    <w:rsid w:val="007C5B34"/>
    <w:rsid w:val="007C7E89"/>
    <w:rsid w:val="007D29D2"/>
    <w:rsid w:val="007D2C34"/>
    <w:rsid w:val="007D5CBB"/>
    <w:rsid w:val="007E248D"/>
    <w:rsid w:val="007E6867"/>
    <w:rsid w:val="007E792E"/>
    <w:rsid w:val="007F12B7"/>
    <w:rsid w:val="007F4DBC"/>
    <w:rsid w:val="007F6CC8"/>
    <w:rsid w:val="007F6E5B"/>
    <w:rsid w:val="00800B2F"/>
    <w:rsid w:val="00802ED0"/>
    <w:rsid w:val="008072F1"/>
    <w:rsid w:val="00807983"/>
    <w:rsid w:val="008111E4"/>
    <w:rsid w:val="0081301C"/>
    <w:rsid w:val="00815FBF"/>
    <w:rsid w:val="00816DC5"/>
    <w:rsid w:val="0081713C"/>
    <w:rsid w:val="00817DD6"/>
    <w:rsid w:val="00825E71"/>
    <w:rsid w:val="00845304"/>
    <w:rsid w:val="00851278"/>
    <w:rsid w:val="008521AF"/>
    <w:rsid w:val="00861F32"/>
    <w:rsid w:val="008629A9"/>
    <w:rsid w:val="00863D81"/>
    <w:rsid w:val="008656E3"/>
    <w:rsid w:val="00867A87"/>
    <w:rsid w:val="008709B7"/>
    <w:rsid w:val="008771BB"/>
    <w:rsid w:val="00881CB9"/>
    <w:rsid w:val="0088513A"/>
    <w:rsid w:val="00885E5B"/>
    <w:rsid w:val="00886BEE"/>
    <w:rsid w:val="0089295A"/>
    <w:rsid w:val="00893C19"/>
    <w:rsid w:val="00895308"/>
    <w:rsid w:val="00897168"/>
    <w:rsid w:val="008A0240"/>
    <w:rsid w:val="008A4D9C"/>
    <w:rsid w:val="008B13FF"/>
    <w:rsid w:val="008B2E2A"/>
    <w:rsid w:val="008B5E7E"/>
    <w:rsid w:val="008C1EF5"/>
    <w:rsid w:val="008C5CA3"/>
    <w:rsid w:val="008D0A07"/>
    <w:rsid w:val="008D6C8D"/>
    <w:rsid w:val="008D76FD"/>
    <w:rsid w:val="008E1C1D"/>
    <w:rsid w:val="008E2B54"/>
    <w:rsid w:val="008E2C62"/>
    <w:rsid w:val="008E3A76"/>
    <w:rsid w:val="008E4404"/>
    <w:rsid w:val="008E58C7"/>
    <w:rsid w:val="008F1A88"/>
    <w:rsid w:val="008F292E"/>
    <w:rsid w:val="008F5021"/>
    <w:rsid w:val="008F56FC"/>
    <w:rsid w:val="009009BF"/>
    <w:rsid w:val="009014E5"/>
    <w:rsid w:val="009060E6"/>
    <w:rsid w:val="00922CA3"/>
    <w:rsid w:val="00924CE0"/>
    <w:rsid w:val="00925263"/>
    <w:rsid w:val="00926B1C"/>
    <w:rsid w:val="00943573"/>
    <w:rsid w:val="009436D5"/>
    <w:rsid w:val="00947A86"/>
    <w:rsid w:val="00951A35"/>
    <w:rsid w:val="0095652A"/>
    <w:rsid w:val="0096110F"/>
    <w:rsid w:val="00965216"/>
    <w:rsid w:val="009664CE"/>
    <w:rsid w:val="00971B61"/>
    <w:rsid w:val="00980C31"/>
    <w:rsid w:val="009955FF"/>
    <w:rsid w:val="009A3C19"/>
    <w:rsid w:val="009A77D4"/>
    <w:rsid w:val="009D259D"/>
    <w:rsid w:val="009D2C47"/>
    <w:rsid w:val="009E389B"/>
    <w:rsid w:val="009E7716"/>
    <w:rsid w:val="009F1F4D"/>
    <w:rsid w:val="00A00487"/>
    <w:rsid w:val="00A07719"/>
    <w:rsid w:val="00A12C5B"/>
    <w:rsid w:val="00A13F35"/>
    <w:rsid w:val="00A25F3E"/>
    <w:rsid w:val="00A26D04"/>
    <w:rsid w:val="00A330D8"/>
    <w:rsid w:val="00A339D9"/>
    <w:rsid w:val="00A353B4"/>
    <w:rsid w:val="00A362FD"/>
    <w:rsid w:val="00A50D9D"/>
    <w:rsid w:val="00A53000"/>
    <w:rsid w:val="00A53A64"/>
    <w:rsid w:val="00A545C6"/>
    <w:rsid w:val="00A75F87"/>
    <w:rsid w:val="00A817DD"/>
    <w:rsid w:val="00A826B8"/>
    <w:rsid w:val="00A83CEA"/>
    <w:rsid w:val="00A9112E"/>
    <w:rsid w:val="00A95D8B"/>
    <w:rsid w:val="00A95F4D"/>
    <w:rsid w:val="00AA1A8A"/>
    <w:rsid w:val="00AB69B2"/>
    <w:rsid w:val="00AC0270"/>
    <w:rsid w:val="00AC03F4"/>
    <w:rsid w:val="00AC0A6A"/>
    <w:rsid w:val="00AC1352"/>
    <w:rsid w:val="00AC2562"/>
    <w:rsid w:val="00AC3EA3"/>
    <w:rsid w:val="00AC57AC"/>
    <w:rsid w:val="00AC6EA0"/>
    <w:rsid w:val="00AC77B3"/>
    <w:rsid w:val="00AC792D"/>
    <w:rsid w:val="00AD0A3C"/>
    <w:rsid w:val="00AD6464"/>
    <w:rsid w:val="00AE14C6"/>
    <w:rsid w:val="00AF1D43"/>
    <w:rsid w:val="00AF777C"/>
    <w:rsid w:val="00AF7A8E"/>
    <w:rsid w:val="00B02E3C"/>
    <w:rsid w:val="00B0515B"/>
    <w:rsid w:val="00B14627"/>
    <w:rsid w:val="00B15F6B"/>
    <w:rsid w:val="00B17D57"/>
    <w:rsid w:val="00B22E2E"/>
    <w:rsid w:val="00B2336E"/>
    <w:rsid w:val="00B30B14"/>
    <w:rsid w:val="00B3231F"/>
    <w:rsid w:val="00B36576"/>
    <w:rsid w:val="00B36C9B"/>
    <w:rsid w:val="00B4140B"/>
    <w:rsid w:val="00B42885"/>
    <w:rsid w:val="00B4485A"/>
    <w:rsid w:val="00B55766"/>
    <w:rsid w:val="00B602D5"/>
    <w:rsid w:val="00B64DAD"/>
    <w:rsid w:val="00B65788"/>
    <w:rsid w:val="00B657B8"/>
    <w:rsid w:val="00B66DE8"/>
    <w:rsid w:val="00B8060C"/>
    <w:rsid w:val="00B82C98"/>
    <w:rsid w:val="00B83256"/>
    <w:rsid w:val="00B84920"/>
    <w:rsid w:val="00B8556A"/>
    <w:rsid w:val="00B9382E"/>
    <w:rsid w:val="00B93A56"/>
    <w:rsid w:val="00B94AAA"/>
    <w:rsid w:val="00B96942"/>
    <w:rsid w:val="00BB41CE"/>
    <w:rsid w:val="00BB6949"/>
    <w:rsid w:val="00BB773D"/>
    <w:rsid w:val="00BC4835"/>
    <w:rsid w:val="00BC628A"/>
    <w:rsid w:val="00BD06E2"/>
    <w:rsid w:val="00BD6173"/>
    <w:rsid w:val="00BE63A9"/>
    <w:rsid w:val="00BF7BB5"/>
    <w:rsid w:val="00C00007"/>
    <w:rsid w:val="00C012A3"/>
    <w:rsid w:val="00C024A2"/>
    <w:rsid w:val="00C025E8"/>
    <w:rsid w:val="00C03B04"/>
    <w:rsid w:val="00C06EA8"/>
    <w:rsid w:val="00C108F8"/>
    <w:rsid w:val="00C12389"/>
    <w:rsid w:val="00C16F19"/>
    <w:rsid w:val="00C271A7"/>
    <w:rsid w:val="00C30EB1"/>
    <w:rsid w:val="00C33C1D"/>
    <w:rsid w:val="00C35F42"/>
    <w:rsid w:val="00C425B5"/>
    <w:rsid w:val="00C45A1F"/>
    <w:rsid w:val="00C45D59"/>
    <w:rsid w:val="00C47DF9"/>
    <w:rsid w:val="00C51CCD"/>
    <w:rsid w:val="00C524EB"/>
    <w:rsid w:val="00C52A7B"/>
    <w:rsid w:val="00C629D4"/>
    <w:rsid w:val="00C6324C"/>
    <w:rsid w:val="00C639B8"/>
    <w:rsid w:val="00C679AA"/>
    <w:rsid w:val="00C724CF"/>
    <w:rsid w:val="00C74C98"/>
    <w:rsid w:val="00C75972"/>
    <w:rsid w:val="00C7612C"/>
    <w:rsid w:val="00C82059"/>
    <w:rsid w:val="00C82792"/>
    <w:rsid w:val="00C86728"/>
    <w:rsid w:val="00C948FD"/>
    <w:rsid w:val="00C94EE3"/>
    <w:rsid w:val="00CA41D8"/>
    <w:rsid w:val="00CA5BAA"/>
    <w:rsid w:val="00CB2220"/>
    <w:rsid w:val="00CB43D5"/>
    <w:rsid w:val="00CC1907"/>
    <w:rsid w:val="00CC72BD"/>
    <w:rsid w:val="00CC76F9"/>
    <w:rsid w:val="00CD0151"/>
    <w:rsid w:val="00CD066B"/>
    <w:rsid w:val="00CD3ECE"/>
    <w:rsid w:val="00CD46E2"/>
    <w:rsid w:val="00CD503C"/>
    <w:rsid w:val="00CE3C8E"/>
    <w:rsid w:val="00CE3F87"/>
    <w:rsid w:val="00CE7A82"/>
    <w:rsid w:val="00CF0DB8"/>
    <w:rsid w:val="00CF5DB0"/>
    <w:rsid w:val="00D00D0B"/>
    <w:rsid w:val="00D032E3"/>
    <w:rsid w:val="00D033A3"/>
    <w:rsid w:val="00D04B69"/>
    <w:rsid w:val="00D109A4"/>
    <w:rsid w:val="00D17FBC"/>
    <w:rsid w:val="00D331A2"/>
    <w:rsid w:val="00D40420"/>
    <w:rsid w:val="00D47E6E"/>
    <w:rsid w:val="00D537FA"/>
    <w:rsid w:val="00D57E0A"/>
    <w:rsid w:val="00D62450"/>
    <w:rsid w:val="00D700B9"/>
    <w:rsid w:val="00D701D1"/>
    <w:rsid w:val="00D7710F"/>
    <w:rsid w:val="00D77419"/>
    <w:rsid w:val="00D803A1"/>
    <w:rsid w:val="00D80D99"/>
    <w:rsid w:val="00D84709"/>
    <w:rsid w:val="00D8472B"/>
    <w:rsid w:val="00D85EBB"/>
    <w:rsid w:val="00D8726E"/>
    <w:rsid w:val="00D9503C"/>
    <w:rsid w:val="00D96758"/>
    <w:rsid w:val="00DA04D1"/>
    <w:rsid w:val="00DB3416"/>
    <w:rsid w:val="00DB5F26"/>
    <w:rsid w:val="00DC3144"/>
    <w:rsid w:val="00DD1A75"/>
    <w:rsid w:val="00DD1CF3"/>
    <w:rsid w:val="00DD45BF"/>
    <w:rsid w:val="00DD4CEF"/>
    <w:rsid w:val="00DD5B50"/>
    <w:rsid w:val="00DD7074"/>
    <w:rsid w:val="00DD70CD"/>
    <w:rsid w:val="00DD73EF"/>
    <w:rsid w:val="00DE23E8"/>
    <w:rsid w:val="00DE40E8"/>
    <w:rsid w:val="00DF187F"/>
    <w:rsid w:val="00E0128B"/>
    <w:rsid w:val="00E01864"/>
    <w:rsid w:val="00E030CF"/>
    <w:rsid w:val="00E0399A"/>
    <w:rsid w:val="00E04F25"/>
    <w:rsid w:val="00E11C78"/>
    <w:rsid w:val="00E13F55"/>
    <w:rsid w:val="00E20DD9"/>
    <w:rsid w:val="00E21E37"/>
    <w:rsid w:val="00E231F5"/>
    <w:rsid w:val="00E61099"/>
    <w:rsid w:val="00E61533"/>
    <w:rsid w:val="00E62788"/>
    <w:rsid w:val="00E64E17"/>
    <w:rsid w:val="00E739FF"/>
    <w:rsid w:val="00E852EA"/>
    <w:rsid w:val="00E92B7D"/>
    <w:rsid w:val="00E95EA8"/>
    <w:rsid w:val="00EA23E6"/>
    <w:rsid w:val="00EA2B46"/>
    <w:rsid w:val="00EA310F"/>
    <w:rsid w:val="00EA3D3C"/>
    <w:rsid w:val="00EC1158"/>
    <w:rsid w:val="00EC4DD1"/>
    <w:rsid w:val="00EC678D"/>
    <w:rsid w:val="00EC7CC3"/>
    <w:rsid w:val="00EC7DC9"/>
    <w:rsid w:val="00ED3300"/>
    <w:rsid w:val="00ED4079"/>
    <w:rsid w:val="00EE3D51"/>
    <w:rsid w:val="00EE3FE4"/>
    <w:rsid w:val="00EE5C40"/>
    <w:rsid w:val="00EE7E95"/>
    <w:rsid w:val="00F018A6"/>
    <w:rsid w:val="00F11857"/>
    <w:rsid w:val="00F12A3E"/>
    <w:rsid w:val="00F254A4"/>
    <w:rsid w:val="00F2676C"/>
    <w:rsid w:val="00F2724B"/>
    <w:rsid w:val="00F309B6"/>
    <w:rsid w:val="00F4168A"/>
    <w:rsid w:val="00F4507D"/>
    <w:rsid w:val="00F46494"/>
    <w:rsid w:val="00F558AB"/>
    <w:rsid w:val="00F55C4F"/>
    <w:rsid w:val="00F612A4"/>
    <w:rsid w:val="00F61D89"/>
    <w:rsid w:val="00F7032D"/>
    <w:rsid w:val="00F80350"/>
    <w:rsid w:val="00F81DBD"/>
    <w:rsid w:val="00F82828"/>
    <w:rsid w:val="00F83F71"/>
    <w:rsid w:val="00F84B0C"/>
    <w:rsid w:val="00F86ABB"/>
    <w:rsid w:val="00F9195A"/>
    <w:rsid w:val="00F97039"/>
    <w:rsid w:val="00F97210"/>
    <w:rsid w:val="00FB2CF1"/>
    <w:rsid w:val="00FB2F28"/>
    <w:rsid w:val="00FB5B5C"/>
    <w:rsid w:val="00FB7AF5"/>
    <w:rsid w:val="00FC1E0A"/>
    <w:rsid w:val="00FC2329"/>
    <w:rsid w:val="00FC45B2"/>
    <w:rsid w:val="00FD36C6"/>
    <w:rsid w:val="00FD7648"/>
    <w:rsid w:val="00FE2770"/>
    <w:rsid w:val="00FE36C0"/>
    <w:rsid w:val="00FE3C03"/>
    <w:rsid w:val="00FF67AD"/>
    <w:rsid w:val="00FF7E8A"/>
    <w:rsid w:val="0115485E"/>
    <w:rsid w:val="023A378D"/>
    <w:rsid w:val="037A4E53"/>
    <w:rsid w:val="03D9521E"/>
    <w:rsid w:val="044A18BD"/>
    <w:rsid w:val="044F6CE9"/>
    <w:rsid w:val="05BE6CDA"/>
    <w:rsid w:val="05DC421B"/>
    <w:rsid w:val="06663992"/>
    <w:rsid w:val="06840E03"/>
    <w:rsid w:val="081159F6"/>
    <w:rsid w:val="08F43C68"/>
    <w:rsid w:val="09B51DC3"/>
    <w:rsid w:val="0AEA4CDC"/>
    <w:rsid w:val="0AFD7583"/>
    <w:rsid w:val="0C39611B"/>
    <w:rsid w:val="0C9C6FE6"/>
    <w:rsid w:val="0D060A8C"/>
    <w:rsid w:val="0F8044A9"/>
    <w:rsid w:val="10A13FCB"/>
    <w:rsid w:val="10B15A93"/>
    <w:rsid w:val="119C0EAA"/>
    <w:rsid w:val="12002ADC"/>
    <w:rsid w:val="132F1E2E"/>
    <w:rsid w:val="136270D5"/>
    <w:rsid w:val="13EE7AB8"/>
    <w:rsid w:val="14131A55"/>
    <w:rsid w:val="156072D3"/>
    <w:rsid w:val="17163FBF"/>
    <w:rsid w:val="1A7C5AA8"/>
    <w:rsid w:val="1BAF1D5E"/>
    <w:rsid w:val="1BC577D4"/>
    <w:rsid w:val="1BEF6B30"/>
    <w:rsid w:val="2059673D"/>
    <w:rsid w:val="220D097E"/>
    <w:rsid w:val="225767B7"/>
    <w:rsid w:val="22714DF4"/>
    <w:rsid w:val="227A4CC0"/>
    <w:rsid w:val="22AF7D64"/>
    <w:rsid w:val="22FA4207"/>
    <w:rsid w:val="23030B29"/>
    <w:rsid w:val="23553472"/>
    <w:rsid w:val="258978E5"/>
    <w:rsid w:val="25CE1C12"/>
    <w:rsid w:val="26677DE9"/>
    <w:rsid w:val="27BA68C8"/>
    <w:rsid w:val="28810A39"/>
    <w:rsid w:val="28D648F6"/>
    <w:rsid w:val="2C28258A"/>
    <w:rsid w:val="2D325A03"/>
    <w:rsid w:val="2D9B21C7"/>
    <w:rsid w:val="2DA24FDD"/>
    <w:rsid w:val="2E072B41"/>
    <w:rsid w:val="2F88386C"/>
    <w:rsid w:val="301B15C7"/>
    <w:rsid w:val="31B4689F"/>
    <w:rsid w:val="332F629A"/>
    <w:rsid w:val="33A83659"/>
    <w:rsid w:val="363F38CD"/>
    <w:rsid w:val="36B42C7F"/>
    <w:rsid w:val="38064FA4"/>
    <w:rsid w:val="38883247"/>
    <w:rsid w:val="3C0F6C11"/>
    <w:rsid w:val="3CC1377B"/>
    <w:rsid w:val="3D6720FF"/>
    <w:rsid w:val="3ED273FD"/>
    <w:rsid w:val="3F0D59B5"/>
    <w:rsid w:val="3F8943D9"/>
    <w:rsid w:val="400C68D5"/>
    <w:rsid w:val="410623AC"/>
    <w:rsid w:val="4195322A"/>
    <w:rsid w:val="44923964"/>
    <w:rsid w:val="468444A0"/>
    <w:rsid w:val="46DA462F"/>
    <w:rsid w:val="47771C9E"/>
    <w:rsid w:val="47911BFE"/>
    <w:rsid w:val="47F32148"/>
    <w:rsid w:val="49B30A5D"/>
    <w:rsid w:val="49D96411"/>
    <w:rsid w:val="4A474A71"/>
    <w:rsid w:val="4BBC07D8"/>
    <w:rsid w:val="4C971AB6"/>
    <w:rsid w:val="4CBA7B17"/>
    <w:rsid w:val="4F8A02E9"/>
    <w:rsid w:val="4FD34422"/>
    <w:rsid w:val="51D275B4"/>
    <w:rsid w:val="5330286D"/>
    <w:rsid w:val="53E359D0"/>
    <w:rsid w:val="54761300"/>
    <w:rsid w:val="55717AA9"/>
    <w:rsid w:val="570135EE"/>
    <w:rsid w:val="57A047BD"/>
    <w:rsid w:val="58E01FBF"/>
    <w:rsid w:val="5B1D0885"/>
    <w:rsid w:val="5B6C7190"/>
    <w:rsid w:val="5C995B2D"/>
    <w:rsid w:val="5CB32755"/>
    <w:rsid w:val="5D5C4B9B"/>
    <w:rsid w:val="5DAB1CBC"/>
    <w:rsid w:val="5DDC375B"/>
    <w:rsid w:val="5ECE6E70"/>
    <w:rsid w:val="5F024180"/>
    <w:rsid w:val="612C055E"/>
    <w:rsid w:val="641C5F47"/>
    <w:rsid w:val="64D947C0"/>
    <w:rsid w:val="668B02AB"/>
    <w:rsid w:val="670818F0"/>
    <w:rsid w:val="6784366C"/>
    <w:rsid w:val="67CE5085"/>
    <w:rsid w:val="6B2F7D93"/>
    <w:rsid w:val="6B5D4AE2"/>
    <w:rsid w:val="6BD06690"/>
    <w:rsid w:val="6C9A2FEA"/>
    <w:rsid w:val="6DD16FCE"/>
    <w:rsid w:val="6F48496A"/>
    <w:rsid w:val="6FE05CA8"/>
    <w:rsid w:val="702C5F58"/>
    <w:rsid w:val="71F4246E"/>
    <w:rsid w:val="72B8066E"/>
    <w:rsid w:val="7338355D"/>
    <w:rsid w:val="78EF0B61"/>
    <w:rsid w:val="791E197F"/>
    <w:rsid w:val="7A6E295A"/>
    <w:rsid w:val="7AEA338E"/>
    <w:rsid w:val="7BB50852"/>
    <w:rsid w:val="7CA00A98"/>
    <w:rsid w:val="7DAA52E4"/>
    <w:rsid w:val="7DF44F0B"/>
    <w:rsid w:val="7E38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29"/>
    <w:qFormat/>
    <w:uiPriority w:val="2"/>
    <w:pPr>
      <w:numPr>
        <w:ilvl w:val="0"/>
        <w:numId w:val="1"/>
      </w:numPr>
      <w:spacing w:before="240"/>
      <w:outlineLvl w:val="0"/>
    </w:pPr>
    <w:rPr>
      <w:b/>
    </w:rPr>
  </w:style>
  <w:style w:type="paragraph" w:styleId="3">
    <w:name w:val="heading 2"/>
    <w:basedOn w:val="1"/>
    <w:next w:val="1"/>
    <w:link w:val="30"/>
    <w:qFormat/>
    <w:uiPriority w:val="2"/>
    <w:pPr>
      <w:tabs>
        <w:tab w:val="left" w:pos="567"/>
      </w:tabs>
      <w:spacing w:after="200"/>
      <w:outlineLvl w:val="1"/>
    </w:pPr>
  </w:style>
  <w:style w:type="paragraph" w:styleId="4">
    <w:name w:val="heading 3"/>
    <w:basedOn w:val="1"/>
    <w:next w:val="1"/>
    <w:link w:val="41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5">
    <w:name w:val="heading 4"/>
    <w:basedOn w:val="4"/>
    <w:next w:val="1"/>
    <w:link w:val="43"/>
    <w:qFormat/>
    <w:uiPriority w:val="2"/>
    <w:pPr>
      <w:numPr>
        <w:ilvl w:val="3"/>
      </w:numPr>
      <w:outlineLvl w:val="3"/>
    </w:pPr>
    <w:rPr>
      <w:iCs/>
    </w:rPr>
  </w:style>
  <w:style w:type="paragraph" w:styleId="6">
    <w:name w:val="heading 5"/>
    <w:basedOn w:val="5"/>
    <w:next w:val="1"/>
    <w:link w:val="44"/>
    <w:qFormat/>
    <w:uiPriority w:val="2"/>
    <w:pPr>
      <w:numPr>
        <w:ilvl w:val="4"/>
      </w:numPr>
      <w:outlineLvl w:val="4"/>
    </w:p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caption"/>
    <w:basedOn w:val="1"/>
    <w:next w:val="1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8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9">
    <w:name w:val="endnote text"/>
    <w:basedOn w:val="1"/>
    <w:link w:val="36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0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1">
    <w:name w:val="footer"/>
    <w:basedOn w:val="1"/>
    <w:link w:val="33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2">
    <w:name w:val="header"/>
    <w:basedOn w:val="1"/>
    <w:link w:val="3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3">
    <w:name w:val="Subtitle"/>
    <w:basedOn w:val="1"/>
    <w:next w:val="1"/>
    <w:link w:val="40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4">
    <w:name w:val="footnote text"/>
    <w:basedOn w:val="1"/>
    <w:link w:val="34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6">
    <w:name w:val="Title"/>
    <w:basedOn w:val="1"/>
    <w:next w:val="1"/>
    <w:link w:val="39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7">
    <w:name w:val="annotation subject"/>
    <w:basedOn w:val="8"/>
    <w:next w:val="8"/>
    <w:link w:val="38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rFonts w:ascii="Times New Roman" w:hAnsi="Times New Roman"/>
      <w:b/>
      <w:bCs/>
    </w:rPr>
  </w:style>
  <w:style w:type="character" w:styleId="22">
    <w:name w:val="endnote reference"/>
    <w:basedOn w:val="20"/>
    <w:semiHidden/>
    <w:unhideWhenUsed/>
    <w:qFormat/>
    <w:uiPriority w:val="99"/>
    <w:rPr>
      <w:vertAlign w:val="superscript"/>
    </w:rPr>
  </w:style>
  <w:style w:type="character" w:styleId="23">
    <w:name w:val="FollowedHyperlink"/>
    <w:basedOn w:val="2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20"/>
    <w:qFormat/>
    <w:uiPriority w:val="20"/>
    <w:rPr>
      <w:rFonts w:ascii="Times New Roman" w:hAnsi="Times New Roman"/>
      <w:i/>
      <w:iCs/>
    </w:rPr>
  </w:style>
  <w:style w:type="character" w:styleId="25">
    <w:name w:val="line number"/>
    <w:basedOn w:val="20"/>
    <w:semiHidden/>
    <w:unhideWhenUsed/>
    <w:qFormat/>
    <w:uiPriority w:val="99"/>
  </w:style>
  <w:style w:type="character" w:styleId="26">
    <w:name w:val="Hyperlink"/>
    <w:basedOn w:val="20"/>
    <w:unhideWhenUsed/>
    <w:qFormat/>
    <w:uiPriority w:val="99"/>
    <w:rPr>
      <w:color w:val="0000FF"/>
      <w:u w:val="single"/>
    </w:rPr>
  </w:style>
  <w:style w:type="character" w:styleId="27">
    <w:name w:val="annotation reference"/>
    <w:basedOn w:val="20"/>
    <w:semiHidden/>
    <w:unhideWhenUsed/>
    <w:qFormat/>
    <w:uiPriority w:val="99"/>
    <w:rPr>
      <w:sz w:val="16"/>
      <w:szCs w:val="16"/>
    </w:rPr>
  </w:style>
  <w:style w:type="character" w:styleId="28">
    <w:name w:val="footnote reference"/>
    <w:basedOn w:val="20"/>
    <w:semiHidden/>
    <w:unhideWhenUsed/>
    <w:qFormat/>
    <w:uiPriority w:val="99"/>
    <w:rPr>
      <w:vertAlign w:val="superscript"/>
    </w:rPr>
  </w:style>
  <w:style w:type="character" w:customStyle="1" w:styleId="29">
    <w:name w:val="标题 1 字符"/>
    <w:basedOn w:val="20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0">
    <w:name w:val="标题 2 字符"/>
    <w:basedOn w:val="20"/>
    <w:link w:val="3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paragraph" w:styleId="31">
    <w:name w:val="List Paragraph"/>
    <w:basedOn w:val="1"/>
    <w:qFormat/>
    <w:uiPriority w:val="3"/>
    <w:pPr>
      <w:numPr>
        <w:ilvl w:val="0"/>
        <w:numId w:val="2"/>
      </w:numPr>
      <w:ind w:left="1434" w:hanging="357"/>
      <w:contextualSpacing/>
    </w:pPr>
    <w:rPr>
      <w:rFonts w:eastAsia="Cambria" w:cs="Times New Roman"/>
      <w:szCs w:val="24"/>
    </w:rPr>
  </w:style>
  <w:style w:type="character" w:customStyle="1" w:styleId="32">
    <w:name w:val="页眉 字符"/>
    <w:basedOn w:val="20"/>
    <w:link w:val="12"/>
    <w:qFormat/>
    <w:uiPriority w:val="99"/>
    <w:rPr>
      <w:rFonts w:ascii="Times New Roman" w:hAnsi="Times New Roman"/>
      <w:b/>
      <w:sz w:val="24"/>
    </w:rPr>
  </w:style>
  <w:style w:type="character" w:customStyle="1" w:styleId="33">
    <w:name w:val="页脚 字符"/>
    <w:basedOn w:val="20"/>
    <w:link w:val="11"/>
    <w:qFormat/>
    <w:uiPriority w:val="99"/>
  </w:style>
  <w:style w:type="character" w:customStyle="1" w:styleId="34">
    <w:name w:val="脚注文本 字符"/>
    <w:basedOn w:val="20"/>
    <w:link w:val="14"/>
    <w:semiHidden/>
    <w:qFormat/>
    <w:uiPriority w:val="99"/>
    <w:rPr>
      <w:sz w:val="20"/>
      <w:szCs w:val="20"/>
    </w:rPr>
  </w:style>
  <w:style w:type="character" w:customStyle="1" w:styleId="35">
    <w:name w:val="批注框文本 字符"/>
    <w:basedOn w:val="20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尾注文本 字符"/>
    <w:basedOn w:val="20"/>
    <w:link w:val="9"/>
    <w:semiHidden/>
    <w:qFormat/>
    <w:uiPriority w:val="99"/>
    <w:rPr>
      <w:sz w:val="20"/>
      <w:szCs w:val="20"/>
    </w:rPr>
  </w:style>
  <w:style w:type="character" w:customStyle="1" w:styleId="37">
    <w:name w:val="批注文字 字符"/>
    <w:basedOn w:val="20"/>
    <w:link w:val="8"/>
    <w:semiHidden/>
    <w:qFormat/>
    <w:uiPriority w:val="99"/>
    <w:rPr>
      <w:sz w:val="20"/>
      <w:szCs w:val="20"/>
    </w:rPr>
  </w:style>
  <w:style w:type="character" w:customStyle="1" w:styleId="38">
    <w:name w:val="批注主题 字符"/>
    <w:basedOn w:val="37"/>
    <w:link w:val="17"/>
    <w:semiHidden/>
    <w:qFormat/>
    <w:uiPriority w:val="99"/>
    <w:rPr>
      <w:b/>
      <w:bCs/>
      <w:sz w:val="20"/>
      <w:szCs w:val="20"/>
    </w:rPr>
  </w:style>
  <w:style w:type="character" w:customStyle="1" w:styleId="39">
    <w:name w:val="标题 字符"/>
    <w:basedOn w:val="20"/>
    <w:link w:val="16"/>
    <w:qFormat/>
    <w:uiPriority w:val="0"/>
    <w:rPr>
      <w:rFonts w:ascii="Times New Roman" w:hAnsi="Times New Roman" w:cs="Times New Roman"/>
      <w:b/>
      <w:sz w:val="32"/>
      <w:szCs w:val="32"/>
    </w:rPr>
  </w:style>
  <w:style w:type="character" w:customStyle="1" w:styleId="40">
    <w:name w:val="副标题 字符"/>
    <w:basedOn w:val="20"/>
    <w:link w:val="13"/>
    <w:qFormat/>
    <w:uiPriority w:val="99"/>
    <w:rPr>
      <w:rFonts w:ascii="Times New Roman" w:hAnsi="Times New Roman" w:cs="Times New Roman"/>
      <w:b/>
      <w:sz w:val="24"/>
      <w:szCs w:val="24"/>
    </w:rPr>
  </w:style>
  <w:style w:type="character" w:customStyle="1" w:styleId="41">
    <w:name w:val="标题 3 字符"/>
    <w:basedOn w:val="20"/>
    <w:link w:val="4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paragraph" w:styleId="42">
    <w:name w:val="No Spacing"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43">
    <w:name w:val="标题 4 字符"/>
    <w:basedOn w:val="20"/>
    <w:link w:val="5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4">
    <w:name w:val="标题 5 字符"/>
    <w:basedOn w:val="20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customStyle="1" w:styleId="45">
    <w:name w:val="Author List"/>
    <w:basedOn w:val="13"/>
    <w:next w:val="1"/>
    <w:qFormat/>
    <w:uiPriority w:val="1"/>
  </w:style>
  <w:style w:type="character" w:customStyle="1" w:styleId="46">
    <w:name w:val="不明显强调1"/>
    <w:basedOn w:val="20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7">
    <w:name w:val="明显强调1"/>
    <w:basedOn w:val="20"/>
    <w:unhideWhenUsed/>
    <w:qFormat/>
    <w:uiPriority w:val="21"/>
    <w:rPr>
      <w:rFonts w:ascii="Times New Roman" w:hAnsi="Times New Roman"/>
      <w:i/>
      <w:iCs/>
      <w:color w:val="auto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0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明显参考1"/>
    <w:basedOn w:val="20"/>
    <w:qFormat/>
    <w:uiPriority w:val="32"/>
    <w:rPr>
      <w:b/>
      <w:bCs/>
      <w:smallCaps/>
      <w:color w:val="auto"/>
      <w:spacing w:val="5"/>
    </w:rPr>
  </w:style>
  <w:style w:type="character" w:customStyle="1" w:styleId="51">
    <w:name w:val="书籍标题1"/>
    <w:basedOn w:val="20"/>
    <w:qFormat/>
    <w:uiPriority w:val="33"/>
    <w:rPr>
      <w:rFonts w:ascii="Times New Roman" w:hAnsi="Times New Roman"/>
      <w:b/>
      <w:bCs/>
      <w:i/>
      <w:iCs/>
      <w:spacing w:val="5"/>
    </w:rPr>
  </w:style>
  <w:style w:type="paragraph" w:customStyle="1" w:styleId="52">
    <w:name w:val="修订1"/>
    <w:hidden/>
    <w:semiHidden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53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styleId="54">
    <w:name w:val="Placeholder Text"/>
    <w:basedOn w:val="20"/>
    <w:semiHidden/>
    <w:qFormat/>
    <w:uiPriority w:val="99"/>
    <w:rPr>
      <w:color w:val="666666"/>
    </w:rPr>
  </w:style>
  <w:style w:type="character" w:customStyle="1" w:styleId="55">
    <w:name w:val="mord"/>
    <w:basedOn w:val="20"/>
    <w:qFormat/>
    <w:uiPriority w:val="0"/>
  </w:style>
  <w:style w:type="paragraph" w:customStyle="1" w:styleId="56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table" w:customStyle="1" w:styleId="57">
    <w:name w:val="网格型3"/>
    <w:basedOn w:val="18"/>
    <w:qFormat/>
    <w:uiPriority w:val="59"/>
    <w:rPr>
      <w:rFonts w:ascii="Cambria" w:hAnsi="Cambria" w:eastAsia="MS Mincho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8">
    <w:name w:val="Bibliography"/>
    <w:basedOn w:val="1"/>
    <w:next w:val="1"/>
    <w:unhideWhenUsed/>
    <w:qFormat/>
    <w:uiPriority w:val="37"/>
    <w:pPr>
      <w:ind w:left="720" w:hanging="720"/>
    </w:pPr>
  </w:style>
  <w:style w:type="paragraph" w:customStyle="1" w:styleId="59">
    <w:name w:val="LetPub_3.2_TextIndent"/>
    <w:basedOn w:val="1"/>
    <w:link w:val="60"/>
    <w:qFormat/>
    <w:uiPriority w:val="0"/>
    <w:pPr>
      <w:widowControl w:val="0"/>
      <w:snapToGrid w:val="0"/>
      <w:spacing w:before="0" w:after="0" w:line="480" w:lineRule="auto"/>
      <w:ind w:firstLine="480" w:firstLineChars="200"/>
      <w:contextualSpacing/>
      <w:jc w:val="both"/>
    </w:pPr>
    <w:rPr>
      <w:rFonts w:cs="Times New Roman"/>
      <w:szCs w:val="24"/>
      <w:lang w:eastAsia="zh-CN"/>
    </w:rPr>
  </w:style>
  <w:style w:type="character" w:customStyle="1" w:styleId="60">
    <w:name w:val="LetPub_3.2_TextIndent Char"/>
    <w:basedOn w:val="20"/>
    <w:link w:val="59"/>
    <w:qFormat/>
    <w:uiPriority w:val="0"/>
    <w:rPr>
      <w:rFonts w:eastAsiaTheme="minorEastAsia"/>
      <w:sz w:val="24"/>
      <w:szCs w:val="24"/>
    </w:rPr>
  </w:style>
  <w:style w:type="paragraph" w:customStyle="1" w:styleId="61">
    <w:name w:val="MDPI_5.1_figure_caption"/>
    <w:qFormat/>
    <w:uiPriority w:val="0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character" w:customStyle="1" w:styleId="62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" Type="http://schemas.openxmlformats.org/officeDocument/2006/relationships/styles" Target="styles.xml"/><Relationship Id="rId26" Type="http://schemas.openxmlformats.org/officeDocument/2006/relationships/header" Target="header2.xml"/><Relationship Id="rId27" Type="http://schemas.openxmlformats.org/officeDocument/2006/relationships/footer" Target="footer1.xm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frontiers_template.dotx</Template>
  <Pages>31</Pages>
  <Words>1597</Words>
  <Characters>10675</Characters>
  <Lines>4546</Lines>
  <Paragraphs>3283</Paragraphs>
  <TotalTime>3</TotalTime>
  <ScaleCrop>false</ScaleCrop>
  <LinksUpToDate>false</LinksUpToDate>
  <CharactersWithSpaces>12163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2026-04-08T10:24:00Z</dcterms:created>
  <dc:creator/>
  <cp:keywords/>
  <cp:lastModifiedBy/>
  <cp:lastPrinted>2026-04-14T00:45:00Z</cp:lastPrinted>
  <dcterms:modified xsi:type="dcterms:W3CDTF">2026-08-12T13:22:16Z</dcterms:modified>
  <dc:subject>Supplementary material</dc:subject>
  <dc:title>Supplementary Material: Figure S1 and Tables S1–S8</dc:title>
  <cp:revision>495</cp:revision>
  <dc:description>Combined supplementary figure and tables for journal submission.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eyJoZGlkIjoiYmQxMGNmZTFjYzI0YzM2MjcyODVlZDdkZTU5ZjhiNDMiLCJ1c2VySWQiOiIyMDQ1NDIzNTUifQ==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FFF051C949214B6286AA94E1DD38BEF5_13</vt:lpwstr>
  </property>
  <property fmtid="{D5CDD505-2E9C-101B-9397-08002B2CF9AE}" pid="5" name="ZOTERO_PREF_1">
    <vt:lpwstr>&lt;data data-version="3" zotero-version="9.0.6"&gt;&lt;session id="IzZ18pUK"/&gt;&lt;style id="http://www.zotero.org/styles/frontiers-in-plant-science" hasBibliography="1" bibliographyStyleHasBeenSet="1"/&gt;&lt;prefs&gt;&lt;pref name="fieldType" value="Field"/&gt;&lt;/prefs&gt;&lt;/data&gt;</vt:lpwstr>
  </property>
</Properties>
</file>