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i w:val="0"/>
          <w:color w:val="1F4E79"/>
          <w:sz w:val="28"/>
        </w:rPr>
        <w:t>Additional file 1</w:t>
      </w:r>
    </w:p>
    <w:p>
      <w:pPr>
        <w:jc w:val="center"/>
      </w:pPr>
      <w:r>
        <w:rPr>
          <w:rFonts w:ascii="Times New Roman" w:hAnsi="Times New Roman" w:eastAsia="Times New Roman" w:cs="Times New Roman"/>
          <w:b/>
          <w:i w:val="0"/>
          <w:color w:val="000000"/>
          <w:sz w:val="22"/>
        </w:rPr>
        <w:t>Development and Cross-Database Evaluation of 6-Hour Landmark Prediction Models for a Subsequent Packed Red Blood Cell Transfusion Record in Adult Trauma ICU Patients</w:t>
      </w:r>
    </w:p>
    <w:p>
      <w:pPr>
        <w:jc w:val="center"/>
      </w:pPr>
      <w:r>
        <w:rPr>
          <w:rFonts w:ascii="Times New Roman" w:hAnsi="Times New Roman" w:eastAsia="Times New Roman" w:cs="Times New Roman"/>
          <w:b w:val="0"/>
          <w:i/>
          <w:color w:val="000000"/>
          <w:sz w:val="20"/>
        </w:rPr>
        <w:t>Supplementary methods, tables, and figures</w:t>
      </w:r>
    </w:p>
    <w:p>
      <w:pPr>
        <w:pStyle w:val="Heading1"/>
        <w:pageBreakBefore w:val="0"/>
      </w:pPr>
      <w:r>
        <w:t>Supplementary Methods S1. Real-time landmark and pRBC documentation contract</w:t>
      </w:r>
    </w:p>
    <w:p>
      <w:pPr/>
      <w:r>
        <w:rPr>
          <w:rFonts w:ascii="Times New Roman" w:hAnsi="Times New Roman" w:eastAsia="Times New Roman" w:cs="Times New Roman"/>
          <w:b w:val="0"/>
          <w:i w:val="0"/>
          <w:color w:val="000000"/>
          <w:sz w:val="20"/>
        </w:rPr>
        <w:t>Primary eligibility required no qualifying early pRBC record available by six hours. In MIMIC, starttime defined event occurrence and storetime no later than six hours defined whether an early event was available at the landmark; storetime did not time the subsequent outcome. In eICU, intakeoutputOffset defined event occurrence and intakeoutputEntryOffset no later than 360 minutes defined early-record availability. The outcome remained a subsequent qualifying pRBC event after six hours through min(24 hours, ICU exit). Because eICU lacks independent infusion end time, administration status, and an episode identifier, the outcome cannot confirm a new transfusion episode. Database-specific asymmetry was not collapsed into a biological no-transfusion claim.</w:t>
      </w:r>
    </w:p>
    <w:p>
      <w:pPr>
        <w:pStyle w:val="Heading1"/>
        <w:pageBreakBefore w:val="0"/>
      </w:pPr>
      <w:r>
        <w:t>Supplementary Methods S2. Predictor definitions and preprocessing</w:t>
      </w:r>
    </w:p>
    <w:p>
      <w:pPr/>
      <w:r>
        <w:rPr>
          <w:rFonts w:ascii="Times New Roman" w:hAnsi="Times New Roman" w:eastAsia="Times New Roman" w:cs="Times New Roman"/>
          <w:b w:val="0"/>
          <w:i w:val="0"/>
          <w:color w:val="000000"/>
          <w:sz w:val="20"/>
        </w:rPr>
        <w:t>The 12 shared predictors, plausible-value filters, window summaries, missingness indicators, training-fold imputation, SVM training-fold-only standardization, constant/duplicate removal, and logistic QR full-rank filter were applied according to the locked model specification. Preprocessing parameters were learned only in the corresponding training data. MIMIC laboratory and vital observations required clinical measurement time in the six-hour window and nonmissing storetime no later than the landmark. In eICU, laboratory measurement time was labResultOffset, and strict availability required max(labResultOffset, labResultRevisedOffset) no later than 360 minutes, substituting labResultOffset when labResultRevisedOffset was missing. eICU vital predictors used observationOffset; no separate vital entry or store timestamp was available.</w:t>
      </w:r>
    </w:p>
    <w:p>
      <w:pPr>
        <w:pStyle w:val="Heading1"/>
        <w:pageBreakBefore w:val="0"/>
      </w:pPr>
      <w:r>
        <w:t>Supplementary Methods S3. Model and calibration specifications</w:t>
      </w:r>
    </w:p>
    <w:p>
      <w:pPr/>
      <w:r>
        <w:rPr>
          <w:rFonts w:ascii="Times New Roman" w:hAnsi="Times New Roman" w:eastAsia="Times New Roman" w:cs="Times New Roman"/>
          <w:b w:val="0"/>
          <w:i w:val="0"/>
          <w:color w:val="000000"/>
          <w:sz w:val="20"/>
        </w:rPr>
        <w:t>The five primary algorithms and all sensitivity models used fixed reproducible settings recorded in Supplementary Table S15. Two-parameter logistic recalibration was learned from MIMIC development out-of-fold predictions and applied unchanged to MIMIC test and eICU.</w:t>
      </w:r>
    </w:p>
    <w:p>
      <w:pPr>
        <w:pStyle w:val="Heading1"/>
        <w:pageBreakBefore w:val="0"/>
      </w:pPr>
      <w:r>
        <w:t>Supplementary Methods S4. Bootstrap and model comparisons</w:t>
      </w:r>
    </w:p>
    <w:p>
      <w:pPr/>
      <w:r>
        <w:rPr>
          <w:rFonts w:ascii="Times New Roman" w:hAnsi="Times New Roman" w:eastAsia="Times New Roman" w:cs="Times New Roman"/>
          <w:b w:val="0"/>
          <w:i w:val="0"/>
          <w:color w:val="000000"/>
          <w:sz w:val="20"/>
        </w:rPr>
        <w:t>MIMIC uncertainty used individual-stay resampling and eICU uncertainty used hospital-cluster resampling. Primary performance, extended sensitivity, and Fine-Gray intervals used 1,000 resamples. Main candidate-versus-reference AUROC P values used 10,000 paired resamples and Holm correction separately by dataset. Washout differences used 2,000 resamples.</w:t>
      </w:r>
    </w:p>
    <w:p>
      <w:pPr>
        <w:pStyle w:val="Heading1"/>
        <w:pageBreakBefore w:val="0"/>
      </w:pPr>
      <w:r>
        <w:t>Supplementary Methods S5. Feature and information-state sensitivities</w:t>
      </w:r>
    </w:p>
    <w:p>
      <w:pPr/>
      <w:r>
        <w:rPr>
          <w:rFonts w:ascii="Times New Roman" w:hAnsi="Times New Roman" w:eastAsia="Times New Roman" w:cs="Times New Roman"/>
          <w:b w:val="0"/>
          <w:i w:val="0"/>
          <w:color w:val="000000"/>
          <w:sz w:val="20"/>
        </w:rPr>
        <w:t>Values-only, missingness-only, measurement-count-only, first-value, last-value, early-hemoglobin information-state, and strict measured-hemoglobin comparator analyses were used to separate physiological values from explicit or embedded measurement-workflow information. Similar values-only performance was not interpreted as absence of missingness effects because measurement availability and value summaries can retain workflow information.</w:t>
      </w:r>
    </w:p>
    <w:p>
      <w:pPr>
        <w:pStyle w:val="Heading1"/>
        <w:pageBreakBefore w:val="0"/>
      </w:pPr>
      <w:r>
        <w:t>Supplementary Methods S6. Competing events and operating points</w:t>
      </w:r>
    </w:p>
    <w:p>
      <w:pPr/>
      <w:r>
        <w:rPr>
          <w:rFonts w:ascii="Times New Roman" w:hAnsi="Times New Roman" w:eastAsia="Times New Roman" w:cs="Times New Roman"/>
          <w:b w:val="0"/>
          <w:i w:val="0"/>
          <w:color w:val="000000"/>
          <w:sz w:val="20"/>
        </w:rPr>
        <w:t>Aalen-Johansen curves used fixed development score tertiles. Fine-Gray models summarized score association per development-standardized logit score. eICU inference used hospital-cluster bootstrap confidence intervals only; ordinary model-based crr P values were not used. Three review/reassessment operating thresholds were selected using MIMIC development out-of-fold probabilities only and were applied unchanged elsewhere; none was interpreted as a transfusion trigger.</w:t>
      </w:r>
    </w:p>
    <w:p>
      <w:pPr>
        <w:pStyle w:val="Heading1"/>
        <w:pageBreakBefore w:val="0"/>
      </w:pPr>
      <w:r>
        <w:t>Supplementary Methods S7. Alternative populations and estimands</w:t>
      </w:r>
    </w:p>
    <w:p>
      <w:pPr/>
      <w:r>
        <w:rPr>
          <w:rFonts w:ascii="Times New Roman" w:hAnsi="Times New Roman" w:eastAsia="Times New Roman" w:cs="Times New Roman"/>
          <w:b w:val="0"/>
          <w:i w:val="0"/>
          <w:color w:val="000000"/>
          <w:sz w:val="20"/>
        </w:rPr>
        <w:t>Complete follow-up, expanded-source, FinishedRunning, documentation-by-horizon, later anchor-year-group proxy, full-landmark operational, retrospective event-time eligibility, and one- or two-hour washout analyses were treated according to their specific conditioning sets and estimands.</w:t>
      </w:r>
    </w:p>
    <w:p>
      <w:pPr>
        <w:pStyle w:val="Heading1"/>
        <w:pageBreakBefore w:val="0"/>
      </w:pPr>
      <w:r>
        <w:t>Supplementary Methods S8. Reproducibility and governance</w:t>
      </w:r>
    </w:p>
    <w:p>
      <w:pPr/>
      <w:r>
        <w:rPr>
          <w:rFonts w:ascii="Times New Roman" w:hAnsi="Times New Roman" w:eastAsia="Times New Roman" w:cs="Times New Roman"/>
          <w:b w:val="0"/>
          <w:i w:val="0"/>
          <w:color w:val="000000"/>
          <w:sz w:val="20"/>
        </w:rPr>
        <w:t>All formal analysis directories contain completion markers, session information, content-hash audits, model specifications, prediction files, and aggregate display source data. Additional file 2 includes a privacy-audited executable reference weighted-XGBoost object, its training-derived preprocessing and recalibration parameters, an R scoring function, a predictor contract with units and plausible ranges, a synthetic example, and a locked numerical equivalence test. Comparator models remain fully specified in Supplementary Table S15; fitted comparator objects were not redistributed because some retain row-level training-derived structures. Restricted database records, row-level predictions, and patient-level SHAP outputs are not redistributed.</w:t>
      </w:r>
    </w:p>
    <w:p>
      <w:pPr>
        <w:sectPr>
          <w:headerReference w:type="default" r:id="rId9"/>
          <w:footerReference w:type="default" r:id="rId10"/>
          <w:pgSz w:w="12240" w:h="15840"/>
          <w:pgMar w:top="1440" w:right="1440" w:bottom="1440" w:left="1440" w:header="648" w:footer="648" w:gutter="0"/>
          <w:cols w:space="720"/>
          <w:docGrid w:linePitch="360"/>
        </w:sectPr>
      </w:pPr>
    </w:p>
    <w:p>
      <w:pPr>
        <w:pStyle w:val="Heading1"/>
        <w:pageBreakBefore w:val="0"/>
      </w:pPr>
      <w:r>
        <w:t>Supplementary Tables</w:t>
      </w:r>
    </w:p>
    <w:p>
      <w:pPr>
        <w:pStyle w:val="Heading2"/>
        <w:pageBreakBefore w:val="0"/>
      </w:pPr>
      <w:r>
        <w:t>Supplementary Table S1. Complete five-model performance</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1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0.573</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1.028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0.883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1.194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P=0.105; Holm P=0.209</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0.535</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1.019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0.880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1.180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P=0.307; Holm P=0.307</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0.786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0.859</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bl>
    <w:p>
      <w:pPr>
        <w:keepNext/>
        <w:pageBreakBefore/>
      </w:pPr>
      <w:r>
        <w:rPr>
          <w:rFonts w:ascii="Times New Roman" w:hAnsi="Times New Roman" w:eastAsia="Times New Roman" w:cs="Times New Roman"/>
          <w:b/>
          <w:i w:val="0"/>
          <w:color w:val="000000"/>
          <w:sz w:val="17"/>
        </w:rPr>
        <w:t>Supplementary Table S1 (continued; display block 2 of 6)</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2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0.378</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-0.530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0.239</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0.902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1.074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P=0.032; Holm P=0.095</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0.665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0.769</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0.063</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1.333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0.386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2.432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1.463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1.859</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-0.079</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P=&lt;0.001; Holm P=&lt;0.001</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0.214</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0.355</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bl>
    <w:p>
      <w:pPr>
        <w:keepNext/>
        <w:pageBreakBefore/>
      </w:pPr>
      <w:r>
        <w:rPr>
          <w:rFonts w:ascii="Times New Roman" w:hAnsi="Times New Roman" w:eastAsia="Times New Roman" w:cs="Times New Roman"/>
          <w:b/>
          <w:i w:val="0"/>
          <w:color w:val="000000"/>
          <w:sz w:val="17"/>
        </w:rPr>
        <w:t>Supplementary Table S1 (continued; display block 3 of 6)</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3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-0.384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0.351</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0.958</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1.112</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individual stay</w:t>
            </w:r>
          </w:p>
        </w:tc>
      </w:tr>
    </w:tbl>
    <w:p>
      <w:pPr>
        <w:keepNext/>
        <w:pageBreakBefore/>
      </w:pPr>
      <w:r>
        <w:rPr>
          <w:rFonts w:ascii="Times New Roman" w:hAnsi="Times New Roman" w:eastAsia="Times New Roman" w:cs="Times New Roman"/>
          <w:b/>
          <w:i w:val="0"/>
          <w:color w:val="000000"/>
          <w:sz w:val="17"/>
        </w:rPr>
        <w:t>Supplementary Table S1 (continued; display block 4 of 6)</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4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0.871</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-0.406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0.925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1.070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Elastic net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P=0.819; Holm P=0.819</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0.271</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-0.414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0.118</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0.921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1.077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Logistic regression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P=0.151; Holm P=0.302</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0.806</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0.862</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bl>
    <w:p>
      <w:pPr>
        <w:keepNext/>
        <w:pageBreakBefore/>
      </w:pPr>
      <w:r>
        <w:rPr>
          <w:rFonts w:ascii="Times New Roman" w:hAnsi="Times New Roman" w:eastAsia="Times New Roman" w:cs="Times New Roman"/>
          <w:b/>
          <w:i w:val="0"/>
          <w:color w:val="000000"/>
          <w:sz w:val="17"/>
        </w:rPr>
        <w:t>Supplementary Table S1 (continued; display block 5 of 6)</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5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0.041</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-0.743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0.949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Random forest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P=0.045; Holm P=0.134</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0.677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0.188</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-0.276</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-1.407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1.697</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1.065</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0.652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1.803</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SVM-RBF</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 difference vs 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-0.133</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10,000 paired bootstrap replicates; raw P=&lt;0.001; Holm P=&lt;0.001</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AUROC</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0.873</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AUPRC</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0.170</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0.293</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bl>
    <w:p>
      <w:pPr>
        <w:keepNext/>
        <w:pageBreakBefore/>
      </w:pPr>
      <w:r>
        <w:rPr>
          <w:rFonts w:ascii="Times New Roman" w:hAnsi="Times New Roman" w:eastAsia="Times New Roman" w:cs="Times New Roman"/>
          <w:b/>
          <w:i w:val="0"/>
          <w:color w:val="000000"/>
          <w:sz w:val="17"/>
        </w:rPr>
        <w:t>Supplementary Table S1 (continued; display block 6 of 6)</w:t>
      </w:r>
    </w:p>
    <w:p>
      <w:pPr>
        <w:keepNext/>
      </w:pPr>
      <w:r>
        <w:rPr>
          <w:rFonts w:ascii="Times New Roman" w:hAnsi="Times New Roman" w:eastAsia="Times New Roman" w:cs="Times New Roman"/>
          <w:b w:val="0"/>
          <w:i/>
          <w:color w:val="000000"/>
          <w:sz w:val="14"/>
        </w:rPr>
        <w:t>Source: Supplementary_Table_S1_complete_five_model_performance.csv.</w:t>
      </w:r>
      <w:r>
        <w:rPr>
          <w:rFonts w:ascii="Times New Roman" w:hAnsi="Times New Roman" w:eastAsia="Times New Roman" w:cs="Times New Roman"/>
          <w:b w:val="0"/>
          <w:i/>
          <w:color w:val="000000"/>
          <w:sz w:val="14"/>
        </w:rPr>
        <w:t xml:space="preserve"> Display block 6 of 6;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11"/>
        <w:gridCol w:w="1393"/>
        <w:gridCol w:w="1393"/>
        <w:gridCol w:w="1393"/>
        <w:gridCol w:w="1393"/>
        <w:gridCol w:w="1393"/>
        <w:gridCol w:w="1393"/>
        <w:gridCol w:w="1393"/>
        <w:gridCol w:w="1398"/>
      </w:tblGrid>
      <w:tr>
        <w:trPr>
          <w:cantSplit/>
          <w:tblHeader w:val="true"/>
        </w:trPr>
        <w:tc>
          <w:tcPr>
            <w:tcW w:type="dxa" w:w="181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Probability scale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Metric</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39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39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details</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Brier score</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intercept</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-0.139</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-0.507</w:t>
            </w:r>
          </w:p>
        </w:tc>
        <w:tc>
          <w:tcPr>
            <w:tcW w:type="dxa" w:w="139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39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r>
        <w:trPr>
          <w:cantSplit/>
        </w:trPr>
        <w:tc>
          <w:tcPr>
            <w:tcW w:type="dxa" w:w="181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Reference weighted XGBoost</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Calibrated</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Calibration slope</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1.045</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0.950</w:t>
            </w:r>
          </w:p>
        </w:tc>
        <w:tc>
          <w:tcPr>
            <w:tcW w:type="dxa" w:w="139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1.166</w:t>
            </w:r>
          </w:p>
        </w:tc>
        <w:tc>
          <w:tcPr>
            <w:tcW w:type="dxa" w:w="139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bootstrap replicates; hospital cluster</w:t>
            </w:r>
          </w:p>
        </w:tc>
      </w:tr>
    </w:tbl>
    <w:p>
      <w:pPr>
        <w:sectPr>
          <w:headerReference w:type="default" r:id="rId11"/>
          <w:footerReference w:type="default" r:id="rId12"/>
          <w:pgSz w:w="15840" w:h="12240" w:orient="landscape"/>
          <w:pgMar w:top="1080" w:right="1440" w:bottom="1080" w:left="1440" w:header="648" w:footer="648" w:gutter="0"/>
          <w:cols w:space="720"/>
          <w:docGrid w:linePitch="360"/>
        </w:sectPr>
      </w:pPr>
    </w:p>
    <w:p>
      <w:pPr>
        <w:pStyle w:val="Heading2"/>
        <w:pageBreakBefore w:val="0"/>
      </w:pPr>
      <w:r>
        <w:t>Supplementary Table S2. MIMIC development out-of-fold discrimination</w:t>
      </w:r>
    </w:p>
    <w:p>
      <w:pPr>
        <w:keepNext/>
      </w:pPr>
      <w:r>
        <w:rPr>
          <w:rFonts w:ascii="Times New Roman" w:hAnsi="Times New Roman" w:eastAsia="Times New Roman" w:cs="Times New Roman"/>
          <w:b w:val="0"/>
          <w:i/>
          <w:color w:val="000000"/>
          <w:sz w:val="14"/>
        </w:rPr>
        <w:t>Source: Supplementary_Table_S2_development_OOF_discrimination.csv.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04"/>
        <w:gridCol w:w="1604"/>
        <w:gridCol w:w="1604"/>
        <w:gridCol w:w="1604"/>
        <w:gridCol w:w="1604"/>
        <w:gridCol w:w="1234"/>
        <w:gridCol w:w="1234"/>
        <w:gridCol w:w="1234"/>
        <w:gridCol w:w="1238"/>
      </w:tblGrid>
      <w:tr>
        <w:trPr>
          <w:cantSplit/>
          <w:tblHeader w:val="true"/>
        </w:trPr>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Reporting scope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5-fold OOF</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discrimination only</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0.289</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5-fold OOF</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discrimination only</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5-fold OOF</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discrimination only</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0.290</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5-fold OOF</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discrimination only</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0.855</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0.300</w:t>
            </w:r>
          </w:p>
        </w:tc>
      </w:tr>
      <w:tr>
        <w:trPr>
          <w:cantSplit/>
        </w:trPr>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5-fold OOF</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SVM-RBF</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discrimination only</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0.710</w:t>
            </w:r>
          </w:p>
        </w:tc>
        <w:tc>
          <w:tcPr>
            <w:tcW w:type="dxa" w:w="12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0.195</w:t>
            </w:r>
          </w:p>
        </w:tc>
      </w:tr>
    </w:tbl>
    <w:p>
      <w:pPr>
        <w:sectPr>
          <w:headerReference w:type="default" r:id="rId13"/>
          <w:footerReference w:type="default" r:id="rId14"/>
          <w:pgSz w:w="15840" w:h="12240" w:orient="landscape"/>
          <w:pgMar w:top="1080" w:right="1440" w:bottom="1080" w:left="1440" w:header="648" w:footer="648" w:gutter="0"/>
          <w:cols w:space="720"/>
          <w:docGrid w:linePitch="360"/>
        </w:sectPr>
      </w:pPr>
    </w:p>
    <w:p>
      <w:pPr>
        <w:pStyle w:val="Heading2"/>
        <w:pageBreakBefore w:val="0"/>
      </w:pPr>
      <w:r>
        <w:t>Supplementary Table S3. Post hoc model-form sensitivity</w:t>
      </w:r>
    </w:p>
    <w:p>
      <w:pPr>
        <w:keepNext/>
      </w:pPr>
      <w:r>
        <w:rPr>
          <w:rFonts w:ascii="Times New Roman" w:hAnsi="Times New Roman" w:eastAsia="Times New Roman" w:cs="Times New Roman"/>
          <w:b/>
          <w:i w:val="0"/>
          <w:color w:val="000000"/>
          <w:sz w:val="16"/>
        </w:rPr>
        <w:t>Part 1: Paired differences</w:t>
      </w:r>
    </w:p>
    <w:p>
      <w:pPr>
        <w:keepNext/>
      </w:pPr>
      <w:r>
        <w:rPr>
          <w:rFonts w:ascii="Times New Roman" w:hAnsi="Times New Roman" w:eastAsia="Times New Roman" w:cs="Times New Roman"/>
          <w:b w:val="0"/>
          <w:i/>
          <w:color w:val="000000"/>
          <w:sz w:val="14"/>
        </w:rPr>
        <w:t>Source: Supplementary_Table_S3_model_form_sensitivity__paired_differences.csv.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Comparison</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 vs Reference weighted XGBoost</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2: Performance</w:t>
      </w:r>
    </w:p>
    <w:p>
      <w:pPr>
        <w:keepNext/>
      </w:pPr>
      <w:r>
        <w:rPr>
          <w:rFonts w:ascii="Times New Roman" w:hAnsi="Times New Roman" w:eastAsia="Times New Roman" w:cs="Times New Roman"/>
          <w:b w:val="0"/>
          <w:i/>
          <w:color w:val="000000"/>
          <w:sz w:val="14"/>
        </w:rPr>
        <w:t>Source: Supplementary_Table_S3_model_form_sensitivity__performance.csv.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0.048</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0.048</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0.223</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bl>
    <w:p>
      <w:pPr>
        <w:keepNext/>
      </w:pPr>
      <w:r>
        <w:rPr>
          <w:rFonts w:ascii="Times New Roman" w:hAnsi="Times New Roman" w:eastAsia="Times New Roman" w:cs="Times New Roman"/>
          <w:b/>
          <w:i w:val="0"/>
          <w:color w:val="000000"/>
          <w:sz w:val="17"/>
        </w:rPr>
        <w:t>Supplementary Table S3, Part 2: Performance (continued; display block 2 of 2)</w:t>
      </w:r>
    </w:p>
    <w:p>
      <w:pPr>
        <w:keepNext/>
      </w:pPr>
      <w:r>
        <w:rPr>
          <w:rFonts w:ascii="Times New Roman" w:hAnsi="Times New Roman" w:eastAsia="Times New Roman" w:cs="Times New Roman"/>
          <w:b w:val="0"/>
          <w:i/>
          <w:color w:val="000000"/>
          <w:sz w:val="14"/>
        </w:rPr>
        <w:t>Source: Supplementary_Table_S3_model_form_sensitivity__performance.csv.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Unweighted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0.026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0.973</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Unweighted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0.078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Unweighted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-0.269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Unweighted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-0.218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3-df natural spline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-0.092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3-df natural spline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0.116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1.021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3-df natural spline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-0.436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0.905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3-df natural spline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-0.233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Hemoglobin-only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0.220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1.075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Hemoglobin-only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0.229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1.079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Hemoglobin-only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-0.190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1.011</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Post hoc model-form sensitivity in primary population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Hemoglobin-only logistic</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-0.181</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1.015</w:t>
            </w:r>
          </w:p>
        </w:tc>
      </w:tr>
    </w:tbl>
    <w:p>
      <w:pPr>
        <w:sectPr>
          <w:headerReference w:type="default" r:id="rId15"/>
          <w:footerReference w:type="default" r:id="rId16"/>
          <w:pgSz w:w="15840" w:h="12240" w:orient="landscape"/>
          <w:pgMar w:top="1080" w:right="1440" w:bottom="1080" w:left="1440" w:header="648" w:footer="648" w:gutter="0"/>
          <w:cols w:space="720"/>
          <w:docGrid w:linePitch="360"/>
        </w:sectPr>
      </w:pPr>
    </w:p>
    <w:p>
      <w:pPr>
        <w:pStyle w:val="Heading2"/>
        <w:pageBreakBefore w:val="0"/>
      </w:pPr>
      <w:r>
        <w:t>Supplementary Table S4. Extended feature-form sensitivity</w:t>
      </w:r>
    </w:p>
    <w:p>
      <w:pPr>
        <w:keepNext/>
      </w:pPr>
      <w:r>
        <w:rPr>
          <w:rFonts w:ascii="Times New Roman" w:hAnsi="Times New Roman" w:eastAsia="Times New Roman" w:cs="Times New Roman"/>
          <w:b/>
          <w:i w:val="0"/>
          <w:color w:val="000000"/>
          <w:sz w:val="16"/>
        </w:rPr>
        <w:t>Part 1: Intervals</w:t>
      </w:r>
    </w:p>
    <w:p>
      <w:pPr>
        <w:keepNext/>
      </w:pPr>
      <w:r>
        <w:rPr>
          <w:rFonts w:ascii="Times New Roman" w:hAnsi="Times New Roman" w:eastAsia="Times New Roman" w:cs="Times New Roman"/>
          <w:b w:val="0"/>
          <w:i/>
          <w:color w:val="000000"/>
          <w:sz w:val="14"/>
        </w:rPr>
        <w:t>Source: Supplementary_Table_S4_extended_feature_form_sensitivity__intervals.csv.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-0.497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1.045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0.953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1.154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-0.527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1.030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0.935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1.142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0.667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0.613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0.706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-1.496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0.075</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0.770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0.563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-0.508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0.351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1.128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-0.621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0.948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0.723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0.045</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-0.676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-1.281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0.762</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0.609</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0.874</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2: Paired differences</w:t>
      </w:r>
    </w:p>
    <w:p>
      <w:pPr>
        <w:keepNext/>
      </w:pPr>
      <w:r>
        <w:rPr>
          <w:rFonts w:ascii="Times New Roman" w:hAnsi="Times New Roman" w:eastAsia="Times New Roman" w:cs="Times New Roman"/>
          <w:b w:val="0"/>
          <w:i/>
          <w:color w:val="000000"/>
          <w:sz w:val="14"/>
        </w:rPr>
        <w:t>Source: Supplementary_Table_S4_extended_feature_form_sensitivity__paired_differences.csv.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Comparison</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 vs Reference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 vs Reference weighted XGBoost</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3: Performance</w:t>
      </w:r>
    </w:p>
    <w:p>
      <w:pPr>
        <w:keepNext/>
      </w:pPr>
      <w:r>
        <w:rPr>
          <w:rFonts w:ascii="Times New Roman" w:hAnsi="Times New Roman" w:eastAsia="Times New Roman" w:cs="Times New Roman"/>
          <w:b w:val="0"/>
          <w:i/>
          <w:color w:val="000000"/>
          <w:sz w:val="14"/>
        </w:rPr>
        <w:t>Source: Supplementary_Table_S4_extended_feature_form_sensitivity__performance.csv.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0.274</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0.230</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0.633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0.667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Extended feature-form sensitivities</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0.693</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0.092</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r>
    </w:tbl>
    <w:p>
      <w:pPr>
        <w:keepNext/>
      </w:pPr>
      <w:r>
        <w:rPr>
          <w:rFonts w:ascii="Times New Roman" w:hAnsi="Times New Roman" w:eastAsia="Times New Roman" w:cs="Times New Roman"/>
          <w:b/>
          <w:i w:val="0"/>
          <w:color w:val="000000"/>
          <w:sz w:val="17"/>
        </w:rPr>
        <w:t>Supplementary Table S4, Part 3: Performance (continued; display block 2 of 2)</w:t>
      </w:r>
    </w:p>
    <w:p>
      <w:pPr>
        <w:keepNext/>
      </w:pPr>
      <w:r>
        <w:rPr>
          <w:rFonts w:ascii="Times New Roman" w:hAnsi="Times New Roman" w:eastAsia="Times New Roman" w:cs="Times New Roman"/>
          <w:b w:val="0"/>
          <w:i/>
          <w:color w:val="000000"/>
          <w:sz w:val="14"/>
        </w:rPr>
        <w:t>Source: Supplementary_Table_S4_extended_feature_form_sensitivity__performance.csv.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-0.051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0.958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-0.139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1.045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Values-only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Values-only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-0.169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1.030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Missingness-only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-0.740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0.708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Missingness-only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-0.742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0.770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First-value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-0.040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0.967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First-value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-0.094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Last-value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-0.132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0.910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Last-value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-0.240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0.948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Measurement-count-only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-0.674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0.733</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Extended feature-form sensitivities</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Measurement-count-only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-0.676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0.762</w:t>
            </w:r>
          </w:p>
        </w:tc>
      </w:tr>
    </w:tbl>
    <w:p>
      <w:pPr>
        <w:sectPr>
          <w:headerReference w:type="default" r:id="rId17"/>
          <w:footerReference w:type="default" r:id="rId18"/>
          <w:pgSz w:w="15840" w:h="12240" w:orient="landscape"/>
          <w:pgMar w:top="1080" w:right="1440" w:bottom="1080" w:left="1440" w:header="648" w:footer="648" w:gutter="0"/>
          <w:cols w:space="720"/>
          <w:docGrid w:linePitch="360"/>
        </w:sectPr>
      </w:pPr>
    </w:p>
    <w:p>
      <w:pPr>
        <w:pStyle w:val="Heading2"/>
        <w:pageBreakBefore w:val="0"/>
      </w:pPr>
      <w:r>
        <w:t>Supplementary Table S5. Missingness and complete-case context</w:t>
      </w:r>
    </w:p>
    <w:p>
      <w:pPr>
        <w:keepNext/>
      </w:pPr>
      <w:r>
        <w:rPr>
          <w:rFonts w:ascii="Times New Roman" w:hAnsi="Times New Roman" w:eastAsia="Times New Roman" w:cs="Times New Roman"/>
          <w:b/>
          <w:i w:val="0"/>
          <w:color w:val="000000"/>
          <w:sz w:val="16"/>
        </w:rPr>
        <w:t>Part 1: Complete case</w:t>
      </w:r>
    </w:p>
    <w:p>
      <w:pPr>
        <w:keepNext/>
      </w:pPr>
      <w:r>
        <w:rPr>
          <w:rFonts w:ascii="Times New Roman" w:hAnsi="Times New Roman" w:eastAsia="Times New Roman" w:cs="Times New Roman"/>
          <w:b w:val="0"/>
          <w:i/>
          <w:color w:val="000000"/>
          <w:sz w:val="14"/>
        </w:rPr>
        <w:t>Source: Supplementary_Table_S5_missingness_and_complete_case_context__complete_case.csv.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07"/>
        <w:gridCol w:w="1775"/>
        <w:gridCol w:w="1775"/>
        <w:gridCol w:w="1775"/>
        <w:gridCol w:w="1775"/>
        <w:gridCol w:w="1775"/>
        <w:gridCol w:w="1778"/>
      </w:tblGrid>
      <w:tr>
        <w:trPr>
          <w:cantSplit/>
          <w:tblHeader w:val="true"/>
        </w:trPr>
        <w:tc>
          <w:tcPr>
            <w:tcW w:type="dxa" w:w="230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77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w:t>
            </w:r>
          </w:p>
        </w:tc>
        <w:tc>
          <w:tcPr>
            <w:tcW w:type="dxa" w:w="177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Events</w:t>
            </w:r>
          </w:p>
        </w:tc>
        <w:tc>
          <w:tcPr>
            <w:tcW w:type="dxa" w:w="177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Complete case n</w:t>
            </w:r>
          </w:p>
        </w:tc>
        <w:tc>
          <w:tcPr>
            <w:tcW w:type="dxa" w:w="177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Complete case events</w:t>
            </w:r>
          </w:p>
        </w:tc>
        <w:tc>
          <w:tcPr>
            <w:tcW w:type="dxa" w:w="177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Complete case fraction</w:t>
            </w:r>
          </w:p>
        </w:tc>
        <w:tc>
          <w:tcPr>
            <w:tcW w:type="dxa" w:w="177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Complete case prevalence</w:t>
            </w:r>
          </w:p>
        </w:tc>
      </w:tr>
      <w:tr>
        <w:trPr>
          <w:cantSplit/>
        </w:trPr>
        <w:tc>
          <w:tcPr>
            <w:tcW w:type="dxa" w:w="230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primary</w:t>
            </w:r>
          </w:p>
        </w:tc>
        <w:tc>
          <w:tcPr>
            <w:tcW w:type="dxa" w:w="177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9,049</w:t>
            </w:r>
          </w:p>
        </w:tc>
        <w:tc>
          <w:tcPr>
            <w:tcW w:type="dxa" w:w="177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532</w:t>
            </w:r>
          </w:p>
        </w:tc>
        <w:tc>
          <w:tcPr>
            <w:tcW w:type="dxa" w:w="177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1,918</w:t>
            </w:r>
          </w:p>
        </w:tc>
        <w:tc>
          <w:tcPr>
            <w:tcW w:type="dxa" w:w="177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204</w:t>
            </w:r>
          </w:p>
        </w:tc>
        <w:tc>
          <w:tcPr>
            <w:tcW w:type="dxa" w:w="177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0.212</w:t>
            </w:r>
          </w:p>
        </w:tc>
        <w:tc>
          <w:tcPr>
            <w:tcW w:type="dxa" w:w="17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0.106</w:t>
            </w:r>
          </w:p>
        </w:tc>
      </w:tr>
      <w:tr>
        <w:trPr>
          <w:cantSplit/>
        </w:trPr>
        <w:tc>
          <w:tcPr>
            <w:tcW w:type="dxa" w:w="230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primary</w:t>
            </w:r>
          </w:p>
        </w:tc>
        <w:tc>
          <w:tcPr>
            <w:tcW w:type="dxa" w:w="177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w:t>
            </w:r>
          </w:p>
        </w:tc>
        <w:tc>
          <w:tcPr>
            <w:tcW w:type="dxa" w:w="177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77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206</w:t>
            </w:r>
          </w:p>
        </w:tc>
        <w:tc>
          <w:tcPr>
            <w:tcW w:type="dxa" w:w="177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28</w:t>
            </w:r>
          </w:p>
        </w:tc>
        <w:tc>
          <w:tcPr>
            <w:tcW w:type="dxa" w:w="177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c>
          <w:tcPr>
            <w:tcW w:type="dxa" w:w="177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0.136</w:t>
            </w:r>
          </w:p>
        </w:tc>
      </w:tr>
    </w:tbl>
    <w:p>
      <w:pPr>
        <w:keepNext/>
      </w:pPr>
      <w:r>
        <w:rPr>
          <w:rFonts w:ascii="Times New Roman" w:hAnsi="Times New Roman" w:eastAsia="Times New Roman" w:cs="Times New Roman"/>
          <w:b/>
          <w:i w:val="0"/>
          <w:color w:val="000000"/>
          <w:sz w:val="16"/>
        </w:rPr>
        <w:t>Part 2: Missingness</w:t>
      </w:r>
    </w:p>
    <w:p>
      <w:pPr>
        <w:keepNext/>
      </w:pPr>
      <w:r>
        <w:rPr>
          <w:rFonts w:ascii="Times New Roman" w:hAnsi="Times New Roman" w:eastAsia="Times New Roman" w:cs="Times New Roman"/>
          <w:b w:val="0"/>
          <w:i/>
          <w:color w:val="000000"/>
          <w:sz w:val="14"/>
        </w:rPr>
        <w:t>Source: Supplementary_Table_S5_missingness_and_complete_case_context__missingness.csv.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3008"/>
        <w:gridCol w:w="3008"/>
        <w:gridCol w:w="2314"/>
        <w:gridCol w:w="2314"/>
        <w:gridCol w:w="2316"/>
      </w:tblGrid>
      <w:tr>
        <w:trPr>
          <w:cantSplit/>
          <w:tblHeader w:val="true"/>
        </w:trPr>
        <w:tc>
          <w:tcPr>
            <w:tcW w:type="dxa" w:w="30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30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Predictor</w:t>
            </w:r>
          </w:p>
        </w:tc>
        <w:tc>
          <w:tcPr>
            <w:tcW w:type="dxa" w:w="231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N</w:t>
            </w:r>
          </w:p>
        </w:tc>
        <w:tc>
          <w:tcPr>
            <w:tcW w:type="dxa" w:w="231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Missing n</w:t>
            </w:r>
          </w:p>
        </w:tc>
        <w:tc>
          <w:tcPr>
            <w:tcW w:type="dxa" w:w="231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Missing fraction</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age</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0.000</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female</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0.000</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early_hemoglobin_min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3,240</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0.358</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early_platelet_min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3,226</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0.357</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early_lactate_max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5,832</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0.644</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early_ph_min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5,613</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0.620</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early_base_excess_min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5,723</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0.632</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early_inr_max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4,385</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0.485</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early_heart_rate_max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111</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0.012</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early_sbp_min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122</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0.013</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early_resp_rate_max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142</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0.016</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early_spo2_min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135</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0.015</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age</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0.000</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female</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0.002</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early_hemoglobin_min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3,603</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0.548</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early_platelet_min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3,895</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0.592</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early_lactate_max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5,639</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0.857</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early_ph_min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5,370</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0.816</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early_base_excess_min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5,434</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0.826</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early_inr_max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5,115</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0.778</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early_heart_rate_max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253</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0.038</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early_sbp_min</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256</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0.039</w:t>
            </w:r>
          </w:p>
        </w:tc>
      </w:tr>
      <w:tr>
        <w:trPr>
          <w:cantSplit/>
        </w:trPr>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early_resp_rate_max</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608</w:t>
            </w:r>
          </w:p>
        </w:tc>
        <w:tc>
          <w:tcPr>
            <w:tcW w:type="dxa" w:w="23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0.092</w:t>
            </w:r>
          </w:p>
        </w:tc>
      </w:tr>
      <w:tr>
        <w:trPr>
          <w:cantSplit/>
        </w:trPr>
        <w:tc>
          <w:tcPr>
            <w:tcW w:type="dxa" w:w="30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primary</w:t>
            </w:r>
          </w:p>
        </w:tc>
        <w:tc>
          <w:tcPr>
            <w:tcW w:type="dxa" w:w="30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early_spo2_min</w:t>
            </w:r>
          </w:p>
        </w:tc>
        <w:tc>
          <w:tcPr>
            <w:tcW w:type="dxa" w:w="231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231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316</w:t>
            </w:r>
          </w:p>
        </w:tc>
        <w:tc>
          <w:tcPr>
            <w:tcW w:type="dxa" w:w="231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0.048</w:t>
            </w:r>
          </w:p>
        </w:tc>
      </w:tr>
    </w:tbl>
    <w:p>
      <w:pPr>
        <w:sectPr>
          <w:headerReference w:type="default" r:id="rId19"/>
          <w:footerReference w:type="default" r:id="rId20"/>
          <w:pgSz w:w="15840" w:h="12240" w:orient="landscape"/>
          <w:pgMar w:top="1080" w:right="1440" w:bottom="1080" w:left="1440" w:header="648" w:footer="648" w:gutter="0"/>
          <w:cols w:space="720"/>
          <w:docGrid w:linePitch="360"/>
        </w:sectPr>
      </w:pPr>
    </w:p>
    <w:p>
      <w:pPr>
        <w:pStyle w:val="Heading2"/>
        <w:pageBreakBefore w:val="0"/>
      </w:pPr>
      <w:r>
        <w:t>Supplementary Table S6. Complete 24-hour follow-up sensitivity</w:t>
      </w:r>
    </w:p>
    <w:p>
      <w:pPr>
        <w:keepNext/>
      </w:pPr>
      <w:r>
        <w:rPr>
          <w:rFonts w:ascii="Times New Roman" w:hAnsi="Times New Roman" w:eastAsia="Times New Roman" w:cs="Times New Roman"/>
          <w:b/>
          <w:i w:val="0"/>
          <w:color w:val="000000"/>
          <w:sz w:val="16"/>
        </w:rPr>
        <w:t>Part 1: Intervals</w:t>
      </w:r>
    </w:p>
    <w:p>
      <w:pPr>
        <w:keepNext/>
      </w:pPr>
      <w:r>
        <w:rPr>
          <w:rFonts w:ascii="Times New Roman" w:hAnsi="Times New Roman" w:eastAsia="Times New Roman" w:cs="Times New Roman"/>
          <w:b w:val="0"/>
          <w:i/>
          <w:color w:val="000000"/>
          <w:sz w:val="14"/>
        </w:rPr>
        <w:t>Source: Supplementary_Table_S6_complete_followup_sensitivity__intervals.csv.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-0.379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0.356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0.917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0.777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0.336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-0.382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0.435</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1.025</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0.924</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1.133</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2: Performance</w:t>
      </w:r>
    </w:p>
    <w:p>
      <w:pPr>
        <w:keepNext/>
      </w:pPr>
      <w:r>
        <w:rPr>
          <w:rFonts w:ascii="Times New Roman" w:hAnsi="Times New Roman" w:eastAsia="Times New Roman" w:cs="Times New Roman"/>
          <w:b w:val="0"/>
          <w:i/>
          <w:color w:val="000000"/>
          <w:sz w:val="14"/>
        </w:rPr>
        <w:t>Source: Supplementary_Table_S6_complete_followup_sensitivity__performance.csv.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complete 24-hour follow-up</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1,735 (126)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 24-hour follow-up sensitivity</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complete 24-hour follow-up</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4,744 (242)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0.269</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r>
    </w:tbl>
    <w:p>
      <w:pPr>
        <w:keepNext/>
      </w:pPr>
      <w:r>
        <w:rPr>
          <w:rFonts w:ascii="Times New Roman" w:hAnsi="Times New Roman" w:eastAsia="Times New Roman" w:cs="Times New Roman"/>
          <w:b/>
          <w:i w:val="0"/>
          <w:color w:val="000000"/>
          <w:sz w:val="17"/>
        </w:rPr>
        <w:t>Supplementary Table S6, Part 2: Performance (continued; display block 2 of 2)</w:t>
      </w:r>
    </w:p>
    <w:p>
      <w:pPr>
        <w:keepNext/>
      </w:pPr>
      <w:r>
        <w:rPr>
          <w:rFonts w:ascii="Times New Roman" w:hAnsi="Times New Roman" w:eastAsia="Times New Roman" w:cs="Times New Roman"/>
          <w:b w:val="0"/>
          <w:i/>
          <w:color w:val="000000"/>
          <w:sz w:val="14"/>
        </w:rPr>
        <w:t>Source: Supplementary_Table_S6_complete_followup_sensitivity__performance.csv.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Complete 24-hour follow-up sensitivity</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 complete 24-hour follow-up</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0.917</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Complete 24-hour follow-up sensitivity</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 complete 24-hour follow-up</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0.034</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1.025</w:t>
            </w:r>
          </w:p>
        </w:tc>
      </w:tr>
    </w:tbl>
    <w:p>
      <w:pPr>
        <w:sectPr>
          <w:headerReference w:type="default" r:id="rId21"/>
          <w:footerReference w:type="default" r:id="rId22"/>
          <w:pgSz w:w="15840" w:h="12240" w:orient="landscape"/>
          <w:pgMar w:top="1080" w:right="1440" w:bottom="1080" w:left="1440" w:header="648" w:footer="648" w:gutter="0"/>
          <w:cols w:space="720"/>
          <w:docGrid w:linePitch="360"/>
        </w:sectPr>
      </w:pPr>
    </w:p>
    <w:p>
      <w:pPr>
        <w:pStyle w:val="Heading2"/>
        <w:pageBreakBefore w:val="0"/>
      </w:pPr>
      <w:r>
        <w:t>Supplementary Table S7. Hemoglobin information-state analyses</w:t>
      </w:r>
    </w:p>
    <w:p>
      <w:pPr>
        <w:keepNext/>
      </w:pPr>
      <w:r>
        <w:rPr>
          <w:rFonts w:ascii="Times New Roman" w:hAnsi="Times New Roman" w:eastAsia="Times New Roman" w:cs="Times New Roman"/>
          <w:b/>
          <w:i w:val="0"/>
          <w:color w:val="000000"/>
          <w:sz w:val="16"/>
        </w:rPr>
        <w:t>Part 1: Intervals</w:t>
      </w:r>
    </w:p>
    <w:p>
      <w:pPr>
        <w:keepNext/>
      </w:pPr>
      <w:r>
        <w:rPr>
          <w:rFonts w:ascii="Times New Roman" w:hAnsi="Times New Roman" w:eastAsia="Times New Roman" w:cs="Times New Roman"/>
          <w:b w:val="0"/>
          <w:i/>
          <w:color w:val="000000"/>
          <w:sz w:val="14"/>
        </w:rPr>
        <w:t>Source: Supplementary_Table_S7_hemoglobin_information_state__intervals.csv.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0.311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0.387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0.618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0.509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0.732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-1.466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-3.594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0.308</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0.557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1.071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-0.568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0.938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1.096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0.727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0.668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0.779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-1.255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1.041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1.135</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0.793</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1.469</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2: Performance</w:t>
      </w:r>
    </w:p>
    <w:p>
      <w:pPr>
        <w:keepNext/>
      </w:pPr>
      <w:r>
        <w:rPr>
          <w:rFonts w:ascii="Times New Roman" w:hAnsi="Times New Roman" w:eastAsia="Times New Roman" w:cs="Times New Roman"/>
          <w:b w:val="0"/>
          <w:i/>
          <w:color w:val="000000"/>
          <w:sz w:val="14"/>
        </w:rPr>
        <w:t>Source: Supplementary_Table_S7_hemoglobin_information_state__performance.csv.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1,479 (112)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0.311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not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791 (24)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0.618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2,975 (191)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 Early hemoglobin not measured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not measured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applied unchanged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3,603 (71)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0.727</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0.019</w:t>
            </w:r>
          </w:p>
        </w:tc>
      </w:tr>
    </w:tbl>
    <w:p>
      <w:pPr>
        <w:keepNext/>
      </w:pPr>
      <w:r>
        <w:rPr>
          <w:rFonts w:ascii="Times New Roman" w:hAnsi="Times New Roman" w:eastAsia="Times New Roman" w:cs="Times New Roman"/>
          <w:b/>
          <w:i w:val="0"/>
          <w:color w:val="000000"/>
          <w:sz w:val="17"/>
        </w:rPr>
        <w:t>Supplementary Table S7, Part 2: Performance (continued; display block 2 of 2)</w:t>
      </w:r>
    </w:p>
    <w:p>
      <w:pPr>
        <w:keepNext/>
      </w:pPr>
      <w:r>
        <w:rPr>
          <w:rFonts w:ascii="Times New Roman" w:hAnsi="Times New Roman" w:eastAsia="Times New Roman" w:cs="Times New Roman"/>
          <w:b w:val="0"/>
          <w:i/>
          <w:color w:val="000000"/>
          <w:sz w:val="14"/>
        </w:rPr>
        <w:t>Source: Supplementary_Table_S7_hemoglobin_information_state__performance.csv.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 information-state sensitivity;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 information-state sensitivity; Early hemoglobin not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 Early hemoglobin not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-1.466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0.557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 information-state sensitivity;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-0.224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0.938</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Hemoglobin information-state sensitivity; Early hemoglobin not measured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 Early hemoglobin not measured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 applied unchanged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-0.029</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1.135</w:t>
            </w:r>
          </w:p>
        </w:tc>
      </w:tr>
    </w:tbl>
    <w:p>
      <w:pPr>
        <w:keepNext/>
      </w:pPr>
      <w:r>
        <w:rPr>
          <w:rFonts w:ascii="Times New Roman" w:hAnsi="Times New Roman" w:eastAsia="Times New Roman" w:cs="Times New Roman"/>
          <w:b/>
          <w:i w:val="0"/>
          <w:color w:val="000000"/>
          <w:sz w:val="16"/>
        </w:rPr>
        <w:t>Part 3: Stratum differences</w:t>
      </w:r>
    </w:p>
    <w:p>
      <w:pPr>
        <w:keepNext/>
      </w:pPr>
      <w:r>
        <w:rPr>
          <w:rFonts w:ascii="Times New Roman" w:hAnsi="Times New Roman" w:eastAsia="Times New Roman" w:cs="Times New Roman"/>
          <w:b w:val="0"/>
          <w:i/>
          <w:color w:val="000000"/>
          <w:sz w:val="14"/>
        </w:rPr>
        <w:t>Source: Supplementary_Table_S7_hemoglobin_information_state__stratum_differences.csv.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Contrast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Measured minus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Measured minus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Measured minus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0.044</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Measured minus not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-0.194</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-1.307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 information-state sensitivity</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Measured minus not measured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-0.197</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-0.521</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0.119</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4: Strict comparator</w:t>
      </w:r>
    </w:p>
    <w:p>
      <w:pPr>
        <w:keepNext/>
      </w:pPr>
      <w:r>
        <w:rPr>
          <w:rFonts w:ascii="Times New Roman" w:hAnsi="Times New Roman" w:eastAsia="Times New Roman" w:cs="Times New Roman"/>
          <w:b w:val="0"/>
          <w:i/>
          <w:color w:val="000000"/>
          <w:sz w:val="14"/>
        </w:rPr>
        <w:t>Source: Supplementary_Table_S7_hemoglobin_information_state__strict_comparator.csv.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Hb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1,479 (112)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0.319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Hb logistic</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2,975 (191)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0.053</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2,975 (191)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0.869</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0.288</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r>
    </w:tbl>
    <w:p>
      <w:pPr>
        <w:keepNext/>
      </w:pPr>
      <w:r>
        <w:rPr>
          <w:rFonts w:ascii="Times New Roman" w:hAnsi="Times New Roman" w:eastAsia="Times New Roman" w:cs="Times New Roman"/>
          <w:b/>
          <w:i w:val="0"/>
          <w:color w:val="000000"/>
          <w:sz w:val="17"/>
        </w:rPr>
        <w:t>Supplementary Table S7, Part 4: Strict comparator (continued; display block 2 of 2)</w:t>
      </w:r>
    </w:p>
    <w:p>
      <w:pPr>
        <w:keepNext/>
      </w:pPr>
      <w:r>
        <w:rPr>
          <w:rFonts w:ascii="Times New Roman" w:hAnsi="Times New Roman" w:eastAsia="Times New Roman" w:cs="Times New Roman"/>
          <w:b w:val="0"/>
          <w:i/>
          <w:color w:val="000000"/>
          <w:sz w:val="14"/>
        </w:rPr>
        <w:t>Source: Supplementary_Table_S7_hemoglobin_information_state__strict_comparator.csv.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Strict measured-only hemoglobin comparator</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Strict measured-only Hb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0.266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1.111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Strict measured-only hemoglobin comparator</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 early hemoglobin measured</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Strict measured-only Hb logistic</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-0.252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0.931</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Strict measured-only hemoglobin comparator</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 early hemoglobin measured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Reference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-0.224</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0.938</w:t>
            </w:r>
          </w:p>
        </w:tc>
      </w:tr>
    </w:tbl>
    <w:p>
      <w:pPr>
        <w:keepNext/>
      </w:pPr>
      <w:r>
        <w:rPr>
          <w:rFonts w:ascii="Times New Roman" w:hAnsi="Times New Roman" w:eastAsia="Times New Roman" w:cs="Times New Roman"/>
          <w:b/>
          <w:i w:val="0"/>
          <w:color w:val="000000"/>
          <w:sz w:val="16"/>
        </w:rPr>
        <w:t>Part 5: Strict paired differences</w:t>
      </w:r>
    </w:p>
    <w:p>
      <w:pPr>
        <w:keepNext/>
      </w:pPr>
      <w:r>
        <w:rPr>
          <w:rFonts w:ascii="Times New Roman" w:hAnsi="Times New Roman" w:eastAsia="Times New Roman" w:cs="Times New Roman"/>
          <w:b w:val="0"/>
          <w:i/>
          <w:color w:val="000000"/>
          <w:sz w:val="14"/>
        </w:rPr>
        <w:t>Source: Supplementary_Table_S7_hemoglobin_information_state__strict_paired_differences.csv.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Comparison</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vs Strict measured-only Hb logistic</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vs Strict measured-only Hb logistic</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Strict measured-only hemoglobin comparator</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 early hemoglobin measured</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 vs Strict measured-only Hb logistic</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sectPr>
          <w:headerReference w:type="default" r:id="rId23"/>
          <w:footerReference w:type="default" r:id="rId24"/>
          <w:pgSz w:w="15840" w:h="12240" w:orient="landscape"/>
          <w:pgMar w:top="1080" w:right="1440" w:bottom="1080" w:left="1440" w:header="648" w:footer="648" w:gutter="0"/>
          <w:cols w:space="720"/>
          <w:docGrid w:linePitch="360"/>
        </w:sectPr>
      </w:pPr>
    </w:p>
    <w:p>
      <w:pPr>
        <w:pStyle w:val="Heading2"/>
        <w:pageBreakBefore w:val="0"/>
      </w:pPr>
      <w:r>
        <w:t>Supplementary Table S8. Time, status, and documentation definitions</w:t>
      </w:r>
    </w:p>
    <w:p>
      <w:pPr>
        <w:keepNext/>
      </w:pPr>
      <w:r>
        <w:rPr>
          <w:rFonts w:ascii="Times New Roman" w:hAnsi="Times New Roman" w:eastAsia="Times New Roman" w:cs="Times New Roman"/>
          <w:b/>
          <w:i w:val="0"/>
          <w:color w:val="000000"/>
          <w:sz w:val="16"/>
        </w:rPr>
        <w:t>Part 1: Availability</w:t>
      </w:r>
    </w:p>
    <w:p>
      <w:pPr>
        <w:keepNext/>
      </w:pPr>
      <w:r>
        <w:rPr>
          <w:rFonts w:ascii="Times New Roman" w:hAnsi="Times New Roman" w:eastAsia="Times New Roman" w:cs="Times New Roman"/>
          <w:b w:val="0"/>
          <w:i/>
          <w:color w:val="000000"/>
          <w:sz w:val="14"/>
        </w:rPr>
        <w:t>Source: Supplementary_Table_S8_time_status_documentation_definitions__availability.csv.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Cross-outcome-definition documentation-recording sensitivity; event-time outcome; MIMIC event-time component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 event-time outcome; storetime-aware landmark eligibility</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Cross-outcome-definition documentation-recording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Cross-outcome-definition documentation-recording sensitivity; event-and-recorded-by-horizon outcome; Not same-estimand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cross-outcome-definition evaluation: event-and-recorded-by-horizon outcome; not the same estimand</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Cross-outcome-definition documentation-recording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(244)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r>
    </w:tbl>
    <w:p>
      <w:pPr>
        <w:keepNext/>
      </w:pPr>
      <w:r>
        <w:rPr>
          <w:rFonts w:ascii="Times New Roman" w:hAnsi="Times New Roman" w:eastAsia="Times New Roman" w:cs="Times New Roman"/>
          <w:b/>
          <w:i w:val="0"/>
          <w:color w:val="000000"/>
          <w:sz w:val="17"/>
        </w:rPr>
        <w:t>Supplementary Table S8, Part 1: Availability (continued; display block 2 of 2)</w:t>
      </w:r>
    </w:p>
    <w:p>
      <w:pPr>
        <w:keepNext/>
      </w:pPr>
      <w:r>
        <w:rPr>
          <w:rFonts w:ascii="Times New Roman" w:hAnsi="Times New Roman" w:eastAsia="Times New Roman" w:cs="Times New Roman"/>
          <w:b w:val="0"/>
          <w:i/>
          <w:color w:val="000000"/>
          <w:sz w:val="14"/>
        </w:rPr>
        <w:t>Source: Supplementary_Table_S8_time_status_documentation_definitions__availability.csv.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Cross-outcome-definition documentation-recording sensitivity; event-time outcome; MIMIC event-time component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 event-time outcome; storetime-aware landmark eligibility</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Cross-outcome-definition documentation-recording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0.960</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Cross-outcome-definition documentation-recording sensitivity; event-and-recorded-by-horizon outcome; Not same-estimand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cross-outcome-definition evaluation: event-and-recorded-by-horizon outcome; not the same estimand</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Cross-outcome-definition documentation-recording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-0.174</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1.051</w:t>
            </w:r>
          </w:p>
        </w:tc>
      </w:tr>
    </w:tbl>
    <w:p>
      <w:pPr>
        <w:keepNext/>
      </w:pPr>
      <w:r>
        <w:rPr>
          <w:rFonts w:ascii="Times New Roman" w:hAnsi="Times New Roman" w:eastAsia="Times New Roman" w:cs="Times New Roman"/>
          <w:b/>
          <w:i w:val="0"/>
          <w:color w:val="000000"/>
          <w:sz w:val="16"/>
        </w:rPr>
        <w:t>Part 2: Counts</w:t>
      </w:r>
    </w:p>
    <w:p>
      <w:pPr>
        <w:keepNext/>
      </w:pPr>
      <w:r>
        <w:rPr>
          <w:rFonts w:ascii="Times New Roman" w:hAnsi="Times New Roman" w:eastAsia="Times New Roman" w:cs="Times New Roman"/>
          <w:b w:val="0"/>
          <w:i/>
          <w:color w:val="000000"/>
          <w:sz w:val="14"/>
        </w:rPr>
        <w:t>Source: Supplementary_Table_S8_time_status_documentation_definitions__counts.csv.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552"/>
        <w:gridCol w:w="2552"/>
        <w:gridCol w:w="1963"/>
        <w:gridCol w:w="1963"/>
        <w:gridCol w:w="1963"/>
        <w:gridCol w:w="1967"/>
      </w:tblGrid>
      <w:tr>
        <w:trPr>
          <w:cantSplit/>
          <w:tblHeader w:val="true"/>
        </w:trPr>
        <w:tc>
          <w:tcPr>
            <w:tcW w:type="dxa" w:w="255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Database</w:t>
            </w:r>
          </w:p>
        </w:tc>
        <w:tc>
          <w:tcPr>
            <w:tcW w:type="dxa" w:w="255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Definition</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N</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Events</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Early exposure definition</w:t>
            </w:r>
          </w:p>
        </w:tc>
        <w:tc>
          <w:tcPr>
            <w:tcW w:type="dxa" w:w="196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Outcome definition</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Standard event-time primary</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532</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standard event start/active exposure during first 6 h</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standard event start in (6 h, min[24 h, ICU exit]]</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Storetime-aware landmark eligibility with event-time outcome</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9,049</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532</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standard event start/active exposure and storetime &lt;= 6 h</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standard event start in (6 h, min[24 h, ICU exit]]</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FinishedRunning-only</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9,020</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505</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FinishedRunning event start/active exposure during first 6 h</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FinishedRunning event start in (6 h, min[24 h, ICU exit]]</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Standard event-offset primary</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262</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event offset during first 6 h</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event offset in (6 h, min[24 h, ICU exit]]</w:t>
            </w:r>
          </w:p>
        </w:tc>
      </w:tr>
      <w:tr>
        <w:trPr>
          <w:cantSplit/>
        </w:trPr>
        <w:tc>
          <w:tcPr>
            <w:tcW w:type="dxa" w:w="255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w:t>
            </w:r>
          </w:p>
        </w:tc>
        <w:tc>
          <w:tcPr>
            <w:tcW w:type="dxa" w:w="255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Event-and-recorded-by-horizon cross-outcome evaluation</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6,578</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244</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event offset during first 6 h and entry offset &lt;= 6 h</w:t>
            </w:r>
          </w:p>
        </w:tc>
        <w:tc>
          <w:tcPr>
            <w:tcW w:type="dxa" w:w="196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event offset in (6 h, min[24 h, ICU exit]] and entry offset &lt;= min[24 h, ICU exit]</w:t>
            </w:r>
          </w:p>
        </w:tc>
      </w:tr>
    </w:tbl>
    <w:p>
      <w:pPr>
        <w:keepNext/>
      </w:pPr>
      <w:r>
        <w:rPr>
          <w:rFonts w:ascii="Times New Roman" w:hAnsi="Times New Roman" w:eastAsia="Times New Roman" w:cs="Times New Roman"/>
          <w:b/>
          <w:i w:val="0"/>
          <w:color w:val="000000"/>
          <w:sz w:val="16"/>
        </w:rPr>
        <w:t>Part 3: Temporal status</w:t>
      </w:r>
    </w:p>
    <w:p>
      <w:pPr>
        <w:keepNext/>
      </w:pPr>
      <w:r>
        <w:rPr>
          <w:rFonts w:ascii="Times New Roman" w:hAnsi="Times New Roman" w:eastAsia="Times New Roman" w:cs="Times New Roman"/>
          <w:b w:val="0"/>
          <w:i/>
          <w:color w:val="000000"/>
          <w:sz w:val="14"/>
        </w:rPr>
        <w:t>Source: Supplementary_Table_S8_time_status_documentation_definitions__temporal_status.csv.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Later MIMIC anchor-year-group proxy temporal sensitivity</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later anchor-year-group proxy: 2020 - 2022</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Later anchor-year-group proxy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1,114 (24)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FinishedRunning-only outcome sensitivity</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FinishedRunning-only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2,261 (127)</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0.846</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0.283</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bl>
    <w:p>
      <w:pPr>
        <w:keepNext/>
      </w:pPr>
      <w:r>
        <w:rPr>
          <w:rFonts w:ascii="Times New Roman" w:hAnsi="Times New Roman" w:eastAsia="Times New Roman" w:cs="Times New Roman"/>
          <w:b/>
          <w:i w:val="0"/>
          <w:color w:val="000000"/>
          <w:sz w:val="17"/>
        </w:rPr>
        <w:t>Supplementary Table S8, Part 3: Temporal status (continued; display block 2 of 2)</w:t>
      </w:r>
    </w:p>
    <w:p>
      <w:pPr>
        <w:keepNext/>
      </w:pPr>
      <w:r>
        <w:rPr>
          <w:rFonts w:ascii="Times New Roman" w:hAnsi="Times New Roman" w:eastAsia="Times New Roman" w:cs="Times New Roman"/>
          <w:b w:val="0"/>
          <w:i/>
          <w:color w:val="000000"/>
          <w:sz w:val="14"/>
        </w:rPr>
        <w:t>Source: Supplementary_Table_S8_time_status_documentation_definitions__temporal_status.csv.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Later MIMIC anchor-year-group proxy temporal sensitivity</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later anchor-year-group proxy: 2020 - 2022</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Later anchor-year-group proxy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-1.787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0.962</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FinishedRunning-only outcome sensitivity</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FinishedRunning-only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-0.058</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0.976</w:t>
            </w:r>
          </w:p>
        </w:tc>
      </w:tr>
    </w:tbl>
    <w:p>
      <w:pPr>
        <w:sectPr>
          <w:headerReference w:type="default" r:id="rId25"/>
          <w:footerReference w:type="default" r:id="rId26"/>
          <w:pgSz w:w="15840" w:h="12240" w:orient="landscape"/>
          <w:pgMar w:top="1080" w:right="1440" w:bottom="1080" w:left="1440" w:header="648" w:footer="648" w:gutter="0"/>
          <w:cols w:space="720"/>
          <w:docGrid w:linePitch="360"/>
        </w:sectPr>
      </w:pPr>
    </w:p>
    <w:p>
      <w:pPr>
        <w:pStyle w:val="Heading2"/>
        <w:pageBreakBefore w:val="0"/>
      </w:pPr>
      <w:r>
        <w:t>Supplementary Table S9. Competing-risk and Aalen-Johansen analyses</w:t>
      </w:r>
    </w:p>
    <w:p>
      <w:pPr>
        <w:keepNext/>
      </w:pPr>
      <w:r>
        <w:rPr>
          <w:rFonts w:ascii="Times New Roman" w:hAnsi="Times New Roman" w:eastAsia="Times New Roman" w:cs="Times New Roman"/>
          <w:b/>
          <w:i w:val="0"/>
          <w:color w:val="000000"/>
          <w:sz w:val="16"/>
        </w:rPr>
        <w:t>Part 1: Aalen-Johansen</w:t>
      </w:r>
    </w:p>
    <w:p>
      <w:pPr>
        <w:keepNext/>
      </w:pPr>
      <w:r>
        <w:rPr>
          <w:rFonts w:ascii="Times New Roman" w:hAnsi="Times New Roman" w:eastAsia="Times New Roman" w:cs="Times New Roman"/>
          <w:b w:val="0"/>
          <w:i/>
          <w:color w:val="000000"/>
          <w:sz w:val="14"/>
        </w:rPr>
        <w:t>Source: Supplementary_Table_S9_competing_risk_and_Aalen_Johansen__aalen_johansen.csv.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959"/>
        <w:gridCol w:w="1959"/>
        <w:gridCol w:w="1506"/>
        <w:gridCol w:w="1506"/>
        <w:gridCol w:w="1506"/>
        <w:gridCol w:w="1506"/>
        <w:gridCol w:w="1506"/>
        <w:gridCol w:w="1512"/>
      </w:tblGrid>
      <w:tr>
        <w:trPr>
          <w:cantSplit/>
          <w:tblHeader w:val="true"/>
        </w:trPr>
        <w:tc>
          <w:tcPr>
            <w:tcW w:type="dxa" w:w="195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95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Risk group</w:t>
            </w:r>
          </w:p>
        </w:tc>
        <w:tc>
          <w:tcPr>
            <w:tcW w:type="dxa" w:w="150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w:t>
            </w:r>
          </w:p>
        </w:tc>
        <w:tc>
          <w:tcPr>
            <w:tcW w:type="dxa" w:w="150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pRBC events</w:t>
            </w:r>
          </w:p>
        </w:tc>
        <w:tc>
          <w:tcPr>
            <w:tcW w:type="dxa" w:w="150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Competing events</w:t>
            </w:r>
          </w:p>
        </w:tc>
        <w:tc>
          <w:tcPr>
            <w:tcW w:type="dxa" w:w="150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CIF pRBC at 18 h</w:t>
            </w:r>
          </w:p>
        </w:tc>
        <w:tc>
          <w:tcPr>
            <w:tcW w:type="dxa" w:w="150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CIF competing event at 18 h</w:t>
            </w:r>
          </w:p>
        </w:tc>
        <w:tc>
          <w:tcPr>
            <w:tcW w:type="dxa" w:w="15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Cutpoint source</w:t>
            </w:r>
          </w:p>
        </w:tc>
      </w:tr>
      <w:tr>
        <w:trPr>
          <w:cantSplit/>
        </w:trPr>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Low</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693</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197</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0.009</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0.284</w:t>
            </w:r>
          </w:p>
        </w:tc>
        <w:tc>
          <w:tcPr>
            <w:tcW w:type="dxa" w:w="15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r>
        <w:trPr>
          <w:cantSplit/>
        </w:trPr>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Intermediate</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815</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17</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210</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0.021</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0.258</w:t>
            </w:r>
          </w:p>
        </w:tc>
        <w:tc>
          <w:tcPr>
            <w:tcW w:type="dxa" w:w="15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r>
        <w:trPr>
          <w:cantSplit/>
        </w:trPr>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High</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762</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118</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0.148</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0.155</w:t>
            </w:r>
          </w:p>
        </w:tc>
        <w:tc>
          <w:tcPr>
            <w:tcW w:type="dxa" w:w="15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r>
        <w:trPr>
          <w:cantSplit/>
        </w:trPr>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Low</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1,844</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7</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550</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0.298</w:t>
            </w:r>
          </w:p>
        </w:tc>
        <w:tc>
          <w:tcPr>
            <w:tcW w:type="dxa" w:w="15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r>
        <w:trPr>
          <w:cantSplit/>
        </w:trPr>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95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Intermediate</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2,758</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42</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836</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50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0.303</w:t>
            </w:r>
          </w:p>
        </w:tc>
        <w:tc>
          <w:tcPr>
            <w:tcW w:type="dxa" w:w="15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r>
        <w:trPr>
          <w:cantSplit/>
        </w:trPr>
        <w:tc>
          <w:tcPr>
            <w:tcW w:type="dxa" w:w="195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95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High</w:t>
            </w:r>
          </w:p>
        </w:tc>
        <w:tc>
          <w:tcPr>
            <w:tcW w:type="dxa" w:w="150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1,976</w:t>
            </w:r>
          </w:p>
        </w:tc>
        <w:tc>
          <w:tcPr>
            <w:tcW w:type="dxa" w:w="150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213</w:t>
            </w:r>
          </w:p>
        </w:tc>
        <w:tc>
          <w:tcPr>
            <w:tcW w:type="dxa" w:w="150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428</w:t>
            </w:r>
          </w:p>
        </w:tc>
        <w:tc>
          <w:tcPr>
            <w:tcW w:type="dxa" w:w="150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0.108</w:t>
            </w:r>
          </w:p>
        </w:tc>
        <w:tc>
          <w:tcPr>
            <w:tcW w:type="dxa" w:w="150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0.217</w:t>
            </w:r>
          </w:p>
        </w:tc>
        <w:tc>
          <w:tcPr>
            <w:tcW w:type="dxa" w:w="15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MIMIC development OOF fixed tertiles</w:t>
            </w:r>
          </w:p>
        </w:tc>
      </w:tr>
    </w:tbl>
    <w:p>
      <w:pPr>
        <w:keepNext/>
      </w:pPr>
      <w:r>
        <w:rPr>
          <w:rFonts w:ascii="Times New Roman" w:hAnsi="Times New Roman" w:eastAsia="Times New Roman" w:cs="Times New Roman"/>
          <w:b/>
          <w:i w:val="0"/>
          <w:color w:val="000000"/>
          <w:sz w:val="16"/>
        </w:rPr>
        <w:t>Part 2: Contract</w:t>
      </w:r>
    </w:p>
    <w:p>
      <w:pPr>
        <w:keepNext/>
      </w:pPr>
      <w:r>
        <w:rPr>
          <w:rFonts w:ascii="Times New Roman" w:hAnsi="Times New Roman" w:eastAsia="Times New Roman" w:cs="Times New Roman"/>
          <w:b w:val="0"/>
          <w:i/>
          <w:color w:val="000000"/>
          <w:sz w:val="14"/>
        </w:rPr>
        <w:t>Source: Supplementary_Table_S9_competing_risk_and_Aalen_Johansen__contract.csv.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6480"/>
        <w:gridCol w:w="6480"/>
      </w:tblGrid>
      <w:tr>
        <w:trPr>
          <w:cantSplit/>
          <w:tblHeader w:val="true"/>
        </w:trPr>
        <w:tc>
          <w:tcPr>
            <w:tcW w:type="dxa" w:w="648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Quantity</w:t>
            </w:r>
          </w:p>
        </w:tc>
        <w:tc>
          <w:tcPr>
            <w:tcW w:type="dxa" w:w="648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Value</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Source probability</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 locked reference weighted-XGBoost probability</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Transformation</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logit(probability), then z standardization</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mean</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-3.7789592443448896</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SD</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1.6057652846920063</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Lower tertile cutpoint</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-0.345089115667708</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Upper tertile cutpoint</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0.39260599218399439</w:t>
            </w:r>
          </w:p>
        </w:tc>
      </w:tr>
      <w:tr>
        <w:trPr>
          <w:cantSplit/>
        </w:trPr>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Cutpoint source</w:t>
            </w:r>
          </w:p>
        </w:tc>
        <w:tc>
          <w:tcPr>
            <w:tcW w:type="dxa" w:w="648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development locked five-fold OOF predictions only</w:t>
            </w:r>
          </w:p>
        </w:tc>
      </w:tr>
      <w:tr>
        <w:trPr>
          <w:cantSplit/>
        </w:trPr>
        <w:tc>
          <w:tcPr>
            <w:tcW w:type="dxa" w:w="648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Application rule</w:t>
            </w:r>
          </w:p>
        </w:tc>
        <w:tc>
          <w:tcPr>
            <w:tcW w:type="dxa" w:w="648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The same development mean, SD, and tertile cutpoints are applied unchanged to MIMIC test and eICU</w:t>
            </w:r>
          </w:p>
        </w:tc>
      </w:tr>
    </w:tbl>
    <w:p>
      <w:pPr>
        <w:keepNext/>
      </w:pPr>
      <w:r>
        <w:rPr>
          <w:rFonts w:ascii="Times New Roman" w:hAnsi="Times New Roman" w:eastAsia="Times New Roman" w:cs="Times New Roman"/>
          <w:b/>
          <w:i w:val="0"/>
          <w:color w:val="000000"/>
          <w:sz w:val="16"/>
        </w:rPr>
        <w:t>Part 3: Fine-Gray</w:t>
      </w:r>
    </w:p>
    <w:p>
      <w:pPr>
        <w:keepNext/>
      </w:pPr>
      <w:r>
        <w:rPr>
          <w:rFonts w:ascii="Times New Roman" w:hAnsi="Times New Roman" w:eastAsia="Times New Roman" w:cs="Times New Roman"/>
          <w:b w:val="0"/>
          <w:i/>
          <w:color w:val="000000"/>
          <w:sz w:val="14"/>
        </w:rPr>
        <w:t>Source: Supplementary_Table_S9_competing_risk_and_Aalen_Johansen__fine_gray.csv.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216"/>
        <w:gridCol w:w="2216"/>
        <w:gridCol w:w="1705"/>
        <w:gridCol w:w="1705"/>
        <w:gridCol w:w="1705"/>
        <w:gridCol w:w="1705"/>
        <w:gridCol w:w="1708"/>
      </w:tblGrid>
      <w:tr>
        <w:trPr>
          <w:cantSplit/>
          <w:tblHeader w:val="true"/>
        </w:trPr>
        <w:tc>
          <w:tcPr>
            <w:tcW w:type="dxa" w:w="221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221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70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w:t>
            </w:r>
          </w:p>
        </w:tc>
        <w:tc>
          <w:tcPr>
            <w:tcW w:type="dxa" w:w="170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pRBC events</w:t>
            </w:r>
          </w:p>
        </w:tc>
        <w:tc>
          <w:tcPr>
            <w:tcW w:type="dxa" w:w="170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Competing events</w:t>
            </w:r>
          </w:p>
        </w:tc>
        <w:tc>
          <w:tcPr>
            <w:tcW w:type="dxa" w:w="170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Censored at 18 h</w:t>
            </w:r>
          </w:p>
        </w:tc>
        <w:tc>
          <w:tcPr>
            <w:tcW w:type="dxa" w:w="17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Score definition</w:t>
            </w:r>
          </w:p>
        </w:tc>
      </w:tr>
      <w:tr>
        <w:trPr>
          <w:cantSplit/>
        </w:trPr>
        <w:tc>
          <w:tcPr>
            <w:tcW w:type="dxa" w:w="22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Competing-risk score association sensitivity</w:t>
            </w:r>
          </w:p>
        </w:tc>
        <w:tc>
          <w:tcPr>
            <w:tcW w:type="dxa" w:w="221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0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w:t>
            </w:r>
          </w:p>
        </w:tc>
        <w:tc>
          <w:tcPr>
            <w:tcW w:type="dxa" w:w="170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136</w:t>
            </w:r>
          </w:p>
        </w:tc>
        <w:tc>
          <w:tcPr>
            <w:tcW w:type="dxa" w:w="170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525</w:t>
            </w:r>
          </w:p>
        </w:tc>
        <w:tc>
          <w:tcPr>
            <w:tcW w:type="dxa" w:w="170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1,609</w:t>
            </w:r>
          </w:p>
        </w:tc>
        <w:tc>
          <w:tcPr>
            <w:tcW w:type="dxa" w:w="17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Logit calibrated probability standardized by MIMIC development OOF mean and SD</w:t>
            </w:r>
          </w:p>
        </w:tc>
      </w:tr>
      <w:tr>
        <w:trPr>
          <w:cantSplit/>
        </w:trPr>
        <w:tc>
          <w:tcPr>
            <w:tcW w:type="dxa" w:w="221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Competing-risk score association sensitivity</w:t>
            </w:r>
          </w:p>
        </w:tc>
        <w:tc>
          <w:tcPr>
            <w:tcW w:type="dxa" w:w="221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0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w:t>
            </w:r>
          </w:p>
        </w:tc>
        <w:tc>
          <w:tcPr>
            <w:tcW w:type="dxa" w:w="170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70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1,814</w:t>
            </w:r>
          </w:p>
        </w:tc>
        <w:tc>
          <w:tcPr>
            <w:tcW w:type="dxa" w:w="170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4,502</w:t>
            </w:r>
          </w:p>
        </w:tc>
        <w:tc>
          <w:tcPr>
            <w:tcW w:type="dxa" w:w="17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Logit calibrated probability standardized by MIMIC development OOF mean and SD</w:t>
            </w:r>
          </w:p>
        </w:tc>
      </w:tr>
    </w:tbl>
    <w:p>
      <w:pPr>
        <w:keepNext/>
      </w:pPr>
      <w:r>
        <w:rPr>
          <w:rFonts w:ascii="Times New Roman" w:hAnsi="Times New Roman" w:eastAsia="Times New Roman" w:cs="Times New Roman"/>
          <w:b/>
          <w:i w:val="0"/>
          <w:color w:val="000000"/>
          <w:sz w:val="17"/>
        </w:rPr>
        <w:t>Supplementary Table S9, Part 3: Fine-Gray (continued; display block 2 of 2)</w:t>
      </w:r>
    </w:p>
    <w:p>
      <w:pPr>
        <w:keepNext/>
      </w:pPr>
      <w:r>
        <w:rPr>
          <w:rFonts w:ascii="Times New Roman" w:hAnsi="Times New Roman" w:eastAsia="Times New Roman" w:cs="Times New Roman"/>
          <w:b w:val="0"/>
          <w:i/>
          <w:color w:val="000000"/>
          <w:sz w:val="14"/>
        </w:rPr>
        <w:t>Source: Supplementary_Table_S9_competing_risk_and_Aalen_Johansen__fine_gray.csv.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755"/>
        <w:gridCol w:w="1755"/>
        <w:gridCol w:w="1350"/>
        <w:gridCol w:w="1350"/>
        <w:gridCol w:w="1350"/>
        <w:gridCol w:w="1350"/>
        <w:gridCol w:w="1350"/>
        <w:gridCol w:w="1350"/>
        <w:gridCol w:w="1350"/>
      </w:tblGrid>
      <w:tr>
        <w:trPr>
          <w:cantSplit/>
          <w:tblHeader w:val="true"/>
        </w:trPr>
        <w:tc>
          <w:tcPr>
            <w:tcW w:type="dxa" w:w="17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 score</w:t>
            </w:r>
          </w:p>
        </w:tc>
        <w:tc>
          <w:tcPr>
            <w:tcW w:type="dxa" w:w="17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SHR per development SD</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 lower 95% CI</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 upper 95% CI</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Model-based 95% CI</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 value</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Inference note</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Competing-risk score association sensitivity; Logit calibrated probability standardized by MIMIC development OOF mean and SD</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4.138</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3.466</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5.119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3.428 to 4.994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&lt;0.001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Association with cumulative incidence; not full competing-risk prediction validation; Ordinary cmprsk::crr model-based CI/P value and individual-stay bootstrap CI are reported for MIMIC.</w:t>
            </w:r>
          </w:p>
        </w:tc>
      </w:tr>
      <w:tr>
        <w:trPr>
          <w:cantSplit/>
        </w:trPr>
        <w:tc>
          <w:tcPr>
            <w:tcW w:type="dxa" w:w="17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Competing-risk score association sensitivity; Logit calibrated probability standardized by MIMIC development OOF mean and SD</w:t>
            </w:r>
          </w:p>
        </w:tc>
        <w:tc>
          <w:tcPr>
            <w:tcW w:type="dxa" w:w="17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4.754</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4.194</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5.505</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Not reported</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Not reported</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Association with cumulative incidence; not full competing-risk prediction validation; Hospital-cluster bootstrap CI is the only inferential interval; ordinary cmprsk::crr SE-based CI and P value are not used for eICU inference.</w:t>
            </w:r>
          </w:p>
        </w:tc>
      </w:tr>
    </w:tbl>
    <w:p>
      <w:pPr>
        <w:keepNext/>
      </w:pPr>
      <w:r>
        <w:rPr>
          <w:rFonts w:ascii="Times New Roman" w:hAnsi="Times New Roman" w:eastAsia="Times New Roman" w:cs="Times New Roman"/>
          <w:b/>
          <w:i w:val="0"/>
          <w:color w:val="000000"/>
          <w:sz w:val="16"/>
        </w:rPr>
        <w:t>Part 4: Tertiles</w:t>
      </w:r>
    </w:p>
    <w:p>
      <w:pPr>
        <w:keepNext/>
      </w:pPr>
      <w:r>
        <w:rPr>
          <w:rFonts w:ascii="Times New Roman" w:hAnsi="Times New Roman" w:eastAsia="Times New Roman" w:cs="Times New Roman"/>
          <w:b w:val="0"/>
          <w:i/>
          <w:color w:val="000000"/>
          <w:sz w:val="14"/>
        </w:rPr>
        <w:t>Source: Supplementary_Table_S9_competing_risk_and_Aalen_Johansen__tertiles.csv.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552"/>
        <w:gridCol w:w="2552"/>
        <w:gridCol w:w="1963"/>
        <w:gridCol w:w="1963"/>
        <w:gridCol w:w="1963"/>
        <w:gridCol w:w="1967"/>
      </w:tblGrid>
      <w:tr>
        <w:trPr>
          <w:cantSplit/>
          <w:tblHeader w:val="true"/>
        </w:trPr>
        <w:tc>
          <w:tcPr>
            <w:tcW w:type="dxa" w:w="255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55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Risk group</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N</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pRBC events</w:t>
            </w:r>
          </w:p>
        </w:tc>
        <w:tc>
          <w:tcPr>
            <w:tcW w:type="dxa" w:w="196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Competing events</w:t>
            </w:r>
          </w:p>
        </w:tc>
        <w:tc>
          <w:tcPr>
            <w:tcW w:type="dxa" w:w="196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Censored at 18 h</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Intermediate</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815</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17</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210</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588</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High</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762</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113</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118</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531</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Low</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693</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197</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490</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High</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1,976</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213</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428</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1,335</w:t>
            </w:r>
          </w:p>
        </w:tc>
      </w:tr>
      <w:tr>
        <w:trPr>
          <w:cantSplit/>
        </w:trPr>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55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Intermediate</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2,758</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42</w:t>
            </w:r>
          </w:p>
        </w:tc>
        <w:tc>
          <w:tcPr>
            <w:tcW w:type="dxa" w:w="196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836</w:t>
            </w:r>
          </w:p>
        </w:tc>
        <w:tc>
          <w:tcPr>
            <w:tcW w:type="dxa" w:w="19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1,880</w:t>
            </w:r>
          </w:p>
        </w:tc>
      </w:tr>
      <w:tr>
        <w:trPr>
          <w:cantSplit/>
        </w:trPr>
        <w:tc>
          <w:tcPr>
            <w:tcW w:type="dxa" w:w="255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55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Low</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1,844</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7</w:t>
            </w:r>
          </w:p>
        </w:tc>
        <w:tc>
          <w:tcPr>
            <w:tcW w:type="dxa" w:w="196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550</w:t>
            </w:r>
          </w:p>
        </w:tc>
        <w:tc>
          <w:tcPr>
            <w:tcW w:type="dxa" w:w="196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1,287</w:t>
            </w:r>
          </w:p>
        </w:tc>
      </w:tr>
    </w:tbl>
    <w:p>
      <w:pPr>
        <w:sectPr>
          <w:headerReference w:type="default" r:id="rId27"/>
          <w:footerReference w:type="default" r:id="rId28"/>
          <w:pgSz w:w="15840" w:h="12240" w:orient="landscape"/>
          <w:pgMar w:top="1080" w:right="1440" w:bottom="1080" w:left="1440" w:header="648" w:footer="648" w:gutter="0"/>
          <w:cols w:space="720"/>
          <w:docGrid w:linePitch="360"/>
        </w:sectPr>
      </w:pPr>
    </w:p>
    <w:p>
      <w:pPr>
        <w:pStyle w:val="Heading2"/>
        <w:pageBreakBefore w:val="0"/>
      </w:pPr>
      <w:r>
        <w:t>Supplementary Table S10. Development-locked thresholds and operating points</w:t>
      </w:r>
    </w:p>
    <w:p>
      <w:pPr>
        <w:keepNext/>
      </w:pPr>
      <w:r>
        <w:rPr>
          <w:rFonts w:ascii="Times New Roman" w:hAnsi="Times New Roman" w:eastAsia="Times New Roman" w:cs="Times New Roman"/>
          <w:b/>
          <w:i w:val="0"/>
          <w:color w:val="000000"/>
          <w:sz w:val="16"/>
        </w:rPr>
        <w:t>Part 1: Intervals</w:t>
      </w:r>
    </w:p>
    <w:p>
      <w:pPr>
        <w:keepNext/>
      </w:pPr>
      <w:r>
        <w:rPr>
          <w:rFonts w:ascii="Times New Roman" w:hAnsi="Times New Roman" w:eastAsia="Times New Roman" w:cs="Times New Roman"/>
          <w:b w:val="0"/>
          <w:i/>
          <w:color w:val="000000"/>
          <w:sz w:val="14"/>
        </w:rPr>
        <w:t>Source: Supplementary_Table_S10_locked_thresholds_and_operating_points__intervals.csv.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132"/>
        <w:gridCol w:w="2132"/>
        <w:gridCol w:w="2132"/>
        <w:gridCol w:w="1640"/>
        <w:gridCol w:w="1640"/>
        <w:gridCol w:w="1640"/>
        <w:gridCol w:w="1644"/>
      </w:tblGrid>
      <w:tr>
        <w:trPr>
          <w:cantSplit/>
          <w:tblHeader w:val="true"/>
        </w:trPr>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Threshold</w:t>
            </w:r>
          </w:p>
        </w:tc>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64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0.677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0.820</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0.799</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0.241</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0.987</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0.730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0.860</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0.739</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0.720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0.757</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0.194</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0.989</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0.312</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0.882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0.933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0.549</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0.592</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0.135</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0.456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0.437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0.478</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0.626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0.746</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0.868</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0.195</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0.989</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0.192</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0.767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0.814</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0.780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0.757</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0.984</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0.991</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0.265</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Sensitivity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0.905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0.933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Specificity</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0.550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0.603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0.082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0.098</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NPV</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0.995</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Flagged fraction</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0.441</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0.415</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0.469</w:t>
            </w:r>
          </w:p>
        </w:tc>
        <w:tc>
          <w:tcPr>
            <w:tcW w:type="dxa" w:w="164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2: Points</w:t>
      </w:r>
    </w:p>
    <w:p>
      <w:pPr>
        <w:keepNext/>
      </w:pPr>
      <w:r>
        <w:rPr>
          <w:rFonts w:ascii="Times New Roman" w:hAnsi="Times New Roman" w:eastAsia="Times New Roman" w:cs="Times New Roman"/>
          <w:b w:val="0"/>
          <w:i/>
          <w:color w:val="000000"/>
          <w:sz w:val="14"/>
        </w:rPr>
        <w:t>Source: Supplementary_Table_S10_locked_thresholds_and_operating_points__points.csv.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701"/>
        <w:gridCol w:w="1701"/>
        <w:gridCol w:w="1701"/>
        <w:gridCol w:w="1309"/>
        <w:gridCol w:w="1309"/>
        <w:gridCol w:w="1309"/>
        <w:gridCol w:w="1309"/>
        <w:gridCol w:w="1309"/>
        <w:gridCol w:w="1312"/>
      </w:tblGrid>
      <w:tr>
        <w:trPr>
          <w:cantSplit/>
          <w:tblHeader w:val="true"/>
        </w:trPr>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Threshold</w:t>
            </w:r>
          </w:p>
        </w:tc>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Intended action</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TP</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FP</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TN</w:t>
            </w:r>
          </w:p>
        </w:tc>
        <w:tc>
          <w:tcPr>
            <w:tcW w:type="dxa" w:w="13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FN</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1,223</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5,160</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317</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1,647</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4,736</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79</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6,779 (396)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357</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2,652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3,731</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39</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391</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1,743</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34</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109</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558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1,576</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27</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916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1,218</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946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5,370</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80</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 MIMIC development locked five-fold OOF only</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201</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1,388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4,928</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61</w:t>
            </w:r>
          </w:p>
        </w:tc>
      </w:tr>
      <w:tr>
        <w:trPr>
          <w:cantSplit/>
        </w:trPr>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 MIMIC development locked five-fold OOF only</w:t>
            </w:r>
          </w:p>
        </w:tc>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review/reassessment operating point; not an automatic transfusion trigger</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237</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2,663</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3,653</w:t>
            </w:r>
          </w:p>
        </w:tc>
        <w:tc>
          <w:tcPr>
            <w:tcW w:type="dxa" w:w="13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25</w:t>
            </w:r>
          </w:p>
        </w:tc>
      </w:tr>
    </w:tbl>
    <w:p>
      <w:pPr>
        <w:keepNext/>
      </w:pPr>
      <w:r>
        <w:rPr>
          <w:rFonts w:ascii="Times New Roman" w:hAnsi="Times New Roman" w:eastAsia="Times New Roman" w:cs="Times New Roman"/>
          <w:b/>
          <w:i w:val="0"/>
          <w:color w:val="000000"/>
          <w:sz w:val="17"/>
        </w:rPr>
        <w:t>Supplementary Table S10, Part 2: Points (continued; display block 2 of 2)</w:t>
      </w:r>
    </w:p>
    <w:p>
      <w:pPr>
        <w:keepNext/>
      </w:pPr>
      <w:r>
        <w:rPr>
          <w:rFonts w:ascii="Times New Roman" w:hAnsi="Times New Roman" w:eastAsia="Times New Roman" w:cs="Times New Roman"/>
          <w:b w:val="0"/>
          <w:i/>
          <w:color w:val="000000"/>
          <w:sz w:val="14"/>
        </w:rPr>
        <w:t>Source: Supplementary_Table_S10_locked_thresholds_and_operating_points__points.csv.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755"/>
        <w:gridCol w:w="1755"/>
        <w:gridCol w:w="1350"/>
        <w:gridCol w:w="1350"/>
        <w:gridCol w:w="1350"/>
        <w:gridCol w:w="1350"/>
        <w:gridCol w:w="1350"/>
        <w:gridCol w:w="1350"/>
        <w:gridCol w:w="1350"/>
      </w:tblGrid>
      <w:tr>
        <w:trPr>
          <w:cantSplit/>
          <w:tblHeader w:val="true"/>
        </w:trPr>
        <w:tc>
          <w:tcPr>
            <w:tcW w:type="dxa" w:w="17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7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Threshold</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Sensitivity</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Specificity</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PPV</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NPV</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Flagged fraction</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Flagged per 100</w:t>
            </w:r>
          </w:p>
        </w:tc>
        <w:tc>
          <w:tcPr>
            <w:tcW w:type="dxa" w:w="135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Events captured per 100</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0.747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0.808</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0.195</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4.4</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0.742</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4.7</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locked five-fold OOF</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0.902</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0.585</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0.444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44.4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5.3</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0.750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4.5</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0.739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0.163</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0.983</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4.8</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0.882</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0.116</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0.456</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45.6</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5.3</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Youden (0.0664)</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0.695</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0.985</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17.1</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2.8</w:t>
            </w:r>
          </w:p>
        </w:tc>
      </w:tr>
      <w:tr>
        <w:trPr>
          <w:cantSplit/>
        </w:trPr>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&gt;=80% (0.0489)</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0.767</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0.780</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0.126</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0.988</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0.242</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24.2</w:t>
            </w:r>
          </w:p>
        </w:tc>
        <w:tc>
          <w:tcPr>
            <w:tcW w:type="dxa" w:w="135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3.1</w:t>
            </w:r>
          </w:p>
        </w:tc>
      </w:tr>
      <w:tr>
        <w:trPr>
          <w:cantSplit/>
        </w:trPr>
        <w:tc>
          <w:tcPr>
            <w:tcW w:type="dxa" w:w="17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cross-database evaluation</w:t>
            </w:r>
          </w:p>
        </w:tc>
        <w:tc>
          <w:tcPr>
            <w:tcW w:type="dxa" w:w="17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 sensitivity &gt;=90% (0.0268)</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0.905</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0.578</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0.082</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0.993</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0.441</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44.1</w:t>
            </w:r>
          </w:p>
        </w:tc>
        <w:tc>
          <w:tcPr>
            <w:tcW w:type="dxa" w:w="135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3.6</w:t>
            </w:r>
          </w:p>
        </w:tc>
      </w:tr>
    </w:tbl>
    <w:p>
      <w:pPr>
        <w:keepNext/>
      </w:pPr>
      <w:r>
        <w:rPr>
          <w:rFonts w:ascii="Times New Roman" w:hAnsi="Times New Roman" w:eastAsia="Times New Roman" w:cs="Times New Roman"/>
          <w:b/>
          <w:i w:val="0"/>
          <w:color w:val="000000"/>
          <w:sz w:val="16"/>
        </w:rPr>
        <w:t>Part 3: Thresholds</w:t>
      </w:r>
    </w:p>
    <w:p>
      <w:pPr>
        <w:keepNext/>
      </w:pPr>
      <w:r>
        <w:rPr>
          <w:rFonts w:ascii="Times New Roman" w:hAnsi="Times New Roman" w:eastAsia="Times New Roman" w:cs="Times New Roman"/>
          <w:b w:val="0"/>
          <w:i/>
          <w:color w:val="000000"/>
          <w:sz w:val="14"/>
        </w:rPr>
        <w:t>Source: Supplementary_Table_S10_locked_thresholds_and_operating_points__thresholds.csv.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441"/>
        <w:gridCol w:w="2441"/>
        <w:gridCol w:w="2441"/>
        <w:gridCol w:w="1878"/>
        <w:gridCol w:w="1878"/>
        <w:gridCol w:w="1881"/>
      </w:tblGrid>
      <w:tr>
        <w:trPr>
          <w:cantSplit/>
          <w:tblHeader w:val="true"/>
        </w:trPr>
        <w:tc>
          <w:tcPr>
            <w:tcW w:type="dxa" w:w="244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Threshold ID</w:t>
            </w:r>
          </w:p>
        </w:tc>
        <w:tc>
          <w:tcPr>
            <w:tcW w:type="dxa" w:w="244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Threshold label</w:t>
            </w:r>
          </w:p>
        </w:tc>
        <w:tc>
          <w:tcPr>
            <w:tcW w:type="dxa" w:w="244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Threshold definition</w:t>
            </w:r>
          </w:p>
        </w:tc>
        <w:tc>
          <w:tcPr>
            <w:tcW w:type="dxa" w:w="187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Threshold</w:t>
            </w:r>
          </w:p>
        </w:tc>
        <w:tc>
          <w:tcPr>
            <w:tcW w:type="dxa" w:w="187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Selection data</w:t>
            </w:r>
          </w:p>
        </w:tc>
        <w:tc>
          <w:tcPr>
            <w:tcW w:type="dxa" w:w="188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Probability scale</w:t>
            </w:r>
          </w:p>
        </w:tc>
      </w:tr>
      <w:tr>
        <w:trPr>
          <w:cantSplit/>
        </w:trPr>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youden</w:t>
            </w:r>
          </w:p>
        </w:tc>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Youden</w:t>
            </w:r>
          </w:p>
        </w:tc>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Maximum Youden index in calibrated MIMIC development OOF; ties favor higher specificity then higher threshold</w:t>
            </w:r>
          </w:p>
        </w:tc>
        <w:tc>
          <w:tcPr>
            <w:tcW w:type="dxa" w:w="18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0.0664</w:t>
            </w:r>
          </w:p>
        </w:tc>
        <w:tc>
          <w:tcPr>
            <w:tcW w:type="dxa" w:w="18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MIMIC development locked five-fold OOF predictions only; n=6779; events=396</w:t>
            </w:r>
          </w:p>
        </w:tc>
        <w:tc>
          <w:tcPr>
            <w:tcW w:type="dxa" w:w="188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two-parameter logistic recalibrated from development OOF</w:t>
            </w:r>
          </w:p>
        </w:tc>
      </w:tr>
      <w:tr>
        <w:trPr>
          <w:cantSplit/>
        </w:trPr>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sensitivity 80</w:t>
            </w:r>
          </w:p>
        </w:tc>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sensitivity &gt;=80%</w:t>
            </w:r>
          </w:p>
        </w:tc>
        <w:tc>
          <w:tcPr>
            <w:tcW w:type="dxa" w:w="244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Highest calibrated MIMIC development OOF threshold retaining at least 80% sensitivity</w:t>
            </w:r>
          </w:p>
        </w:tc>
        <w:tc>
          <w:tcPr>
            <w:tcW w:type="dxa" w:w="18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0.0489</w:t>
            </w:r>
          </w:p>
        </w:tc>
        <w:tc>
          <w:tcPr>
            <w:tcW w:type="dxa" w:w="18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MIMIC development locked five-fold OOF predictions only; n=6779; events=396</w:t>
            </w:r>
          </w:p>
        </w:tc>
        <w:tc>
          <w:tcPr>
            <w:tcW w:type="dxa" w:w="188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two-parameter logistic recalibrated from development OOF</w:t>
            </w:r>
          </w:p>
        </w:tc>
      </w:tr>
      <w:tr>
        <w:trPr>
          <w:cantSplit/>
        </w:trPr>
        <w:tc>
          <w:tcPr>
            <w:tcW w:type="dxa" w:w="244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sensitivity 90</w:t>
            </w:r>
          </w:p>
        </w:tc>
        <w:tc>
          <w:tcPr>
            <w:tcW w:type="dxa" w:w="244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Development sensitivity &gt;=90%</w:t>
            </w:r>
          </w:p>
        </w:tc>
        <w:tc>
          <w:tcPr>
            <w:tcW w:type="dxa" w:w="244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Highest calibrated MIMIC development OOF threshold retaining at least 90% sensitivity</w:t>
            </w:r>
          </w:p>
        </w:tc>
        <w:tc>
          <w:tcPr>
            <w:tcW w:type="dxa" w:w="187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0.0268</w:t>
            </w:r>
          </w:p>
        </w:tc>
        <w:tc>
          <w:tcPr>
            <w:tcW w:type="dxa" w:w="187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MIMIC development locked five-fold OOF predictions only; n=6779; events=396</w:t>
            </w:r>
          </w:p>
        </w:tc>
        <w:tc>
          <w:tcPr>
            <w:tcW w:type="dxa" w:w="188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two-parameter logistic recalibrated from development OOF</w:t>
            </w:r>
          </w:p>
        </w:tc>
      </w:tr>
    </w:tbl>
    <w:p>
      <w:pPr>
        <w:sectPr>
          <w:headerReference w:type="default" r:id="rId29"/>
          <w:footerReference w:type="default" r:id="rId30"/>
          <w:pgSz w:w="15840" w:h="12240" w:orient="landscape"/>
          <w:pgMar w:top="1080" w:right="1440" w:bottom="1080" w:left="1440" w:header="648" w:footer="648" w:gutter="0"/>
          <w:cols w:space="720"/>
          <w:docGrid w:linePitch="360"/>
        </w:sectPr>
      </w:pPr>
    </w:p>
    <w:p>
      <w:pPr>
        <w:pStyle w:val="Heading2"/>
        <w:pageBreakBefore w:val="0"/>
      </w:pPr>
      <w:r>
        <w:t>Supplementary Table S11. Full-landmark recorded-by-six-hours operational analysis</w:t>
      </w:r>
    </w:p>
    <w:p>
      <w:pPr>
        <w:keepNext/>
      </w:pPr>
      <w:r>
        <w:rPr>
          <w:rFonts w:ascii="Times New Roman" w:hAnsi="Times New Roman" w:eastAsia="Times New Roman" w:cs="Times New Roman"/>
          <w:b/>
          <w:i w:val="0"/>
          <w:color w:val="000000"/>
          <w:sz w:val="16"/>
        </w:rPr>
        <w:t>Part 1: Discordance</w:t>
      </w:r>
    </w:p>
    <w:p>
      <w:pPr>
        <w:keepNext/>
      </w:pPr>
      <w:r>
        <w:rPr>
          <w:rFonts w:ascii="Times New Roman" w:hAnsi="Times New Roman" w:eastAsia="Times New Roman" w:cs="Times New Roman"/>
          <w:b w:val="0"/>
          <w:i/>
          <w:color w:val="000000"/>
          <w:sz w:val="14"/>
        </w:rPr>
        <w:t>Source: Supplementary_Table_S11_recorded_by_6h_operational_analysis__discordance.csv.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132"/>
        <w:gridCol w:w="2132"/>
        <w:gridCol w:w="2132"/>
        <w:gridCol w:w="1640"/>
        <w:gridCol w:w="1640"/>
        <w:gridCol w:w="1640"/>
        <w:gridCol w:w="1644"/>
      </w:tblGrid>
      <w:tr>
        <w:trPr>
          <w:cantSplit/>
          <w:tblHeader w:val="true"/>
        </w:trPr>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Event-time early pRBC</w:t>
            </w:r>
          </w:p>
        </w:tc>
        <w:tc>
          <w:tcPr>
            <w:tcW w:type="dxa" w:w="213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Early pRBC recorded by landmark</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Events</w:t>
            </w:r>
          </w:p>
        </w:tc>
        <w:tc>
          <w:tcPr>
            <w:tcW w:type="dxa" w:w="16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64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Discordant</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full landmark</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6,751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382</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0.057</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full landmark</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473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0.433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development full landmark</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0.500</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TRUE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0.057</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149</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0.436</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14</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0.571</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TRUE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6,546</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251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293</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118</w:t>
            </w:r>
          </w:p>
        </w:tc>
        <w:tc>
          <w:tcPr>
            <w:tcW w:type="dxa" w:w="16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0.403</w:t>
            </w:r>
          </w:p>
        </w:tc>
        <w:tc>
          <w:tcPr>
            <w:tcW w:type="dxa" w:w="164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FALSE</w:t>
            </w:r>
          </w:p>
        </w:tc>
      </w:tr>
      <w:tr>
        <w:trPr>
          <w:cantSplit/>
        </w:trPr>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w:t>
            </w:r>
          </w:p>
        </w:tc>
        <w:tc>
          <w:tcPr>
            <w:tcW w:type="dxa" w:w="213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32</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w:t>
            </w:r>
          </w:p>
        </w:tc>
        <w:tc>
          <w:tcPr>
            <w:tcW w:type="dxa" w:w="16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0.344</w:t>
            </w:r>
          </w:p>
        </w:tc>
        <w:tc>
          <w:tcPr>
            <w:tcW w:type="dxa" w:w="164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TRUE</w:t>
            </w:r>
          </w:p>
        </w:tc>
      </w:tr>
    </w:tbl>
    <w:p>
      <w:pPr>
        <w:keepNext/>
      </w:pPr>
      <w:r>
        <w:rPr>
          <w:rFonts w:ascii="Times New Roman" w:hAnsi="Times New Roman" w:eastAsia="Times New Roman" w:cs="Times New Roman"/>
          <w:b/>
          <w:i w:val="0"/>
          <w:color w:val="000000"/>
          <w:sz w:val="16"/>
        </w:rPr>
        <w:t>Part 2: Intervals</w:t>
      </w:r>
    </w:p>
    <w:p>
      <w:pPr>
        <w:keepNext/>
      </w:pPr>
      <w:r>
        <w:rPr>
          <w:rFonts w:ascii="Times New Roman" w:hAnsi="Times New Roman" w:eastAsia="Times New Roman" w:cs="Times New Roman"/>
          <w:b w:val="0"/>
          <w:i/>
          <w:color w:val="000000"/>
          <w:sz w:val="14"/>
        </w:rPr>
        <w:t>Source: Supplementary_Table_S11_recorded_by_6h_operational_analysis__intervals.csv.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0.400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0.337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0.477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0.059</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0.901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1.142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0.896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0.431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1.065</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0.979</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1.168</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3: Paired differences</w:t>
      </w:r>
    </w:p>
    <w:p>
      <w:pPr>
        <w:keepNext/>
      </w:pPr>
      <w:r>
        <w:rPr>
          <w:rFonts w:ascii="Times New Roman" w:hAnsi="Times New Roman" w:eastAsia="Times New Roman" w:cs="Times New Roman"/>
          <w:b w:val="0"/>
          <w:i/>
          <w:color w:val="000000"/>
          <w:sz w:val="14"/>
        </w:rPr>
        <w:t>Source: Supplementary_Table_S11_recorded_by_6h_operational_analysis__paired_differences.csv.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Comparison</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 vs Retrospective event-time early-pRBC XGBoost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 vs Retrospective event-time early-pRBC XGBoost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 vs Retrospective event-time early-pRBC XGBoost sensitivity</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0.000</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4: Performance</w:t>
      </w:r>
    </w:p>
    <w:p>
      <w:pPr>
        <w:keepNext/>
      </w:pPr>
      <w:r>
        <w:rPr>
          <w:rFonts w:ascii="Times New Roman" w:hAnsi="Times New Roman" w:eastAsia="Times New Roman" w:cs="Times New Roman"/>
          <w:b w:val="0"/>
          <w:i/>
          <w:color w:val="000000"/>
          <w:sz w:val="14"/>
        </w:rPr>
        <w:t>Source: Supplementary_Table_S11_recorded_by_6h_operational_analysis__performance.csv.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full-landmark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2,419 (201)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0.083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0.400</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0.059</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full-landmark recorded-by-6h analysis</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full-landmark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Operational recorded-by-6h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6,871 (380)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0.878</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0.361</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r>
    </w:tbl>
    <w:p>
      <w:pPr>
        <w:keepNext/>
      </w:pPr>
      <w:r>
        <w:rPr>
          <w:rFonts w:ascii="Times New Roman" w:hAnsi="Times New Roman" w:eastAsia="Times New Roman" w:cs="Times New Roman"/>
          <w:b/>
          <w:i w:val="0"/>
          <w:color w:val="000000"/>
          <w:sz w:val="17"/>
        </w:rPr>
        <w:t>Supplementary Table S11, Part 4: Performance (continued; display block 2 of 2)</w:t>
      </w:r>
    </w:p>
    <w:p>
      <w:pPr>
        <w:keepNext/>
      </w:pPr>
      <w:r>
        <w:rPr>
          <w:rFonts w:ascii="Times New Roman" w:hAnsi="Times New Roman" w:eastAsia="Times New Roman" w:cs="Times New Roman"/>
          <w:b w:val="0"/>
          <w:i/>
          <w:color w:val="000000"/>
          <w:sz w:val="14"/>
        </w:rPr>
        <w:t>Source: Supplementary_Table_S11_recorded_by_6h_operational_analysis__performance.csv.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Operational full-landmark recorded-by-6h analysis</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full-landmark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Operational recorded-by-6h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0.047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1.008</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Operational full-landmark recorded-by-6h analysis</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full-landmark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Operational recorded-by-6h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-0.076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1.065</w:t>
            </w:r>
          </w:p>
        </w:tc>
      </w:tr>
    </w:tbl>
    <w:p>
      <w:pPr>
        <w:sectPr>
          <w:headerReference w:type="default" r:id="rId31"/>
          <w:footerReference w:type="default" r:id="rId32"/>
          <w:pgSz w:w="15840" w:h="12240" w:orient="landscape"/>
          <w:pgMar w:top="1080" w:right="1440" w:bottom="1080" w:left="1440" w:header="648" w:footer="648" w:gutter="0"/>
          <w:cols w:space="720"/>
          <w:docGrid w:linePitch="360"/>
        </w:sectPr>
      </w:pPr>
    </w:p>
    <w:p>
      <w:pPr>
        <w:pStyle w:val="Heading2"/>
        <w:pageBreakBefore w:val="0"/>
      </w:pPr>
      <w:r>
        <w:t>Supplementary Table S12. Retrospective event-time eligibility sensitivity</w:t>
      </w:r>
    </w:p>
    <w:p>
      <w:pPr>
        <w:keepNext/>
      </w:pPr>
      <w:r>
        <w:rPr>
          <w:rFonts w:ascii="Times New Roman" w:hAnsi="Times New Roman" w:eastAsia="Times New Roman" w:cs="Times New Roman"/>
          <w:b/>
          <w:i w:val="0"/>
          <w:color w:val="000000"/>
          <w:sz w:val="16"/>
        </w:rPr>
        <w:t>Part 1: Counts</w:t>
      </w:r>
    </w:p>
    <w:p>
      <w:pPr>
        <w:keepNext/>
      </w:pPr>
      <w:r>
        <w:rPr>
          <w:rFonts w:ascii="Times New Roman" w:hAnsi="Times New Roman" w:eastAsia="Times New Roman" w:cs="Times New Roman"/>
          <w:b w:val="0"/>
          <w:i/>
          <w:color w:val="000000"/>
          <w:sz w:val="14"/>
        </w:rPr>
        <w:t>Source: Supplementary_Table_S12_retrospective_event_time_eligibility__counts.csv.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3178"/>
        <w:gridCol w:w="2445"/>
        <w:gridCol w:w="2445"/>
        <w:gridCol w:w="2445"/>
        <w:gridCol w:w="2447"/>
      </w:tblGrid>
      <w:tr>
        <w:trPr>
          <w:cantSplit/>
          <w:tblHeader w:val="true"/>
        </w:trPr>
        <w:tc>
          <w:tcPr>
            <w:tcW w:type="dxa" w:w="317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44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N</w:t>
            </w:r>
          </w:p>
        </w:tc>
        <w:tc>
          <w:tcPr>
            <w:tcW w:type="dxa" w:w="244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Events</w:t>
            </w:r>
          </w:p>
        </w:tc>
        <w:tc>
          <w:tcPr>
            <w:tcW w:type="dxa" w:w="244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Eligibility</w:t>
            </w:r>
          </w:p>
        </w:tc>
        <w:tc>
          <w:tcPr>
            <w:tcW w:type="dxa" w:w="244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Prevalence</w:t>
            </w:r>
          </w:p>
        </w:tc>
      </w:tr>
      <w:tr>
        <w:trPr>
          <w:cantSplit/>
        </w:trPr>
        <w:tc>
          <w:tcPr>
            <w:tcW w:type="dxa" w:w="31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development</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6,751</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382</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early_prbc == 0; retrospective event-time sensitivity</w:t>
            </w:r>
          </w:p>
        </w:tc>
        <w:tc>
          <w:tcPr>
            <w:tcW w:type="dxa" w:w="244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0.057</w:t>
            </w:r>
          </w:p>
        </w:tc>
      </w:tr>
      <w:tr>
        <w:trPr>
          <w:cantSplit/>
        </w:trPr>
        <w:tc>
          <w:tcPr>
            <w:tcW w:type="dxa" w:w="317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2,256</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128</w:t>
            </w:r>
          </w:p>
        </w:tc>
        <w:tc>
          <w:tcPr>
            <w:tcW w:type="dxa" w:w="244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early_prbc == 0; retrospective event-time sensitivity</w:t>
            </w:r>
          </w:p>
        </w:tc>
        <w:tc>
          <w:tcPr>
            <w:tcW w:type="dxa" w:w="244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0.057</w:t>
            </w:r>
          </w:p>
        </w:tc>
      </w:tr>
      <w:tr>
        <w:trPr>
          <w:cantSplit/>
        </w:trPr>
        <w:tc>
          <w:tcPr>
            <w:tcW w:type="dxa" w:w="317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cross-database evaluation</w:t>
            </w:r>
          </w:p>
        </w:tc>
        <w:tc>
          <w:tcPr>
            <w:tcW w:type="dxa" w:w="244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6,546</w:t>
            </w:r>
          </w:p>
        </w:tc>
        <w:tc>
          <w:tcPr>
            <w:tcW w:type="dxa" w:w="244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251</w:t>
            </w:r>
          </w:p>
        </w:tc>
        <w:tc>
          <w:tcPr>
            <w:tcW w:type="dxa" w:w="244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early_prbc == 0; retrospective event-time sensitivity</w:t>
            </w:r>
          </w:p>
        </w:tc>
        <w:tc>
          <w:tcPr>
            <w:tcW w:type="dxa" w:w="244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0.038</w:t>
            </w:r>
          </w:p>
        </w:tc>
      </w:tr>
    </w:tbl>
    <w:p>
      <w:pPr>
        <w:keepNext/>
      </w:pPr>
      <w:r>
        <w:rPr>
          <w:rFonts w:ascii="Times New Roman" w:hAnsi="Times New Roman" w:eastAsia="Times New Roman" w:cs="Times New Roman"/>
          <w:b/>
          <w:i w:val="0"/>
          <w:color w:val="000000"/>
          <w:sz w:val="16"/>
        </w:rPr>
        <w:t>Part 2: Intervals</w:t>
      </w:r>
    </w:p>
    <w:p>
      <w:pPr>
        <w:keepNext/>
      </w:pPr>
      <w:r>
        <w:rPr>
          <w:rFonts w:ascii="Times New Roman" w:hAnsi="Times New Roman" w:eastAsia="Times New Roman" w:cs="Times New Roman"/>
          <w:b w:val="0"/>
          <w:i/>
          <w:color w:val="000000"/>
          <w:sz w:val="14"/>
        </w:rPr>
        <w:t>Source: Supplementary_Table_S12_retrospective_event_time_eligibility__intervals.csv.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831"/>
        <w:gridCol w:w="1831"/>
        <w:gridCol w:w="1831"/>
        <w:gridCol w:w="1831"/>
        <w:gridCol w:w="1408"/>
        <w:gridCol w:w="1408"/>
        <w:gridCol w:w="1408"/>
        <w:gridCol w:w="1412"/>
      </w:tblGrid>
      <w:tr>
        <w:trPr>
          <w:cantSplit/>
          <w:tblHeader w:val="true"/>
        </w:trPr>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83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40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4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0.053</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-0.062</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-0.415</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0.306</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1.137</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0.872</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0.227</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0.291</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0.039</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-0.066</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-0.450</w:t>
            </w:r>
          </w:p>
        </w:tc>
        <w:tc>
          <w:tcPr>
            <w:tcW w:type="dxa" w:w="140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0.360</w:t>
            </w:r>
          </w:p>
        </w:tc>
        <w:tc>
          <w:tcPr>
            <w:tcW w:type="dxa" w:w="14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r>
        <w:trPr>
          <w:cantSplit/>
        </w:trPr>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83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1.068</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0.966</w:t>
            </w:r>
          </w:p>
        </w:tc>
        <w:tc>
          <w:tcPr>
            <w:tcW w:type="dxa" w:w="140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1.203</w:t>
            </w:r>
          </w:p>
        </w:tc>
        <w:tc>
          <w:tcPr>
            <w:tcW w:type="dxa" w:w="14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hospital cluster</w:t>
            </w:r>
          </w:p>
        </w:tc>
      </w:tr>
    </w:tbl>
    <w:p>
      <w:pPr>
        <w:keepNext/>
      </w:pPr>
      <w:r>
        <w:rPr>
          <w:rFonts w:ascii="Times New Roman" w:hAnsi="Times New Roman" w:eastAsia="Times New Roman" w:cs="Times New Roman"/>
          <w:b/>
          <w:i w:val="0"/>
          <w:color w:val="000000"/>
          <w:sz w:val="16"/>
        </w:rPr>
        <w:t>Part 3: Performance</w:t>
      </w:r>
    </w:p>
    <w:p>
      <w:pPr>
        <w:keepNext/>
      </w:pPr>
      <w:r>
        <w:rPr>
          <w:rFonts w:ascii="Times New Roman" w:hAnsi="Times New Roman" w:eastAsia="Times New Roman" w:cs="Times New Roman"/>
          <w:b w:val="0"/>
          <w:i/>
          <w:color w:val="000000"/>
          <w:sz w:val="14"/>
        </w:rPr>
        <w:t>Source: Supplementary_Table_S12_retrospective_event_time_eligibility__performance.csv.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event-time-eligibility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2,256 (128)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sensitivity</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 event-time-eligibility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Retrospective event-time eligibility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6,546 (251)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0.227</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r>
    </w:tbl>
    <w:p>
      <w:pPr>
        <w:keepNext/>
      </w:pPr>
      <w:r>
        <w:rPr>
          <w:rFonts w:ascii="Times New Roman" w:hAnsi="Times New Roman" w:eastAsia="Times New Roman" w:cs="Times New Roman"/>
          <w:b/>
          <w:i w:val="0"/>
          <w:color w:val="000000"/>
          <w:sz w:val="17"/>
        </w:rPr>
        <w:t>Supplementary Table S12, Part 3: Performance (continued; display block 2 of 2)</w:t>
      </w:r>
    </w:p>
    <w:p>
      <w:pPr>
        <w:keepNext/>
      </w:pPr>
      <w:r>
        <w:rPr>
          <w:rFonts w:ascii="Times New Roman" w:hAnsi="Times New Roman" w:eastAsia="Times New Roman" w:cs="Times New Roman"/>
          <w:b w:val="0"/>
          <w:i/>
          <w:color w:val="000000"/>
          <w:sz w:val="14"/>
        </w:rPr>
        <w:t>Source: Supplementary_Table_S12_retrospective_event_time_eligibility__performance.csv.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Retrospective event-time eligibility sensitivity</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event-time-eligibility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Retrospective event-time eligibility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-0.062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0.976</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Retrospective event-time eligibility sensitivity</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 event-time-eligibility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Retrospective event-time eligibility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-0.066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1.068</w:t>
            </w:r>
          </w:p>
        </w:tc>
      </w:tr>
    </w:tbl>
    <w:p>
      <w:pPr>
        <w:sectPr>
          <w:headerReference w:type="default" r:id="rId33"/>
          <w:footerReference w:type="default" r:id="rId34"/>
          <w:pgSz w:w="15840" w:h="12240" w:orient="landscape"/>
          <w:pgMar w:top="1080" w:right="1440" w:bottom="1080" w:left="1440" w:header="648" w:footer="648" w:gutter="0"/>
          <w:cols w:space="720"/>
          <w:docGrid w:linePitch="360"/>
        </w:sectPr>
      </w:pPr>
    </w:p>
    <w:p>
      <w:pPr>
        <w:pStyle w:val="Heading2"/>
        <w:pageBreakBefore w:val="0"/>
      </w:pPr>
      <w:r>
        <w:t>Supplementary Table S13. Post-landmark washout sensitivity</w:t>
      </w:r>
    </w:p>
    <w:p>
      <w:pPr>
        <w:keepNext/>
      </w:pPr>
      <w:r>
        <w:rPr>
          <w:rFonts w:ascii="Times New Roman" w:hAnsi="Times New Roman" w:eastAsia="Times New Roman" w:cs="Times New Roman"/>
          <w:b/>
          <w:i w:val="0"/>
          <w:color w:val="000000"/>
          <w:sz w:val="16"/>
        </w:rPr>
        <w:t>Part 1: Counts</w:t>
      </w:r>
    </w:p>
    <w:p>
      <w:pPr>
        <w:keepNext/>
      </w:pPr>
      <w:r>
        <w:rPr>
          <w:rFonts w:ascii="Times New Roman" w:hAnsi="Times New Roman" w:eastAsia="Times New Roman" w:cs="Times New Roman"/>
          <w:b w:val="0"/>
          <w:i/>
          <w:color w:val="000000"/>
          <w:sz w:val="14"/>
        </w:rPr>
        <w:t>Source: Supplementary_Table_S13_washout_sensitivity__counts.csv.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701"/>
        <w:gridCol w:w="1701"/>
        <w:gridCol w:w="1701"/>
        <w:gridCol w:w="1309"/>
        <w:gridCol w:w="1309"/>
        <w:gridCol w:w="1309"/>
        <w:gridCol w:w="1309"/>
        <w:gridCol w:w="1309"/>
        <w:gridCol w:w="1312"/>
      </w:tblGrid>
      <w:tr>
        <w:trPr>
          <w:cantSplit/>
          <w:tblHeader w:val="true"/>
        </w:trPr>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70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Baseline n</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Baseline events</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Removed early events</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Removed early competing events</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Retained n</w:t>
            </w:r>
          </w:p>
        </w:tc>
        <w:tc>
          <w:tcPr>
            <w:tcW w:type="dxa" w:w="130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Retained events</w:t>
            </w:r>
          </w:p>
        </w:tc>
        <w:tc>
          <w:tcPr>
            <w:tcW w:type="dxa" w:w="131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Retained prevalence</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2,270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136</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2,270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124</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2,270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136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115</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6,578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r>
      <w:tr>
        <w:trPr>
          <w:cantSplit/>
        </w:trPr>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70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6,578</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23</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41</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w:t>
            </w:r>
          </w:p>
        </w:tc>
        <w:tc>
          <w:tcPr>
            <w:tcW w:type="dxa" w:w="130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239</w:t>
            </w:r>
          </w:p>
        </w:tc>
        <w:tc>
          <w:tcPr>
            <w:tcW w:type="dxa" w:w="131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r>
      <w:tr>
        <w:trPr>
          <w:cantSplit/>
        </w:trPr>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70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6,578</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262</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43</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w:t>
            </w:r>
          </w:p>
        </w:tc>
        <w:tc>
          <w:tcPr>
            <w:tcW w:type="dxa" w:w="130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219</w:t>
            </w:r>
          </w:p>
        </w:tc>
        <w:tc>
          <w:tcPr>
            <w:tcW w:type="dxa" w:w="131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bl>
    <w:p>
      <w:pPr>
        <w:keepNext/>
        <w:pageBreakBefore/>
      </w:pPr>
      <w:r>
        <w:rPr>
          <w:rFonts w:ascii="Times New Roman" w:hAnsi="Times New Roman" w:eastAsia="Times New Roman" w:cs="Times New Roman"/>
          <w:b/>
          <w:i w:val="0"/>
          <w:color w:val="000000"/>
          <w:sz w:val="17"/>
        </w:rPr>
        <w:t>Supplementary Table S13, Part 1: Counts (continued; display block 2 of 2)</w:t>
      </w:r>
    </w:p>
    <w:p>
      <w:pPr>
        <w:keepNext/>
      </w:pPr>
      <w:r>
        <w:rPr>
          <w:rFonts w:ascii="Times New Roman" w:hAnsi="Times New Roman" w:eastAsia="Times New Roman" w:cs="Times New Roman"/>
          <w:b w:val="0"/>
          <w:i/>
          <w:color w:val="000000"/>
          <w:sz w:val="14"/>
        </w:rPr>
        <w:t>Source: Supplementary_Table_S13_washout_sensitivity__counts.csv.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855"/>
        <w:gridCol w:w="2855"/>
        <w:gridCol w:w="2855"/>
        <w:gridCol w:w="2196"/>
        <w:gridCol w:w="2199"/>
      </w:tblGrid>
      <w:tr>
        <w:trPr>
          <w:cantSplit/>
          <w:tblHeader w:val="true"/>
        </w:trPr>
        <w:tc>
          <w:tcPr>
            <w:tcW w:type="dxa" w:w="28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8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855"/>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Baseline n</w:t>
            </w:r>
          </w:p>
        </w:tc>
        <w:tc>
          <w:tcPr>
            <w:tcW w:type="dxa" w:w="219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Baseline events</w:t>
            </w:r>
          </w:p>
        </w:tc>
        <w:tc>
          <w:tcPr>
            <w:tcW w:type="dxa" w:w="2199"/>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Early event fraction of baseline events</w:t>
            </w:r>
          </w:p>
        </w:tc>
      </w:tr>
      <w:tr>
        <w:trPr>
          <w:cantSplit/>
        </w:trPr>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2,270</w:t>
            </w:r>
          </w:p>
        </w:tc>
        <w:tc>
          <w:tcPr>
            <w:tcW w:type="dxa" w:w="219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136</w:t>
            </w:r>
          </w:p>
        </w:tc>
        <w:tc>
          <w:tcPr>
            <w:tcW w:type="dxa" w:w="219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0.000</w:t>
            </w:r>
          </w:p>
        </w:tc>
      </w:tr>
      <w:tr>
        <w:trPr>
          <w:cantSplit/>
        </w:trPr>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2,270</w:t>
            </w:r>
          </w:p>
        </w:tc>
        <w:tc>
          <w:tcPr>
            <w:tcW w:type="dxa" w:w="219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136</w:t>
            </w:r>
          </w:p>
        </w:tc>
        <w:tc>
          <w:tcPr>
            <w:tcW w:type="dxa" w:w="219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0.088</w:t>
            </w:r>
          </w:p>
        </w:tc>
      </w:tr>
      <w:tr>
        <w:trPr>
          <w:cantSplit/>
        </w:trPr>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2,270</w:t>
            </w:r>
          </w:p>
        </w:tc>
        <w:tc>
          <w:tcPr>
            <w:tcW w:type="dxa" w:w="219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136</w:t>
            </w:r>
          </w:p>
        </w:tc>
        <w:tc>
          <w:tcPr>
            <w:tcW w:type="dxa" w:w="219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0.154</w:t>
            </w:r>
          </w:p>
        </w:tc>
      </w:tr>
      <w:tr>
        <w:trPr>
          <w:cantSplit/>
        </w:trPr>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6,578</w:t>
            </w:r>
          </w:p>
        </w:tc>
        <w:tc>
          <w:tcPr>
            <w:tcW w:type="dxa" w:w="219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262</w:t>
            </w:r>
          </w:p>
        </w:tc>
        <w:tc>
          <w:tcPr>
            <w:tcW w:type="dxa" w:w="219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0.000</w:t>
            </w:r>
          </w:p>
        </w:tc>
      </w:tr>
      <w:tr>
        <w:trPr>
          <w:cantSplit/>
        </w:trPr>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855"/>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6,578</w:t>
            </w:r>
          </w:p>
        </w:tc>
        <w:tc>
          <w:tcPr>
            <w:tcW w:type="dxa" w:w="219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262</w:t>
            </w:r>
          </w:p>
        </w:tc>
        <w:tc>
          <w:tcPr>
            <w:tcW w:type="dxa" w:w="2199"/>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0.088</w:t>
            </w:r>
          </w:p>
        </w:tc>
      </w:tr>
      <w:tr>
        <w:trPr>
          <w:cantSplit/>
        </w:trPr>
        <w:tc>
          <w:tcPr>
            <w:tcW w:type="dxa" w:w="28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8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855"/>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6,578</w:t>
            </w:r>
          </w:p>
        </w:tc>
        <w:tc>
          <w:tcPr>
            <w:tcW w:type="dxa" w:w="219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262</w:t>
            </w:r>
          </w:p>
        </w:tc>
        <w:tc>
          <w:tcPr>
            <w:tcW w:type="dxa" w:w="2199"/>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0.164</w:t>
            </w:r>
          </w:p>
        </w:tc>
      </w:tr>
    </w:tbl>
    <w:p>
      <w:pPr>
        <w:keepNext/>
        <w:pageBreakBefore/>
      </w:pPr>
      <w:r>
        <w:rPr>
          <w:rFonts w:ascii="Times New Roman" w:hAnsi="Times New Roman" w:eastAsia="Times New Roman" w:cs="Times New Roman"/>
          <w:b/>
          <w:i w:val="0"/>
          <w:color w:val="000000"/>
          <w:sz w:val="16"/>
        </w:rPr>
        <w:t>Part 2: Intervals</w:t>
      </w:r>
    </w:p>
    <w:p>
      <w:pPr>
        <w:keepNext/>
      </w:pPr>
      <w:r>
        <w:rPr>
          <w:rFonts w:ascii="Times New Roman" w:hAnsi="Times New Roman" w:eastAsia="Times New Roman" w:cs="Times New Roman"/>
          <w:b w:val="0"/>
          <w:i/>
          <w:color w:val="000000"/>
          <w:sz w:val="14"/>
        </w:rPr>
        <w:t>Source: Supplementary_Table_S13_washout_sensitivity__intervals.csv.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04"/>
        <w:gridCol w:w="1604"/>
        <w:gridCol w:w="1604"/>
        <w:gridCol w:w="1604"/>
        <w:gridCol w:w="1604"/>
        <w:gridCol w:w="1234"/>
        <w:gridCol w:w="1234"/>
        <w:gridCol w:w="1234"/>
        <w:gridCol w:w="1238"/>
      </w:tblGrid>
      <w:tr>
        <w:trPr>
          <w:cantSplit/>
          <w:tblHeader w:val="true"/>
        </w:trPr>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2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0.876</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0.211</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0.347</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0.056</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0.801</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0.305</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0.054</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0.794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0.867</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0.283</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0.871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0.866</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0.205</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0.141</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0.264</w:t>
            </w:r>
          </w:p>
        </w:tc>
        <w:tc>
          <w:tcPr>
            <w:tcW w:type="dxa" w:w="12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bl>
    <w:p>
      <w:pPr>
        <w:keepNext/>
        <w:pageBreakBefore/>
      </w:pPr>
      <w:r>
        <w:rPr>
          <w:rFonts w:ascii="Times New Roman" w:hAnsi="Times New Roman" w:eastAsia="Times New Roman" w:cs="Times New Roman"/>
          <w:b/>
          <w:i w:val="0"/>
          <w:color w:val="000000"/>
          <w:sz w:val="17"/>
        </w:rPr>
        <w:t>Supplementary Table S13, Part 2: Intervals (continued; display block 2 of 2)</w:t>
      </w:r>
    </w:p>
    <w:p>
      <w:pPr>
        <w:keepNext/>
      </w:pPr>
      <w:r>
        <w:rPr>
          <w:rFonts w:ascii="Times New Roman" w:hAnsi="Times New Roman" w:eastAsia="Times New Roman" w:cs="Times New Roman"/>
          <w:b w:val="0"/>
          <w:i/>
          <w:color w:val="000000"/>
          <w:sz w:val="14"/>
        </w:rPr>
        <w:t>Source: Supplementary_Table_S13_washout_sensitivity__intervals.csv.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04"/>
        <w:gridCol w:w="1604"/>
        <w:gridCol w:w="1604"/>
        <w:gridCol w:w="1604"/>
        <w:gridCol w:w="1604"/>
        <w:gridCol w:w="1234"/>
        <w:gridCol w:w="1234"/>
        <w:gridCol w:w="1234"/>
        <w:gridCol w:w="1238"/>
      </w:tblGrid>
      <w:tr>
        <w:trPr>
          <w:cantSplit/>
          <w:tblHeader w:val="true"/>
        </w:trPr>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2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0.027</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0.039</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0.840</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0.861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0.124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0.237</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0.026</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c>
          <w:tcPr>
            <w:tcW w:type="dxa" w:w="12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bl>
    <w:p>
      <w:pPr>
        <w:keepNext/>
        <w:pageBreakBefore/>
      </w:pPr>
      <w:r>
        <w:rPr>
          <w:rFonts w:ascii="Times New Roman" w:hAnsi="Times New Roman" w:eastAsia="Times New Roman" w:cs="Times New Roman"/>
          <w:b/>
          <w:i w:val="0"/>
          <w:color w:val="000000"/>
          <w:sz w:val="16"/>
        </w:rPr>
        <w:t>Part 3: Paired deltas</w:t>
      </w:r>
    </w:p>
    <w:p>
      <w:pPr>
        <w:keepNext/>
      </w:pPr>
      <w:r>
        <w:rPr>
          <w:rFonts w:ascii="Times New Roman" w:hAnsi="Times New Roman" w:eastAsia="Times New Roman" w:cs="Times New Roman"/>
          <w:b w:val="0"/>
          <w:i/>
          <w:color w:val="000000"/>
          <w:sz w:val="14"/>
        </w:rPr>
        <w:t>Source: Supplementary_Table_S13_washout_sensitivity__paired_deltas.csv.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04"/>
        <w:gridCol w:w="1604"/>
        <w:gridCol w:w="1604"/>
        <w:gridCol w:w="1604"/>
        <w:gridCol w:w="1604"/>
        <w:gridCol w:w="1234"/>
        <w:gridCol w:w="1234"/>
        <w:gridCol w:w="1234"/>
        <w:gridCol w:w="1238"/>
      </w:tblGrid>
      <w:tr>
        <w:trPr>
          <w:cantSplit/>
          <w:tblHeader w:val="true"/>
        </w:trPr>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Contrast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2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0.008</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-0.072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-0.061</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-0.097</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-0.027</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-0.007</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stay-level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-0.030</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-0.015</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h washout vs no washout; washout 1.0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-0.011</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-0.019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-0.085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-0.028</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r>
        <w:trPr>
          <w:cantSplit/>
        </w:trPr>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 h washout vs no washout; washout 2.0 h</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-0.003</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-0.004</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-0.002</w:t>
            </w:r>
          </w:p>
        </w:tc>
        <w:tc>
          <w:tcPr>
            <w:tcW w:type="dxa" w:w="12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2,000 replicates; hospital-cluster bootstrap</w:t>
            </w:r>
          </w:p>
        </w:tc>
      </w:tr>
    </w:tbl>
    <w:p>
      <w:pPr>
        <w:keepNext/>
        <w:pageBreakBefore/>
      </w:pPr>
      <w:r>
        <w:rPr>
          <w:rFonts w:ascii="Times New Roman" w:hAnsi="Times New Roman" w:eastAsia="Times New Roman" w:cs="Times New Roman"/>
          <w:b/>
          <w:i w:val="0"/>
          <w:color w:val="000000"/>
          <w:sz w:val="16"/>
        </w:rPr>
        <w:t>Part 4: Performance</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1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0.294</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0.275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2,270 (136)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0.060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0.243</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0.827</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0.245</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2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2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0.261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2,250 (124)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0.055</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0.718</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0.175</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3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3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0.224</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0.245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MIMIC-IV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2,233 (115)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0.047</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0.216</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0.227</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0.035</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4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4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0.211</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0.851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0.235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0.718</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0.0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6,578 (262)</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0.718</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0.138</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0.038</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5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5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0.033</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0.205</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0.703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6,514 (239)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0.037</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0.703</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0.831</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0.167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0.177</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0.177</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0.032</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6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6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Washout hours</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0.824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0.158</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0.119</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0.182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0.031</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0.696</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0.102</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eICU-CRD cross-database evaluation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2.0</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RBF SVM</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6,435 (219)</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0.696</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0.102</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0.034</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7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7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0.017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0.967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0.127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1.019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0.610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1.233</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0.151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1.028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-0.180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0.910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-0.133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0.902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-2.502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0.909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-0.051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0.958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1.662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1.584</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1.333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1.463</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-0.146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0.930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-0.041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0.418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1.182</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-0.022</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0.985</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8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8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-0.288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0.896</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-0.242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0.888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-2.562</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0.880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-0.190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1.487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1.551</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1.165</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1.433</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9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9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-0.285</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-0.183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0.946</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0.268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1.146</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-0.158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0.955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-0.393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0.878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-0.348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0.871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-2.616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0.852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-0.317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1.405</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1.547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MIMIC-IV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1.083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1.428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-0.514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0.875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-0.414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0.007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1.110</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-0.406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0.925</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10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10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-0.390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0.956</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-0.340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0.949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-2.811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0.991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-0.139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1.045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-0.037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1.153</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-0.276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1.065</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11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11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-0.664</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0.845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-0.568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-0.146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1.077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-0.547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0.898</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-0.537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-0.489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0.915</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-2.876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0.960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-0.286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1.013</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-0.456</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1.027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1.0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-0.669</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0.949</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-0.800</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0.820</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Logistic regression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-0.707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0.863</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-0.301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1.043</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Elastic net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-0.690</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0.870</w:t>
            </w:r>
          </w:p>
        </w:tc>
      </w:tr>
    </w:tbl>
    <w:p>
      <w:pPr>
        <w:keepNext/>
        <w:pageBreakBefore/>
      </w:pPr>
      <w:r>
        <w:rPr>
          <w:rFonts w:ascii="Times New Roman" w:hAnsi="Times New Roman" w:eastAsia="Times New Roman" w:cs="Times New Roman"/>
          <w:b/>
          <w:i w:val="0"/>
          <w:color w:val="000000"/>
          <w:sz w:val="17"/>
        </w:rPr>
        <w:t>Supplementary Table S13, Part 4: Performance (continued; display block 12 of 12)</w:t>
      </w:r>
    </w:p>
    <w:p>
      <w:pPr>
        <w:keepNext/>
      </w:pPr>
      <w:r>
        <w:rPr>
          <w:rFonts w:ascii="Times New Roman" w:hAnsi="Times New Roman" w:eastAsia="Times New Roman" w:cs="Times New Roman"/>
          <w:b w:val="0"/>
          <w:i/>
          <w:color w:val="000000"/>
          <w:sz w:val="14"/>
        </w:rPr>
        <w:t>Source: Supplementary_Table_S13_washout_sensitivity__performance.csv.</w:t>
      </w:r>
      <w:r>
        <w:rPr>
          <w:rFonts w:ascii="Times New Roman" w:hAnsi="Times New Roman" w:eastAsia="Times New Roman" w:cs="Times New Roman"/>
          <w:b w:val="0"/>
          <w:i/>
          <w:color w:val="000000"/>
          <w:sz w:val="14"/>
        </w:rPr>
        <w:t xml:space="preserve"> Display block 12 of 12;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Washout hours</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-0.673</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0.894</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Random forest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-0.627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0.887</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-2.938</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0.931</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-0.427</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0.982</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-0.815</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0.921</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eICU-CRD cross-database evaluation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2.0</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RBF SVM</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-1.006</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0.851</w:t>
            </w:r>
          </w:p>
        </w:tc>
      </w:tr>
    </w:tbl>
    <w:p>
      <w:pPr>
        <w:sectPr>
          <w:headerReference w:type="default" r:id="rId35"/>
          <w:footerReference w:type="default" r:id="rId36"/>
          <w:pgSz w:w="15840" w:h="12240" w:orient="landscape"/>
          <w:pgMar w:top="1080" w:right="1440" w:bottom="1080" w:left="1440" w:header="648" w:footer="648" w:gutter="0"/>
          <w:cols w:space="720"/>
          <w:docGrid w:linePitch="360"/>
        </w:sectPr>
      </w:pPr>
    </w:p>
    <w:p>
      <w:pPr>
        <w:pStyle w:val="Heading2"/>
        <w:pageBreakBefore w:val="0"/>
      </w:pPr>
      <w:r>
        <w:t>Supplementary Table S14. Reference-model SHAP importance</w:t>
      </w:r>
    </w:p>
    <w:p>
      <w:pPr>
        <w:keepNext/>
      </w:pPr>
      <w:r>
        <w:rPr>
          <w:rFonts w:ascii="Times New Roman" w:hAnsi="Times New Roman" w:eastAsia="Times New Roman" w:cs="Times New Roman"/>
          <w:b w:val="0"/>
          <w:i/>
          <w:color w:val="000000"/>
          <w:sz w:val="14"/>
        </w:rPr>
        <w:t>Source: Supplementary_Table_S14_SHAP_importance.csv.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3438"/>
        <w:gridCol w:w="3438"/>
        <w:gridCol w:w="3438"/>
        <w:gridCol w:w="2646"/>
      </w:tblGrid>
      <w:tr>
        <w:trPr>
          <w:cantSplit/>
          <w:tblHeader w:val="true"/>
        </w:trPr>
        <w:tc>
          <w:tcPr>
            <w:tcW w:type="dxa" w:w="34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Feature</w:t>
            </w:r>
          </w:p>
        </w:tc>
        <w:tc>
          <w:tcPr>
            <w:tcW w:type="dxa" w:w="34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Mean absolute SHAP</w:t>
            </w:r>
          </w:p>
        </w:tc>
        <w:tc>
          <w:tcPr>
            <w:tcW w:type="dxa" w:w="34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Mean SHAP</w:t>
            </w:r>
          </w:p>
        </w:tc>
        <w:tc>
          <w:tcPr>
            <w:tcW w:type="dxa" w:w="264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Label</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early_hemoglobin_min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0.971</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-0.728</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hemoglobin</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early_sbp_min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0.438</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-0.154</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systolic BP</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early_heart_rate_max</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0.243</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-0.015</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heart rate</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age</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0.157</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-0.071</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Age</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early_spo2_min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0.127</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-0.045</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SpO2</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early_lactate_max</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0.113</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-0.075</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lactate</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early_base_excess_min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0.111</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-0.045</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base excess</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early_inr_max</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0.106</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-0.077</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INR</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early_ph_min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0.104</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-0.077</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pH</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early_platelet_min</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0.062</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-0.028</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platelet count</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early_inr_max_missing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0.059</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-0.044</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INR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early_resp_rate_max</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0.038</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-0.007</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respiratory rate</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early_hemoglobin_min_missing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0.029</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0.018</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hemoglobin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early_sbp_min_missing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0.028</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0.002</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systolic BP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early_platelet_min_missing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0.018</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0.013</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platelet count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early_heart_rate_max_missing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0.013</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0.002</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heart rate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early_base_excess_min_missing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0.006</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-0.003</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base excess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early_lactate_max_missing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0.005</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-0.002</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lactate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female</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0.001</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Female sex</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early_ph_min_missing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pH missing</w:t>
            </w:r>
          </w:p>
        </w:tc>
      </w:tr>
      <w:tr>
        <w:trPr>
          <w:cantSplit/>
        </w:trPr>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early_resp_rate_max_missing</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34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264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Maximum respiratory rate missing</w:t>
            </w:r>
          </w:p>
        </w:tc>
      </w:tr>
      <w:tr>
        <w:trPr>
          <w:cantSplit/>
        </w:trPr>
        <w:tc>
          <w:tcPr>
            <w:tcW w:type="dxa" w:w="34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early_spo2_min_missing</w:t>
            </w:r>
          </w:p>
        </w:tc>
        <w:tc>
          <w:tcPr>
            <w:tcW w:type="dxa" w:w="34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34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0.000</w:t>
            </w:r>
          </w:p>
        </w:tc>
        <w:tc>
          <w:tcPr>
            <w:tcW w:type="dxa" w:w="264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Minimum SpO2 missing</w:t>
            </w:r>
          </w:p>
        </w:tc>
      </w:tr>
    </w:tbl>
    <w:p>
      <w:pPr>
        <w:sectPr>
          <w:headerReference w:type="default" r:id="rId37"/>
          <w:footerReference w:type="default" r:id="rId38"/>
          <w:pgSz w:w="15840" w:h="12240" w:orient="landscape"/>
          <w:pgMar w:top="1080" w:right="1440" w:bottom="1080" w:left="1440" w:header="648" w:footer="648" w:gutter="0"/>
          <w:cols w:space="720"/>
          <w:docGrid w:linePitch="360"/>
        </w:sectPr>
      </w:pPr>
    </w:p>
    <w:p>
      <w:pPr>
        <w:pStyle w:val="Heading2"/>
        <w:pageBreakBefore w:val="0"/>
      </w:pPr>
      <w:r>
        <w:t>Supplementary Table S15. Core and extended model specifications and preprocessing audit</w:t>
      </w:r>
    </w:p>
    <w:p>
      <w:pPr>
        <w:keepNext/>
      </w:pPr>
      <w:r>
        <w:rPr>
          <w:rFonts w:ascii="Times New Roman" w:hAnsi="Times New Roman" w:eastAsia="Times New Roman" w:cs="Times New Roman"/>
          <w:b/>
          <w:i w:val="0"/>
          <w:color w:val="000000"/>
          <w:sz w:val="16"/>
        </w:rPr>
        <w:t>Part 1: Core</w:t>
      </w:r>
    </w:p>
    <w:p>
      <w:pPr>
        <w:keepNext/>
      </w:pPr>
      <w:r>
        <w:rPr>
          <w:rFonts w:ascii="Times New Roman" w:hAnsi="Times New Roman" w:eastAsia="Times New Roman" w:cs="Times New Roman"/>
          <w:b w:val="0"/>
          <w:i/>
          <w:color w:val="000000"/>
          <w:sz w:val="14"/>
        </w:rPr>
        <w:t>Source: Supplementary_Table_S15_model_specifications__core.csv.</w:t>
      </w:r>
      <w:r>
        <w:rPr>
          <w:rFonts w:ascii="Times New Roman" w:hAnsi="Times New Roman" w:eastAsia="Times New Roman" w:cs="Times New Roman"/>
          <w:b w:val="0"/>
          <w:i/>
          <w:color w:val="000000"/>
          <w:sz w:val="14"/>
        </w:rPr>
        <w:t xml:space="preserve"> The Word table summarizes long feature/parameter strings for readability; the cited CSV in the submission source-data folder preserves every original field and value.</w:t>
      </w:r>
      <w:r>
        <w:rPr>
          <w:rFonts w:ascii="Times New Roman" w:hAnsi="Times New Roman" w:eastAsia="Times New Roman" w:cs="Times New Roman"/>
          <w:b w:val="0"/>
          <w:i/>
          <w:color w:val="000000"/>
          <w:sz w:val="14"/>
        </w:rPr>
        <w:t xml:space="preserve"> The primary specification encoded 12 clinical source predictors as 22 model columns, including 10 missingness indicators; the spline specification used 44 final model columns.</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773"/>
        <w:gridCol w:w="1773"/>
        <w:gridCol w:w="1773"/>
        <w:gridCol w:w="1773"/>
        <w:gridCol w:w="1773"/>
        <w:gridCol w:w="1364"/>
        <w:gridCol w:w="1364"/>
        <w:gridCol w:w="1367"/>
      </w:tblGrid>
      <w:tr>
        <w:trPr>
          <w:cantSplit/>
          <w:tblHeader w:val="true"/>
        </w:trPr>
        <w:tc>
          <w:tcPr>
            <w:tcW w:type="dxa" w:w="177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w:t>
            </w:r>
          </w:p>
        </w:tc>
        <w:tc>
          <w:tcPr>
            <w:tcW w:type="dxa" w:w="177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77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Engine</w:t>
            </w:r>
          </w:p>
        </w:tc>
        <w:tc>
          <w:tcPr>
            <w:tcW w:type="dxa" w:w="177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Preprocessing</w:t>
            </w:r>
          </w:p>
        </w:tc>
        <w:tc>
          <w:tcPr>
            <w:tcW w:type="dxa" w:w="1773"/>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Source predictors</w:t>
            </w:r>
          </w:p>
        </w:tc>
        <w:tc>
          <w:tcPr>
            <w:tcW w:type="dxa" w:w="136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Final model columns</w:t>
            </w:r>
          </w:p>
        </w:tc>
        <w:tc>
          <w:tcPr>
            <w:tcW w:type="dxa" w:w="136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Class weight</w:t>
            </w:r>
          </w:p>
        </w:tc>
        <w:tc>
          <w:tcPr>
            <w:tcW w:type="dxa" w:w="136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Calibration</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 regression</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elastic net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random forest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Reference weighted 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16.119</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Primary: no pRBC recorded by 6 hours</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SVM-RBF</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svm rbf</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Unweighted 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3-df natural spline logistic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natural spline</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44</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Post hoc model-form sensitivity in primary population</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Hemoglobin-only logistic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logistic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 source predictors (Laboratory/vital values: 1)</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None</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18.809</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Event-time information-state sensitivity in complete cohort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Complete-cohort XGBoost without event-time early pRBC</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xgboost</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22</w:t>
            </w:r>
          </w:p>
        </w:tc>
        <w:tc>
          <w:tcPr>
            <w:tcW w:type="dxa" w:w="136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11.067</w:t>
            </w:r>
          </w:p>
        </w:tc>
        <w:tc>
          <w:tcPr>
            <w:tcW w:type="dxa" w:w="136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r>
        <w:trPr>
          <w:cantSplit/>
        </w:trPr>
        <w:tc>
          <w:tcPr>
            <w:tcW w:type="dxa" w:w="177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Event-time information-state sensitivity in complete cohort</w:t>
            </w:r>
          </w:p>
        </w:tc>
        <w:tc>
          <w:tcPr>
            <w:tcW w:type="dxa" w:w="177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Complete-cohort XGBoost with event-time early pRBC</w:t>
            </w:r>
          </w:p>
        </w:tc>
        <w:tc>
          <w:tcPr>
            <w:tcW w:type="dxa" w:w="177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xgboost</w:t>
            </w:r>
          </w:p>
        </w:tc>
        <w:tc>
          <w:tcPr>
            <w:tcW w:type="dxa" w:w="177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standard</w:t>
            </w:r>
          </w:p>
        </w:tc>
        <w:tc>
          <w:tcPr>
            <w:tcW w:type="dxa" w:w="1773"/>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13 source predictors (Demographics: 2; Laboratory/vital values: 10; Other: 1)</w:t>
            </w:r>
          </w:p>
        </w:tc>
        <w:tc>
          <w:tcPr>
            <w:tcW w:type="dxa" w:w="136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23</w:t>
            </w:r>
          </w:p>
        </w:tc>
        <w:tc>
          <w:tcPr>
            <w:tcW w:type="dxa" w:w="136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11.067</w:t>
            </w:r>
          </w:p>
        </w:tc>
        <w:tc>
          <w:tcPr>
            <w:tcW w:type="dxa" w:w="136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recalibration from locked MIMIC-development OOF predictions</w:t>
            </w:r>
          </w:p>
        </w:tc>
      </w:tr>
    </w:tbl>
    <w:p>
      <w:pPr>
        <w:keepNext/>
      </w:pPr>
      <w:r>
        <w:rPr>
          <w:rFonts w:ascii="Times New Roman" w:hAnsi="Times New Roman" w:eastAsia="Times New Roman" w:cs="Times New Roman"/>
          <w:b/>
          <w:i w:val="0"/>
          <w:color w:val="000000"/>
          <w:sz w:val="16"/>
        </w:rPr>
        <w:t>Part 2: Extended</w:t>
      </w:r>
    </w:p>
    <w:p>
      <w:pPr>
        <w:keepNext/>
      </w:pPr>
      <w:r>
        <w:rPr>
          <w:rFonts w:ascii="Times New Roman" w:hAnsi="Times New Roman" w:eastAsia="Times New Roman" w:cs="Times New Roman"/>
          <w:b w:val="0"/>
          <w:i/>
          <w:color w:val="000000"/>
          <w:sz w:val="14"/>
        </w:rPr>
        <w:t>Source: Supplementary_Table_S15_model_specifications__extended.csv.</w:t>
      </w:r>
      <w:r>
        <w:rPr>
          <w:rFonts w:ascii="Times New Roman" w:hAnsi="Times New Roman" w:eastAsia="Times New Roman" w:cs="Times New Roman"/>
          <w:b w:val="0"/>
          <w:i/>
          <w:color w:val="000000"/>
          <w:sz w:val="14"/>
        </w:rPr>
        <w:t xml:space="preserve"> The Word table summarizes long feature/parameter strings for readability; the cited CSV in the submission source-data folder preserves every original field and value.</w:t>
      </w:r>
      <w:r>
        <w:rPr>
          <w:rFonts w:ascii="Times New Roman" w:hAnsi="Times New Roman" w:eastAsia="Times New Roman" w:cs="Times New Roman"/>
          <w:b w:val="0"/>
          <w:i/>
          <w:color w:val="000000"/>
          <w:sz w:val="14"/>
        </w:rPr>
        <w:t xml:space="preserve"> The primary specification encoded 12 clinical source predictors as 22 model columns, including 10 missingness indicators; the spline specification used 44 final model columns.</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982"/>
        <w:gridCol w:w="1982"/>
        <w:gridCol w:w="1982"/>
        <w:gridCol w:w="1982"/>
        <w:gridCol w:w="1982"/>
        <w:gridCol w:w="1524"/>
        <w:gridCol w:w="1526"/>
      </w:tblGrid>
      <w:tr>
        <w:trPr>
          <w:cantSplit/>
          <w:tblHeader w:val="true"/>
        </w:trPr>
        <w:tc>
          <w:tcPr>
            <w:tcW w:type="dxa" w:w="198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98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Feature mode</w:t>
            </w:r>
          </w:p>
        </w:tc>
        <w:tc>
          <w:tcPr>
            <w:tcW w:type="dxa" w:w="198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Source predictors</w:t>
            </w:r>
          </w:p>
        </w:tc>
        <w:tc>
          <w:tcPr>
            <w:tcW w:type="dxa" w:w="198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Description</w:t>
            </w:r>
          </w:p>
        </w:tc>
        <w:tc>
          <w:tcPr>
            <w:tcW w:type="dxa" w:w="1982"/>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Tuning</w:t>
            </w:r>
          </w:p>
        </w:tc>
        <w:tc>
          <w:tcPr>
            <w:tcW w:type="dxa" w:w="152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Class weight</w:t>
            </w:r>
          </w:p>
        </w:tc>
        <w:tc>
          <w:tcPr>
            <w:tcW w:type="dxa" w:w="152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Calibration</w:t>
            </w:r>
          </w:p>
        </w:tc>
      </w:tr>
      <w:tr>
        <w:trPr>
          <w:cantSplit/>
        </w:trPr>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Values-only XGBoost</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 only</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Development-median-imputed values without missingness indicators</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Depth 2; eta 0.05; subsample/column sample 0.8; 200 rounds</w:t>
            </w:r>
          </w:p>
        </w:tc>
        <w:tc>
          <w:tcPr>
            <w:tcW w:type="dxa" w:w="152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development non-event/event ratio</w:t>
            </w:r>
          </w:p>
        </w:tc>
        <w:tc>
          <w:tcPr>
            <w:tcW w:type="dxa" w:w="152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calibration from locked-fold OOF predictions</w:t>
            </w:r>
          </w:p>
        </w:tc>
      </w:tr>
      <w:tr>
        <w:trPr>
          <w:cantSplit/>
        </w:trPr>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Missingness-only XGBoost</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indicators only</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Variable-availability indicators without values</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Depth 2; eta 0.05; subsample/column sample 0.8; 200 rounds</w:t>
            </w:r>
          </w:p>
        </w:tc>
        <w:tc>
          <w:tcPr>
            <w:tcW w:type="dxa" w:w="152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development non-event/event ratio</w:t>
            </w:r>
          </w:p>
        </w:tc>
        <w:tc>
          <w:tcPr>
            <w:tcW w:type="dxa" w:w="152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calibration from locked-fold OOF predictions</w:t>
            </w:r>
          </w:p>
        </w:tc>
      </w:tr>
      <w:tr>
        <w:trPr>
          <w:cantSplit/>
        </w:trPr>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First-value XGBoost</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 indicators</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Age, sex, and deterministic first values from the audited SQL ordering</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Depth 2; eta 0.05; subsample/column sample 0.8; 200 rounds</w:t>
            </w:r>
          </w:p>
        </w:tc>
        <w:tc>
          <w:tcPr>
            <w:tcW w:type="dxa" w:w="152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development non-event/event ratio</w:t>
            </w:r>
          </w:p>
        </w:tc>
        <w:tc>
          <w:tcPr>
            <w:tcW w:type="dxa" w:w="152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calibration from locked-fold OOF predictions</w:t>
            </w:r>
          </w:p>
        </w:tc>
      </w:tr>
      <w:tr>
        <w:trPr>
          <w:cantSplit/>
        </w:trPr>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Last-value XGBoost</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 indicators</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12 source predictors (Demographics: 2; Laboratory/vital values: 10)</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Age, sex, and deterministic last values from the audited SQL ordering</w:t>
            </w:r>
          </w:p>
        </w:tc>
        <w:tc>
          <w:tcPr>
            <w:tcW w:type="dxa" w:w="1982"/>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Depth 2; eta 0.05; subsample/column sample 0.8; 200 rounds</w:t>
            </w:r>
          </w:p>
        </w:tc>
        <w:tc>
          <w:tcPr>
            <w:tcW w:type="dxa" w:w="152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development non-event/event ratio</w:t>
            </w:r>
          </w:p>
        </w:tc>
        <w:tc>
          <w:tcPr>
            <w:tcW w:type="dxa" w:w="152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calibration from locked-fold OOF predictions</w:t>
            </w:r>
          </w:p>
        </w:tc>
      </w:tr>
      <w:tr>
        <w:trPr>
          <w:cantSplit/>
        </w:trPr>
        <w:tc>
          <w:tcPr>
            <w:tcW w:type="dxa" w:w="198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Measurement-count-only XGBoost</w:t>
            </w:r>
          </w:p>
        </w:tc>
        <w:tc>
          <w:tcPr>
            <w:tcW w:type="dxa" w:w="198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values only</w:t>
            </w:r>
          </w:p>
        </w:tc>
        <w:tc>
          <w:tcPr>
            <w:tcW w:type="dxa" w:w="198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10 source predictors (Measurement-count features: 10)</w:t>
            </w:r>
          </w:p>
        </w:tc>
        <w:tc>
          <w:tcPr>
            <w:tcW w:type="dxa" w:w="198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Log1p-transformed distinct measurement-time counts without physiology, age, sex, or missingness indicators</w:t>
            </w:r>
          </w:p>
        </w:tc>
        <w:tc>
          <w:tcPr>
            <w:tcW w:type="dxa" w:w="1982"/>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Depth 2; eta 0.05; subsample/column sample 0.8; 200 rounds</w:t>
            </w:r>
          </w:p>
        </w:tc>
        <w:tc>
          <w:tcPr>
            <w:tcW w:type="dxa" w:w="152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development non-event/event ratio</w:t>
            </w:r>
          </w:p>
        </w:tc>
        <w:tc>
          <w:tcPr>
            <w:tcW w:type="dxa" w:w="152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Two-parameter logistic calibration from locked-fold OOF predictions</w:t>
            </w:r>
          </w:p>
        </w:tc>
      </w:tr>
    </w:tbl>
    <w:p>
      <w:pPr>
        <w:keepNext/>
      </w:pPr>
      <w:r>
        <w:rPr>
          <w:rFonts w:ascii="Times New Roman" w:hAnsi="Times New Roman" w:eastAsia="Times New Roman" w:cs="Times New Roman"/>
          <w:b/>
          <w:i w:val="0"/>
          <w:color w:val="000000"/>
          <w:sz w:val="16"/>
        </w:rPr>
        <w:t>Part 3: Preprocessing audit</w:t>
      </w:r>
    </w:p>
    <w:p>
      <w:pPr>
        <w:keepNext/>
      </w:pPr>
      <w:r>
        <w:rPr>
          <w:rFonts w:ascii="Times New Roman" w:hAnsi="Times New Roman" w:eastAsia="Times New Roman" w:cs="Times New Roman"/>
          <w:b w:val="0"/>
          <w:i/>
          <w:color w:val="000000"/>
          <w:sz w:val="14"/>
        </w:rPr>
        <w:t>Source: Supplementary_Table_S15_model_specifications__preprocessing_audit.csv.</w:t>
      </w:r>
      <w:r>
        <w:rPr>
          <w:rFonts w:ascii="Times New Roman" w:hAnsi="Times New Roman" w:eastAsia="Times New Roman" w:cs="Times New Roman"/>
          <w:b w:val="0"/>
          <w:i/>
          <w:color w:val="000000"/>
          <w:sz w:val="14"/>
        </w:rPr>
        <w:t xml:space="preserve"> The Word table summarizes long feature/parameter strings for readability; the cited CSV in the submission source-data folder preserves every original field and value.</w:t>
      </w:r>
      <w:r>
        <w:rPr>
          <w:rFonts w:ascii="Times New Roman" w:hAnsi="Times New Roman" w:eastAsia="Times New Roman" w:cs="Times New Roman"/>
          <w:b w:val="0"/>
          <w:i/>
          <w:color w:val="000000"/>
          <w:sz w:val="14"/>
        </w:rPr>
        <w:t xml:space="preserve"> The primary specification encoded 12 clinical source predictors as 22 model columns, including 10 missingness indicators; the spline specification used 44 final model columns.</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674"/>
        <w:gridCol w:w="2057"/>
        <w:gridCol w:w="2057"/>
        <w:gridCol w:w="2057"/>
        <w:gridCol w:w="2057"/>
        <w:gridCol w:w="2058"/>
      </w:tblGrid>
      <w:tr>
        <w:trPr>
          <w:cantSplit/>
          <w:tblHeader w:val="true"/>
        </w:trPr>
        <w:tc>
          <w:tcPr>
            <w:tcW w:type="dxa" w:w="267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05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Candidate model columns</w:t>
            </w:r>
          </w:p>
        </w:tc>
        <w:tc>
          <w:tcPr>
            <w:tcW w:type="dxa" w:w="205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Final model columns</w:t>
            </w:r>
          </w:p>
        </w:tc>
        <w:tc>
          <w:tcPr>
            <w:tcW w:type="dxa" w:w="205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Retained-feature summary</w:t>
            </w:r>
          </w:p>
        </w:tc>
        <w:tc>
          <w:tcPr>
            <w:tcW w:type="dxa" w:w="2057"/>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Constant features</w:t>
            </w:r>
          </w:p>
        </w:tc>
        <w:tc>
          <w:tcPr>
            <w:tcW w:type="dxa" w:w="205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Duplicate features</w:t>
            </w:r>
          </w:p>
        </w:tc>
      </w:tr>
      <w:tr>
        <w:trPr>
          <w:cantSplit/>
        </w:trPr>
        <w:tc>
          <w:tcPr>
            <w:tcW w:type="dxa" w:w="267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values only xgboost</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 total features (Demographics: 2; Laboratory/vital values: 10)</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c>
          <w:tcPr>
            <w:tcW w:type="dxa" w:w="205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r>
      <w:tr>
        <w:trPr>
          <w:cantSplit/>
        </w:trPr>
        <w:tc>
          <w:tcPr>
            <w:tcW w:type="dxa" w:w="267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missingness only xgboost</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12</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 total features (Missingness indicators: 10)</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age missing; female missing</w:t>
            </w:r>
          </w:p>
        </w:tc>
        <w:tc>
          <w:tcPr>
            <w:tcW w:type="dxa" w:w="205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r>
      <w:tr>
        <w:trPr>
          <w:cantSplit/>
        </w:trPr>
        <w:tc>
          <w:tcPr>
            <w:tcW w:type="dxa" w:w="267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first value xgboost</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24</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22</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22 total features (Demographics: 2; Laboratory/vital values: 10; Missingness indicators: 10)</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age missing; female missing</w:t>
            </w:r>
          </w:p>
        </w:tc>
        <w:tc>
          <w:tcPr>
            <w:tcW w:type="dxa" w:w="205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r>
      <w:tr>
        <w:trPr>
          <w:cantSplit/>
        </w:trPr>
        <w:tc>
          <w:tcPr>
            <w:tcW w:type="dxa" w:w="267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last value xgboost</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24</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22</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22 total features (Demographics: 2; Laboratory/vital values: 10; Missingness indicators: 10)</w:t>
            </w:r>
          </w:p>
        </w:tc>
        <w:tc>
          <w:tcPr>
            <w:tcW w:type="dxa" w:w="2057"/>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age missing; female missing</w:t>
            </w:r>
          </w:p>
        </w:tc>
        <w:tc>
          <w:tcPr>
            <w:tcW w:type="dxa" w:w="205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r>
      <w:tr>
        <w:trPr>
          <w:cantSplit/>
        </w:trPr>
        <w:tc>
          <w:tcPr>
            <w:tcW w:type="dxa" w:w="267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measurement count only xgboost</w:t>
            </w:r>
          </w:p>
        </w:tc>
        <w:tc>
          <w:tcPr>
            <w:tcW w:type="dxa" w:w="205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w:t>
            </w:r>
          </w:p>
        </w:tc>
        <w:tc>
          <w:tcPr>
            <w:tcW w:type="dxa" w:w="205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w:t>
            </w:r>
          </w:p>
        </w:tc>
        <w:tc>
          <w:tcPr>
            <w:tcW w:type="dxa" w:w="205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10 total features (Measurement-count features: 10)</w:t>
            </w:r>
          </w:p>
        </w:tc>
        <w:tc>
          <w:tcPr>
            <w:tcW w:type="dxa" w:w="2057"/>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c>
          <w:tcPr>
            <w:tcW w:type="dxa" w:w="205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None</w:t>
            </w:r>
          </w:p>
        </w:tc>
      </w:tr>
    </w:tbl>
    <w:p>
      <w:pPr>
        <w:sectPr>
          <w:headerReference w:type="default" r:id="rId39"/>
          <w:footerReference w:type="default" r:id="rId40"/>
          <w:pgSz w:w="15840" w:h="12240" w:orient="landscape"/>
          <w:pgMar w:top="1080" w:right="1440" w:bottom="1080" w:left="1440" w:header="648" w:footer="648" w:gutter="0"/>
          <w:cols w:space="720"/>
          <w:docGrid w:linePitch="360"/>
        </w:sectPr>
      </w:pPr>
    </w:p>
    <w:p>
      <w:pPr>
        <w:pStyle w:val="Heading2"/>
        <w:pageBreakBefore w:val="0"/>
      </w:pPr>
      <w:r>
        <w:t>Supplementary Table S16. MIMIC-only expanded pRBC-source sensitivity</w:t>
      </w:r>
    </w:p>
    <w:p>
      <w:pPr>
        <w:keepNext/>
      </w:pPr>
      <w:r>
        <w:rPr>
          <w:rFonts w:ascii="Times New Roman" w:hAnsi="Times New Roman" w:eastAsia="Times New Roman" w:cs="Times New Roman"/>
          <w:b/>
          <w:i w:val="0"/>
          <w:color w:val="000000"/>
          <w:sz w:val="16"/>
        </w:rPr>
        <w:t>Part 1: Intervals</w:t>
      </w:r>
    </w:p>
    <w:p>
      <w:pPr>
        <w:keepNext/>
      </w:pPr>
      <w:r>
        <w:rPr>
          <w:rFonts w:ascii="Times New Roman" w:hAnsi="Times New Roman" w:eastAsia="Times New Roman" w:cs="Times New Roman"/>
          <w:b w:val="0"/>
          <w:i/>
          <w:color w:val="000000"/>
          <w:sz w:val="14"/>
        </w:rPr>
        <w:t>Source: Supplementary_Table_S16_expanded_source_sensitivity__intervals.csv.</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04"/>
        <w:gridCol w:w="1604"/>
        <w:gridCol w:w="1604"/>
        <w:gridCol w:w="1604"/>
        <w:gridCol w:w="1604"/>
        <w:gridCol w:w="1234"/>
        <w:gridCol w:w="1234"/>
        <w:gridCol w:w="1234"/>
        <w:gridCol w:w="1238"/>
      </w:tblGrid>
      <w:tr>
        <w:trPr>
          <w:cantSplit/>
          <w:tblHeader w:val="true"/>
        </w:trPr>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60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Metric</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Estimate</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Lower 95% CI</w:t>
            </w:r>
          </w:p>
        </w:tc>
        <w:tc>
          <w:tcPr>
            <w:tcW w:type="dxa" w:w="1234"/>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Upper 95% CI</w:t>
            </w:r>
          </w:p>
        </w:tc>
        <w:tc>
          <w:tcPr>
            <w:tcW w:type="dxa" w:w="1238"/>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Bootstrap</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AUROC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0.808</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0.881</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AUPRC</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0.259</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0.194</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0.334</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Brier score</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0.036</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0.048</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intercept</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-0.100</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-0.473</w:t>
            </w:r>
          </w:p>
        </w:tc>
        <w:tc>
          <w:tcPr>
            <w:tcW w:type="dxa" w:w="1234"/>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0.309</w:t>
            </w:r>
          </w:p>
        </w:tc>
        <w:tc>
          <w:tcPr>
            <w:tcW w:type="dxa" w:w="1238"/>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r>
        <w:trPr>
          <w:cantSplit/>
        </w:trPr>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60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Calibration slope</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0.977</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0.835</w:t>
            </w:r>
          </w:p>
        </w:tc>
        <w:tc>
          <w:tcPr>
            <w:tcW w:type="dxa" w:w="1234"/>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1.149</w:t>
            </w:r>
          </w:p>
        </w:tc>
        <w:tc>
          <w:tcPr>
            <w:tcW w:type="dxa" w:w="1238"/>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1,000 replicates; individual stay</w:t>
            </w:r>
          </w:p>
        </w:tc>
      </w:tr>
    </w:tbl>
    <w:p>
      <w:pPr>
        <w:keepNext/>
      </w:pPr>
      <w:r>
        <w:rPr>
          <w:rFonts w:ascii="Times New Roman" w:hAnsi="Times New Roman" w:eastAsia="Times New Roman" w:cs="Times New Roman"/>
          <w:b/>
          <w:i w:val="0"/>
          <w:color w:val="000000"/>
          <w:sz w:val="16"/>
        </w:rPr>
        <w:t>Part 2: Performance</w:t>
      </w:r>
    </w:p>
    <w:p>
      <w:pPr>
        <w:keepNext/>
      </w:pPr>
      <w:r>
        <w:rPr>
          <w:rFonts w:ascii="Times New Roman" w:hAnsi="Times New Roman" w:eastAsia="Times New Roman" w:cs="Times New Roman"/>
          <w:b w:val="0"/>
          <w:i/>
          <w:color w:val="000000"/>
          <w:sz w:val="14"/>
        </w:rPr>
        <w:t>Source: Supplementary_Table_S16_expanded_source_sensitivity__performance.csv.</w:t>
      </w:r>
      <w:r>
        <w:rPr>
          <w:rFonts w:ascii="Times New Roman" w:hAnsi="Times New Roman" w:eastAsia="Times New Roman" w:cs="Times New Roman"/>
          <w:b w:val="0"/>
          <w:i/>
          <w:color w:val="000000"/>
          <w:sz w:val="14"/>
        </w:rPr>
        <w:t xml:space="preserve"> Display block 1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1651"/>
        <w:gridCol w:w="1651"/>
        <w:gridCol w:w="1651"/>
        <w:gridCol w:w="1651"/>
        <w:gridCol w:w="1270"/>
        <w:gridCol w:w="1270"/>
        <w:gridCol w:w="1270"/>
        <w:gridCol w:w="1270"/>
        <w:gridCol w:w="1276"/>
      </w:tblGrid>
      <w:tr>
        <w:trPr>
          <w:cantSplit/>
          <w:tblHeader w:val="true"/>
        </w:trPr>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Analysis context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Dataset</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Model</w:t>
            </w:r>
          </w:p>
        </w:tc>
        <w:tc>
          <w:tcPr>
            <w:tcW w:type="dxa" w:w="1651"/>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5"/>
              </w:rPr>
              <w:t>Probability scale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N (events)</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Prevalence</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AUROC</w:t>
            </w:r>
          </w:p>
        </w:tc>
        <w:tc>
          <w:tcPr>
            <w:tcW w:type="dxa" w:w="127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AUPRC</w:t>
            </w:r>
          </w:p>
        </w:tc>
        <w:tc>
          <w:tcPr>
            <w:tcW w:type="dxa" w:w="1276"/>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5"/>
              </w:rPr>
              <w:t>Brier score</w:t>
            </w:r>
          </w:p>
        </w:tc>
      </w:tr>
      <w:tr>
        <w:trPr>
          <w:cantSplit/>
        </w:trPr>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51"/>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Raw</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2,182 (110)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0.259</w:t>
            </w:r>
          </w:p>
        </w:tc>
        <w:tc>
          <w:tcPr>
            <w:tcW w:type="dxa" w:w="1276"/>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0.138</w:t>
            </w:r>
          </w:p>
        </w:tc>
      </w:tr>
      <w:tr>
        <w:trPr>
          <w:cantSplit/>
        </w:trPr>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MIMIC-only OR/PACU documentation-contamination sensitivity: expanded early-pRBC source exclusion</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MIMIC held-out test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Expanded-source sensitivity weighted XGBoost</w:t>
            </w:r>
          </w:p>
        </w:tc>
        <w:tc>
          <w:tcPr>
            <w:tcW w:type="dxa" w:w="1651"/>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5"/>
              </w:rPr>
              <w:t>Calibrated</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2,182 (110)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0.050</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0.845</w:t>
            </w:r>
          </w:p>
        </w:tc>
        <w:tc>
          <w:tcPr>
            <w:tcW w:type="dxa" w:w="127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0.259</w:t>
            </w:r>
          </w:p>
        </w:tc>
        <w:tc>
          <w:tcPr>
            <w:tcW w:type="dxa" w:w="1276"/>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5"/>
              </w:rPr>
              <w:t>0.042</w:t>
            </w:r>
          </w:p>
        </w:tc>
      </w:tr>
    </w:tbl>
    <w:p>
      <w:pPr>
        <w:keepNext/>
      </w:pPr>
      <w:r>
        <w:rPr>
          <w:rFonts w:ascii="Times New Roman" w:hAnsi="Times New Roman" w:eastAsia="Times New Roman" w:cs="Times New Roman"/>
          <w:b/>
          <w:i w:val="0"/>
          <w:color w:val="000000"/>
          <w:sz w:val="17"/>
        </w:rPr>
        <w:t>Supplementary Table S16, Part 2: Performance (continued; display block 2 of 2)</w:t>
      </w:r>
    </w:p>
    <w:p>
      <w:pPr>
        <w:keepNext/>
      </w:pPr>
      <w:r>
        <w:rPr>
          <w:rFonts w:ascii="Times New Roman" w:hAnsi="Times New Roman" w:eastAsia="Times New Roman" w:cs="Times New Roman"/>
          <w:b w:val="0"/>
          <w:i/>
          <w:color w:val="000000"/>
          <w:sz w:val="14"/>
        </w:rPr>
        <w:t>Source: Supplementary_Table_S16_expanded_source_sensitivity__performance.csv.</w:t>
      </w:r>
      <w:r>
        <w:rPr>
          <w:rFonts w:ascii="Times New Roman" w:hAnsi="Times New Roman" w:eastAsia="Times New Roman" w:cs="Times New Roman"/>
          <w:b w:val="0"/>
          <w:i/>
          <w:color w:val="000000"/>
          <w:sz w:val="14"/>
        </w:rPr>
        <w:t xml:space="preserve"> Display block 2 of 2; each block repeats the fields required for independent interpretation, and the cited CSV preserves the complete original schema.</w:t>
      </w:r>
    </w:p>
    <w:tbl>
      <w:tblPr>
        <w:tblW w:type="dxa" w:w="12960"/>
        <w:jc w:val="left"/>
        <w:tblLayout w:type="fixed"/>
        <w:tblLook w:firstColumn="1" w:firstRow="1" w:lastColumn="0" w:lastRow="0" w:noHBand="0" w:noVBand="1" w:val="04A0"/>
        <w:tblInd w:w="0" w:type="dxa"/>
        <w:tblBorders>
          <w:top w:val="nil"/>
          <w:start w:val="nil"/>
          <w:left w:val="nil"/>
          <w:bottom w:val="nil"/>
          <w:end w:val="nil"/>
          <w:right w:val="nil"/>
          <w:insideH w:val="nil"/>
          <w:insideV w:val="nil"/>
        </w:tblBorders>
      </w:tblPr>
      <w:tblGrid>
        <w:gridCol w:w="2340"/>
        <w:gridCol w:w="2340"/>
        <w:gridCol w:w="2340"/>
        <w:gridCol w:w="2340"/>
        <w:gridCol w:w="1800"/>
        <w:gridCol w:w="1800"/>
      </w:tblGrid>
      <w:tr>
        <w:trPr>
          <w:cantSplit/>
          <w:tblHeader w:val="true"/>
        </w:trPr>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Analysis context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Dataset</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Model</w:t>
            </w:r>
          </w:p>
        </w:tc>
        <w:tc>
          <w:tcPr>
            <w:tcW w:type="dxa" w:w="234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left"/>
            </w:pPr>
            <w:r>
              <w:rPr>
                <w:rFonts w:ascii="Times New Roman" w:hAnsi="Times New Roman" w:eastAsia="Times New Roman" w:cs="Times New Roman"/>
                <w:b/>
                <w:i w:val="0"/>
                <w:color w:val="000000"/>
                <w:sz w:val="16"/>
              </w:rPr>
              <w:t>Probability scale</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intercept</w:t>
            </w:r>
          </w:p>
        </w:tc>
        <w:tc>
          <w:tcPr>
            <w:tcW w:type="dxa" w:w="1800"/>
            <w:tcMar>
              <w:top w:w="55" w:type="dxa"/>
              <w:start w:w="70" w:type="dxa"/>
              <w:bottom w:w="55" w:type="dxa"/>
              <w:end w:w="70" w:type="dxa"/>
            </w:tcMar>
            <w:vAlign w:val="center"/>
            <w:tcBorders>
              <w:top w:val="single" w:sz="12" w:space="0" w:color="000000"/>
              <w:start w:val="nil"/>
              <w:left w:val="nil"/>
              <w:bottom w:val="single" w:sz="8" w:space="0" w:color="000000"/>
              <w:end w:val="nil"/>
              <w:right w:val="nil"/>
              <w:insideH w:val="nil"/>
              <w:insideV w:val="nil"/>
            </w:tcBorders>
          </w:tcPr>
          <w:p>
            <w:pPr>
              <w:keepNext/>
              <w:spacing w:after="0"/>
              <w:jc w:val="center"/>
            </w:pPr>
            <w:r>
              <w:rPr>
                <w:rFonts w:ascii="Times New Roman" w:hAnsi="Times New Roman" w:eastAsia="Times New Roman" w:cs="Times New Roman"/>
                <w:b/>
                <w:i w:val="0"/>
                <w:color w:val="000000"/>
                <w:sz w:val="16"/>
              </w:rPr>
              <w:t>Calibration slope</w:t>
            </w:r>
          </w:p>
        </w:tc>
      </w:tr>
      <w:tr>
        <w:trPr>
          <w:cantSplit/>
        </w:trPr>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MIMIC-only OR/PACU documentation-contamination sensitivity: expanded early-pRBC source exclusion</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Expanded-source sensitivity weighted XGBoost</w:t>
            </w:r>
          </w:p>
        </w:tc>
        <w:tc>
          <w:tcPr>
            <w:tcW w:type="dxa" w:w="234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Raw</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-2.721</w:t>
            </w:r>
          </w:p>
        </w:tc>
        <w:tc>
          <w:tcPr>
            <w:tcW w:type="dxa" w:w="1800"/>
            <w:tcMar>
              <w:top w:w="55" w:type="dxa"/>
              <w:start w:w="70" w:type="dxa"/>
              <w:bottom w:w="55" w:type="dxa"/>
              <w:end w:w="70" w:type="dxa"/>
            </w:tcMar>
            <w:vAlign w:val="center"/>
            <w:tcBorders>
              <w:top w:val="nil"/>
              <w:start w:val="nil"/>
              <w:left w:val="nil"/>
              <w:bottom w:val="nil"/>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0.926</w:t>
            </w:r>
          </w:p>
        </w:tc>
      </w:tr>
      <w:tr>
        <w:trPr>
          <w:cantSplit/>
        </w:trPr>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MIMIC-only OR/PACU documentation-contamination sensitivity: expanded early-pRBC source exclusion</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MIMIC held-out test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Expanded-source sensitivity weighted XGBoost</w:t>
            </w:r>
          </w:p>
        </w:tc>
        <w:tc>
          <w:tcPr>
            <w:tcW w:type="dxa" w:w="234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left"/>
            </w:pPr>
            <w:r>
              <w:rPr>
                <w:rFonts w:ascii="Times New Roman" w:hAnsi="Times New Roman" w:eastAsia="Times New Roman" w:cs="Times New Roman"/>
                <w:b w:val="0"/>
                <w:i w:val="0"/>
                <w:color w:val="000000"/>
                <w:sz w:val="16"/>
              </w:rPr>
              <w:t>Calibrated</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-0.100</w:t>
            </w:r>
          </w:p>
        </w:tc>
        <w:tc>
          <w:tcPr>
            <w:tcW w:type="dxa" w:w="1800"/>
            <w:tcMar>
              <w:top w:w="55" w:type="dxa"/>
              <w:start w:w="70" w:type="dxa"/>
              <w:bottom w:w="55" w:type="dxa"/>
              <w:end w:w="70" w:type="dxa"/>
            </w:tcMar>
            <w:vAlign w:val="center"/>
            <w:tcBorders>
              <w:top w:val="nil"/>
              <w:start w:val="nil"/>
              <w:left w:val="nil"/>
              <w:bottom w:val="single" w:sz="12" w:space="0" w:color="000000"/>
              <w:end w:val="nil"/>
              <w:right w:val="nil"/>
              <w:insideH w:val="nil"/>
              <w:insideV w:val="nil"/>
            </w:tcBorders>
          </w:tcPr>
          <w:p>
            <w:pPr>
              <w:spacing w:after="0"/>
              <w:jc w:val="center"/>
            </w:pPr>
            <w:r>
              <w:rPr>
                <w:rFonts w:ascii="Times New Roman" w:hAnsi="Times New Roman" w:eastAsia="Times New Roman" w:cs="Times New Roman"/>
                <w:b w:val="0"/>
                <w:i w:val="0"/>
                <w:color w:val="000000"/>
                <w:sz w:val="16"/>
              </w:rPr>
              <w:t>0.977</w:t>
            </w:r>
          </w:p>
        </w:tc>
      </w:tr>
    </w:tbl>
    <w:p>
      <w:pPr>
        <w:sectPr>
          <w:headerReference w:type="default" r:id="rId41"/>
          <w:footerReference w:type="default" r:id="rId42"/>
          <w:pgSz w:w="15840" w:h="12240" w:orient="landscape"/>
          <w:pgMar w:top="1080" w:right="1440" w:bottom="1080" w:left="1440" w:header="648" w:footer="648" w:gutter="0"/>
          <w:cols w:space="720"/>
          <w:docGrid w:linePitch="360"/>
        </w:sectPr>
      </w:pPr>
    </w:p>
    <w:p>
      <w:pPr>
        <w:pStyle w:val="Heading1"/>
        <w:pageBreakBefore w:val="0"/>
      </w:pPr>
      <w:r>
        <w:t>Supplementary Figures</w:t>
      </w:r>
    </w:p>
    <w:p>
      <w:pPr>
        <w:jc w:val="center"/>
      </w:pPr>
      <w:r>
        <w:drawing>
          <wp:inline xmlns:a="http://schemas.openxmlformats.org/drawingml/2006/main" xmlns:pic="http://schemas.openxmlformats.org/drawingml/2006/picture">
            <wp:extent cx="5897880" cy="3002557"/>
            <wp:docPr id="1" name="Supplementary Figure S1" descr="Supplementary Figure S1 with uppercase panel labels where applicable."/>
            <wp:cNvGraphicFramePr>
              <a:graphicFrameLocks noChangeAspect="1"/>
            </wp:cNvGraphicFramePr>
            <a:graphic>
              <a:graphicData uri="http://schemas.openxmlformats.org/drawingml/2006/picture">
                <pic:pic>
                  <pic:nvPicPr>
                    <pic:cNvPr id="0" name="Figure_S1_extended_feature_sensitivities.png"/>
                    <pic:cNvPicPr/>
                  </pic:nvPicPr>
                  <pic:blipFill>
                    <a:blip r:embed="rId45"/>
                    <a:stretch>
                      <a:fillRect/>
                    </a:stretch>
                  </pic:blipFill>
                  <pic:spPr>
                    <a:xfrm>
                      <a:off x="0" y="0"/>
                      <a:ext cx="5897880" cy="3002557"/>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S1. </w:t>
      </w:r>
      <w:r>
        <w:rPr>
          <w:rFonts w:ascii="Times New Roman" w:hAnsi="Times New Roman" w:eastAsia="Times New Roman" w:cs="Times New Roman"/>
          <w:b w:val="0"/>
          <w:i w:val="0"/>
          <w:color w:val="000000"/>
          <w:sz w:val="17"/>
        </w:rPr>
        <w:t>Extended feature-form sensitivity. (A) eICU AUROC and (B) AUPRC for values-only, missingness-only, first-value, last-value, and measurement-count-only variants. Intervals use hospital-cluster bootstrap resampling.</w:t>
      </w:r>
    </w:p>
    <w:p>
      <w:r>
        <w:br w:type="page"/>
      </w:r>
    </w:p>
    <w:p>
      <w:pPr>
        <w:jc w:val="center"/>
      </w:pPr>
      <w:r>
        <w:drawing>
          <wp:inline xmlns:a="http://schemas.openxmlformats.org/drawingml/2006/main" xmlns:pic="http://schemas.openxmlformats.org/drawingml/2006/picture">
            <wp:extent cx="5897880" cy="3033195"/>
            <wp:docPr id="2" name="Supplementary Figure S2" descr="Supplementary Figure S2 with uppercase panel labels where applicable."/>
            <wp:cNvGraphicFramePr>
              <a:graphicFrameLocks noChangeAspect="1"/>
            </wp:cNvGraphicFramePr>
            <a:graphic>
              <a:graphicData uri="http://schemas.openxmlformats.org/drawingml/2006/picture">
                <pic:pic>
                  <pic:nvPicPr>
                    <pic:cNvPr id="0" name="Figure_S2_information_state_and_outcome_sensitivities.png"/>
                    <pic:cNvPicPr/>
                  </pic:nvPicPr>
                  <pic:blipFill>
                    <a:blip r:embed="rId46"/>
                    <a:stretch>
                      <a:fillRect/>
                    </a:stretch>
                  </pic:blipFill>
                  <pic:spPr>
                    <a:xfrm>
                      <a:off x="0" y="0"/>
                      <a:ext cx="5897880" cy="3033195"/>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S2. </w:t>
      </w:r>
      <w:r>
        <w:rPr>
          <w:rFonts w:ascii="Times New Roman" w:hAnsi="Times New Roman" w:eastAsia="Times New Roman" w:cs="Times New Roman"/>
          <w:b w:val="0"/>
          <w:i w:val="0"/>
          <w:color w:val="000000"/>
          <w:sz w:val="17"/>
        </w:rPr>
        <w:t>Information-state, follow-up, temporal-proxy, status, documentation, and operational sensitivities. (A) MIMIC and (B) eICU AUROC estimates for the applicable analyses. These rows answer different conditional or operational questions and are not a single head-to-head comparison.</w:t>
      </w:r>
    </w:p>
    <w:p>
      <w:r>
        <w:br w:type="page"/>
      </w:r>
    </w:p>
    <w:p>
      <w:pPr>
        <w:jc w:val="center"/>
      </w:pPr>
      <w:r>
        <w:drawing>
          <wp:inline xmlns:a="http://schemas.openxmlformats.org/drawingml/2006/main" xmlns:pic="http://schemas.openxmlformats.org/drawingml/2006/picture">
            <wp:extent cx="5897880" cy="2696174"/>
            <wp:docPr id="3" name="Supplementary Figure S3" descr="Supplementary Figure S3 with uppercase panel labels where applicable."/>
            <wp:cNvGraphicFramePr>
              <a:graphicFrameLocks noChangeAspect="1"/>
            </wp:cNvGraphicFramePr>
            <a:graphic>
              <a:graphicData uri="http://schemas.openxmlformats.org/drawingml/2006/picture">
                <pic:pic>
                  <pic:nvPicPr>
                    <pic:cNvPr id="0" name="Figure_S3_fixed_development_tertile_AJ_curves.png"/>
                    <pic:cNvPicPr/>
                  </pic:nvPicPr>
                  <pic:blipFill>
                    <a:blip r:embed="rId47"/>
                    <a:stretch>
                      <a:fillRect/>
                    </a:stretch>
                  </pic:blipFill>
                  <pic:spPr>
                    <a:xfrm>
                      <a:off x="0" y="0"/>
                      <a:ext cx="5897880" cy="2696174"/>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S3. </w:t>
      </w:r>
      <w:r>
        <w:rPr>
          <w:rFonts w:ascii="Times New Roman" w:hAnsi="Times New Roman" w:eastAsia="Times New Roman" w:cs="Times New Roman"/>
          <w:b w:val="0"/>
          <w:i w:val="0"/>
          <w:color w:val="000000"/>
          <w:sz w:val="17"/>
        </w:rPr>
        <w:t>Aalen-Johansen cumulative incidence by risk tertiles fixed from MIMIC development out-of-fold predictions. (A) MIMIC held-out test and (B) eICU cross-database evaluation. Curves describe cumulative-incidence ordering under competing discharge/death.</w:t>
      </w:r>
    </w:p>
    <w:p>
      <w:r>
        <w:br w:type="page"/>
      </w:r>
    </w:p>
    <w:p>
      <w:pPr>
        <w:jc w:val="center"/>
      </w:pPr>
      <w:r>
        <w:drawing>
          <wp:inline xmlns:a="http://schemas.openxmlformats.org/drawingml/2006/main" xmlns:pic="http://schemas.openxmlformats.org/drawingml/2006/picture">
            <wp:extent cx="5897880" cy="2788089"/>
            <wp:docPr id="4" name="Supplementary Figure S4" descr="Supplementary Figure S4 with uppercase panel labels where applicable."/>
            <wp:cNvGraphicFramePr>
              <a:graphicFrameLocks noChangeAspect="1"/>
            </wp:cNvGraphicFramePr>
            <a:graphic>
              <a:graphicData uri="http://schemas.openxmlformats.org/drawingml/2006/picture">
                <pic:pic>
                  <pic:nvPicPr>
                    <pic:cNvPr id="0" name="Figure_S4_development_locked_operating_points.png"/>
                    <pic:cNvPicPr/>
                  </pic:nvPicPr>
                  <pic:blipFill>
                    <a:blip r:embed="rId48"/>
                    <a:stretch>
                      <a:fillRect/>
                    </a:stretch>
                  </pic:blipFill>
                  <pic:spPr>
                    <a:xfrm>
                      <a:off x="0" y="0"/>
                      <a:ext cx="5897880" cy="2788089"/>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S4. </w:t>
      </w:r>
      <w:r>
        <w:rPr>
          <w:rFonts w:ascii="Times New Roman" w:hAnsi="Times New Roman" w:eastAsia="Times New Roman" w:cs="Times New Roman"/>
          <w:b w:val="0"/>
          <w:i w:val="0"/>
          <w:color w:val="000000"/>
          <w:sz w:val="17"/>
        </w:rPr>
        <w:t>Development-locked operating points in eICU. (A) Sensitivity, specificity, PPV, and NPV with hospital-cluster bootstrap intervals; (B) hypothetical review workload and events captured per 100 eligible stays. Thresholds are not transfusion triggers.</w:t>
      </w:r>
    </w:p>
    <w:p>
      <w:r>
        <w:br w:type="page"/>
      </w:r>
    </w:p>
    <w:p>
      <w:pPr>
        <w:jc w:val="center"/>
      </w:pPr>
      <w:r>
        <w:drawing>
          <wp:inline xmlns:a="http://schemas.openxmlformats.org/drawingml/2006/main" xmlns:pic="http://schemas.openxmlformats.org/drawingml/2006/picture">
            <wp:extent cx="5897880" cy="3524378"/>
            <wp:docPr id="5" name="Supplementary Figure S5" descr="Supplementary Figure S5 with uppercase panel labels where applicable."/>
            <wp:cNvGraphicFramePr>
              <a:graphicFrameLocks noChangeAspect="1"/>
            </wp:cNvGraphicFramePr>
            <a:graphic>
              <a:graphicData uri="http://schemas.openxmlformats.org/drawingml/2006/picture">
                <pic:pic>
                  <pic:nvPicPr>
                    <pic:cNvPr id="0" name="Figure_S5_operational_recorded_by_6h_performance.png"/>
                    <pic:cNvPicPr/>
                  </pic:nvPicPr>
                  <pic:blipFill>
                    <a:blip r:embed="rId49"/>
                    <a:stretch>
                      <a:fillRect/>
                    </a:stretch>
                  </pic:blipFill>
                  <pic:spPr>
                    <a:xfrm>
                      <a:off x="0" y="0"/>
                      <a:ext cx="5897880" cy="3524378"/>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S5. </w:t>
      </w:r>
      <w:r>
        <w:rPr>
          <w:rFonts w:ascii="Times New Roman" w:hAnsi="Times New Roman" w:eastAsia="Times New Roman" w:cs="Times New Roman"/>
          <w:b w:val="0"/>
          <w:i w:val="0"/>
          <w:color w:val="000000"/>
          <w:sz w:val="17"/>
        </w:rPr>
        <w:t>Performance of the operational full-landmark model that includes pRBC status recorded by the 6-hour landmark. Point estimates and 95% confidence intervals are shown for the MIMIC held-out full-landmark test and eICU full-landmark cross-database evaluation. Intervals used individual-stay bootstrap resampling in MIMIC and hospital-cluster bootstrap resampling in eICU. The model used the original subsequent-pRBC outcome and only information available by prediction; it answers a broader operational question than the primary no-early-record estimand.</w:t>
      </w:r>
    </w:p>
    <w:p>
      <w:r>
        <w:br w:type="page"/>
      </w:r>
    </w:p>
    <w:p>
      <w:pPr>
        <w:jc w:val="center"/>
      </w:pPr>
      <w:r>
        <w:drawing>
          <wp:inline xmlns:a="http://schemas.openxmlformats.org/drawingml/2006/main" xmlns:pic="http://schemas.openxmlformats.org/drawingml/2006/picture">
            <wp:extent cx="5897880" cy="2703195"/>
            <wp:docPr id="6" name="Supplementary Figure S6" descr="Supplementary Figure S6 with uppercase panel labels where applicable."/>
            <wp:cNvGraphicFramePr>
              <a:graphicFrameLocks noChangeAspect="1"/>
            </wp:cNvGraphicFramePr>
            <a:graphic>
              <a:graphicData uri="http://schemas.openxmlformats.org/drawingml/2006/picture">
                <pic:pic>
                  <pic:nvPicPr>
                    <pic:cNvPr id="0" name="Supplementary_Figure_S1_five_model_washout_AUROC.png"/>
                    <pic:cNvPicPr/>
                  </pic:nvPicPr>
                  <pic:blipFill>
                    <a:blip r:embed="rId50"/>
                    <a:stretch>
                      <a:fillRect/>
                    </a:stretch>
                  </pic:blipFill>
                  <pic:spPr>
                    <a:xfrm>
                      <a:off x="0" y="0"/>
                      <a:ext cx="5897880" cy="2703195"/>
                    </a:xfrm>
                    <a:prstGeom prst="rect"/>
                  </pic:spPr>
                </pic:pic>
              </a:graphicData>
            </a:graphic>
          </wp:inline>
        </w:drawing>
      </w:r>
    </w:p>
    <w:p>
      <w:pPr>
        <w:pStyle w:val="Caption"/>
      </w:pPr>
      <w:r>
        <w:rPr>
          <w:rFonts w:ascii="Times New Roman" w:hAnsi="Times New Roman" w:eastAsia="Times New Roman" w:cs="Times New Roman"/>
          <w:b/>
          <w:i w:val="0"/>
          <w:color w:val="000000"/>
          <w:sz w:val="17"/>
        </w:rPr>
        <w:t xml:space="preserve">Supplementary Figure S6. </w:t>
      </w:r>
      <w:r>
        <w:rPr>
          <w:rFonts w:ascii="Times New Roman" w:hAnsi="Times New Roman" w:eastAsia="Times New Roman" w:cs="Times New Roman"/>
          <w:b w:val="0"/>
          <w:i w:val="0"/>
          <w:color w:val="000000"/>
          <w:sz w:val="17"/>
        </w:rPr>
        <w:t>Five-model AUROC after zero-, one-, and two-hour washout restrictions. Models and calibration maps were applied unchanged. Washout changes the risk set and event prevalence.</w:t>
      </w:r>
    </w:p>
    <w:sectPr w:rsidR="00FC693F" w:rsidRPr="0006063C" w:rsidSect="00034616">
      <w:headerReference w:type="default" r:id="rId43"/>
      <w:footerReference w:type="default" r:id="rId44"/>
      <w:pgSz w:w="12240" w:h="15840"/>
      <w:pgMar w:top="1440" w:right="1440" w:bottom="1440"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1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color w:val="000000"/>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color w:val="000000"/>
        <w:sz w:val="17"/>
      </w:rPr>
      <w:t>Six-hour prediction of a subsequent pRBC record</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S9. Competing-risk and Aalen-Johansen analyses</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S10. Development-locked thresholds and operating points</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S11. Full-landmark recorded-by-six-hours operational analysis</w:t>
    </w:r>
  </w:p>
</w:hdr>
</file>

<file path=word/header1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S12. Retrospective event-time eligibility sensitivity</w:t>
    </w:r>
  </w:p>
</w:hdr>
</file>

<file path=word/header1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S13. Post-landmark washout sensitivity</w:t>
    </w:r>
  </w:p>
</w:hdr>
</file>

<file path=word/header1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S14. Reference-model SHAP importance</w:t>
    </w:r>
  </w:p>
</w:hdr>
</file>

<file path=word/header1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S15. Core and extended model specifications and preprocessing audit</w:t>
    </w:r>
  </w:p>
</w:hdr>
</file>

<file path=word/header1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S16. MIMIC-only expanded pRBC-source sensitivity</w:t>
    </w:r>
  </w:p>
</w:hdr>
</file>

<file path=word/header1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color w:val="000000"/>
        <w:sz w:val="16"/>
      </w:rPr>
      <w:t>Six-hour prediction of a subsequent pRBC record</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S1. Complete five-model performance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S2. MIMIC development out-of-fold discrimination</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S3. Post hoc model-form sensitivity</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S4. Extended feature-form sensitivity</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S5. Missingness and complete-case context</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S6. Complete 24-hour follow-up sensitivity</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S7. Hemoglobin information-state analyses</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s="Times New Roman"/>
        <w:b w:val="0"/>
        <w:i w:val="0"/>
        <w:color w:val="1F4E79"/>
        <w:sz w:val="16"/>
      </w:rPr>
      <w:t>Supplementary Table S8. Time, status, and documentation definitions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40" w:lineRule="auto"/>
      <w:jc w:val="both"/>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Times New Roman" w:hAnsi="Times New Roman"/>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Times New Roman" w:hAnsi="Times New Roman"/>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Times New Roman" w:hAnsi="Times New Roman"/>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line="240" w:lineRule="auto" w:before="60" w:after="40"/>
    </w:pPr>
    <w:rPr>
      <w:rFonts w:ascii="Times New Roman" w:hAnsi="Times New Roman"/>
      <w:b/>
      <w:bCs/>
      <w:color w:val="000000"/>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header" Target="header7.xml"/><Relationship Id="rId22" Type="http://schemas.openxmlformats.org/officeDocument/2006/relationships/footer" Target="footer7.xml"/><Relationship Id="rId23" Type="http://schemas.openxmlformats.org/officeDocument/2006/relationships/header" Target="header8.xml"/><Relationship Id="rId24" Type="http://schemas.openxmlformats.org/officeDocument/2006/relationships/footer" Target="footer8.xml"/><Relationship Id="rId25" Type="http://schemas.openxmlformats.org/officeDocument/2006/relationships/header" Target="header9.xml"/><Relationship Id="rId26" Type="http://schemas.openxmlformats.org/officeDocument/2006/relationships/footer" Target="footer9.xml"/><Relationship Id="rId27" Type="http://schemas.openxmlformats.org/officeDocument/2006/relationships/header" Target="header10.xml"/><Relationship Id="rId28" Type="http://schemas.openxmlformats.org/officeDocument/2006/relationships/footer" Target="footer10.xml"/><Relationship Id="rId29" Type="http://schemas.openxmlformats.org/officeDocument/2006/relationships/header" Target="header11.xml"/><Relationship Id="rId30" Type="http://schemas.openxmlformats.org/officeDocument/2006/relationships/footer" Target="footer11.xml"/><Relationship Id="rId31" Type="http://schemas.openxmlformats.org/officeDocument/2006/relationships/header" Target="header12.xml"/><Relationship Id="rId32" Type="http://schemas.openxmlformats.org/officeDocument/2006/relationships/footer" Target="footer12.xml"/><Relationship Id="rId33" Type="http://schemas.openxmlformats.org/officeDocument/2006/relationships/header" Target="header13.xml"/><Relationship Id="rId34" Type="http://schemas.openxmlformats.org/officeDocument/2006/relationships/footer" Target="footer13.xml"/><Relationship Id="rId35" Type="http://schemas.openxmlformats.org/officeDocument/2006/relationships/header" Target="header14.xml"/><Relationship Id="rId36" Type="http://schemas.openxmlformats.org/officeDocument/2006/relationships/footer" Target="footer14.xml"/><Relationship Id="rId37" Type="http://schemas.openxmlformats.org/officeDocument/2006/relationships/header" Target="header15.xml"/><Relationship Id="rId38" Type="http://schemas.openxmlformats.org/officeDocument/2006/relationships/footer" Target="footer15.xml"/><Relationship Id="rId39" Type="http://schemas.openxmlformats.org/officeDocument/2006/relationships/header" Target="header16.xml"/><Relationship Id="rId40" Type="http://schemas.openxmlformats.org/officeDocument/2006/relationships/footer" Target="footer16.xml"/><Relationship Id="rId41" Type="http://schemas.openxmlformats.org/officeDocument/2006/relationships/header" Target="header17.xml"/><Relationship Id="rId42" Type="http://schemas.openxmlformats.org/officeDocument/2006/relationships/footer" Target="footer17.xml"/><Relationship Id="rId43" Type="http://schemas.openxmlformats.org/officeDocument/2006/relationships/header" Target="header18.xml"/><Relationship Id="rId44" Type="http://schemas.openxmlformats.org/officeDocument/2006/relationships/footer" Target="footer18.xml"/><Relationship Id="rId45" Type="http://schemas.openxmlformats.org/officeDocument/2006/relationships/image" Target="media/image1.png"/><Relationship Id="rId46" Type="http://schemas.openxmlformats.org/officeDocument/2006/relationships/image" Target="media/image2.png"/><Relationship Id="rId47" Type="http://schemas.openxmlformats.org/officeDocument/2006/relationships/image" Target="media/image3.png"/><Relationship Id="rId48" Type="http://schemas.openxmlformats.org/officeDocument/2006/relationships/image" Target="media/image4.png"/><Relationship Id="rId49" Type="http://schemas.openxmlformats.org/officeDocument/2006/relationships/image" Target="media/image5.png"/><Relationship Id="rId5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Development and Cross-Database Evaluation of 6-Hour Landmark Prediction Models for a Subsequent Packed Red Blood Cell Transfusion Record in Adult Trauma ICU Patients</dc:title>
  <dc:subject/>
  <dc:creator>Gong Zhang et al.</dc:creator>
  <cp:keywords/>
  <dc:description>generated by python-docx</dc:description>
  <cp:lastModifiedBy/>
  <cp:revision>1</cp:revision>
  <dcterms:created xsi:type="dcterms:W3CDTF">2013-12-23T23:15:00Z</dcterms:created>
  <dcterms:modified xsi:type="dcterms:W3CDTF">2013-12-23T23:15:00Z</dcterms:modified>
  <cp:category/>
</cp:coreProperties>
</file>