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40DD7">
      <w:pPr>
        <w:spacing w:after="60"/>
        <w:jc w:val="center"/>
      </w:pPr>
      <w:r>
        <w:rPr>
          <w:rFonts w:ascii="Arial" w:hAnsi="Arial"/>
          <w:b/>
          <w:sz w:val="30"/>
        </w:rPr>
        <w:t>CONSORT 2025 Checklist</w:t>
      </w:r>
    </w:p>
    <w:p w14:paraId="52BD9494">
      <w:pPr>
        <w:spacing w:after="80"/>
        <w:jc w:val="center"/>
      </w:pPr>
      <w:r>
        <w:rPr>
          <w:rFonts w:ascii="Arial" w:hAnsi="Arial"/>
          <w:b/>
          <w:sz w:val="18"/>
        </w:rPr>
        <w:t>Person-Environment-Occupation-Guided Virtual Simulation Rehabilitation for Older Adults With Functional Limitations in Residential Care: A Randomized Controlled Trial</w:t>
      </w:r>
    </w:p>
    <w:p w14:paraId="1588F188">
      <w:pPr>
        <w:spacing w:after="120"/>
      </w:pPr>
      <w:r>
        <w:rPr>
          <w:rFonts w:ascii="Arial" w:hAnsi="Arial"/>
          <w:i/>
          <w:sz w:val="16"/>
        </w:rPr>
        <w:t>Working checklist based on manuscript2.0.docx (29 pages). Recheck page numbers after the final manuscript revision. Yellow cells require factual confirmation or additional reporting before submission; grey cells are not applicable based on the current manuscript.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7"/>
        <w:gridCol w:w="3657"/>
        <w:gridCol w:w="3657"/>
        <w:gridCol w:w="3657"/>
      </w:tblGrid>
      <w:tr w14:paraId="2A20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80" w:type="dxa"/>
            <w:shd w:val="clear" w:color="auto" w:fill="D9EAF7"/>
            <w:tcMar>
              <w:top w:w="65" w:type="dxa"/>
              <w:left w:w="65" w:type="dxa"/>
              <w:bottom w:w="65" w:type="dxa"/>
              <w:right w:w="65" w:type="dxa"/>
            </w:tcMar>
            <w:vAlign w:val="center"/>
          </w:tcPr>
          <w:p w14:paraId="3A5D0CFA">
            <w:pPr>
              <w:keepLines/>
              <w:spacing w:before="0" w:after="0" w:line="240" w:lineRule="auto"/>
              <w:jc w:val="center"/>
            </w:pPr>
            <w:r>
              <w:rPr>
                <w:rFonts w:ascii="Arial" w:hAnsi="Arial"/>
                <w:b/>
                <w:sz w:val="17"/>
              </w:rPr>
              <w:t>Section/topic</w:t>
            </w:r>
          </w:p>
        </w:tc>
        <w:tc>
          <w:tcPr>
            <w:tcW w:w="792" w:type="dxa"/>
            <w:shd w:val="clear" w:color="auto" w:fill="D9EAF7"/>
            <w:tcMar>
              <w:top w:w="65" w:type="dxa"/>
              <w:left w:w="65" w:type="dxa"/>
              <w:bottom w:w="65" w:type="dxa"/>
              <w:right w:w="65" w:type="dxa"/>
            </w:tcMar>
            <w:vAlign w:val="center"/>
          </w:tcPr>
          <w:p w14:paraId="3BC064FA">
            <w:pPr>
              <w:keepLines/>
              <w:spacing w:before="0" w:after="0" w:line="240" w:lineRule="auto"/>
              <w:jc w:val="center"/>
            </w:pPr>
            <w:r>
              <w:rPr>
                <w:rFonts w:ascii="Arial" w:hAnsi="Arial"/>
                <w:b/>
                <w:sz w:val="17"/>
              </w:rPr>
              <w:t>No.</w:t>
            </w:r>
          </w:p>
        </w:tc>
        <w:tc>
          <w:tcPr>
            <w:tcW w:w="8784" w:type="dxa"/>
            <w:shd w:val="clear" w:color="auto" w:fill="D9EAF7"/>
            <w:tcMar>
              <w:top w:w="65" w:type="dxa"/>
              <w:left w:w="65" w:type="dxa"/>
              <w:bottom w:w="65" w:type="dxa"/>
              <w:right w:w="65" w:type="dxa"/>
            </w:tcMar>
            <w:vAlign w:val="center"/>
          </w:tcPr>
          <w:p w14:paraId="413A15DE">
            <w:pPr>
              <w:keepLines/>
              <w:spacing w:before="0" w:after="0" w:line="240" w:lineRule="auto"/>
              <w:jc w:val="center"/>
            </w:pPr>
            <w:r>
              <w:rPr>
                <w:rFonts w:ascii="Arial" w:hAnsi="Arial"/>
                <w:b/>
                <w:sz w:val="17"/>
              </w:rPr>
              <w:t>CONSORT 2025 checklist item description</w:t>
            </w:r>
          </w:p>
        </w:tc>
        <w:tc>
          <w:tcPr>
            <w:tcW w:w="2664" w:type="dxa"/>
            <w:shd w:val="clear" w:color="auto" w:fill="D9EAF7"/>
            <w:tcMar>
              <w:top w:w="65" w:type="dxa"/>
              <w:left w:w="65" w:type="dxa"/>
              <w:bottom w:w="65" w:type="dxa"/>
              <w:right w:w="65" w:type="dxa"/>
            </w:tcMar>
            <w:vAlign w:val="center"/>
          </w:tcPr>
          <w:p w14:paraId="38124BE6">
            <w:pPr>
              <w:keepLines/>
              <w:spacing w:before="0" w:after="0" w:line="240" w:lineRule="auto"/>
              <w:jc w:val="center"/>
            </w:pPr>
            <w:r>
              <w:rPr>
                <w:rFonts w:ascii="Arial" w:hAnsi="Arial"/>
                <w:b/>
                <w:sz w:val="17"/>
              </w:rPr>
              <w:t>Reported on page no.</w:t>
            </w:r>
          </w:p>
        </w:tc>
      </w:tr>
      <w:tr w14:paraId="5701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66AEB15C">
            <w:pPr>
              <w:keepLines/>
              <w:spacing w:before="0" w:after="0" w:line="240" w:lineRule="auto"/>
              <w:jc w:val="left"/>
            </w:pPr>
            <w:r>
              <w:rPr>
                <w:rFonts w:ascii="Arial" w:hAnsi="Arial"/>
                <w:b/>
                <w:sz w:val="16"/>
              </w:rPr>
              <w:t>Title and abstract</w:t>
            </w:r>
            <w:r>
              <w:rPr>
                <w:rFonts w:ascii="Arial" w:hAnsi="Arial"/>
                <w:b/>
                <w:sz w:val="16"/>
              </w:rPr>
              <w:br w:type="textWrapping"/>
            </w:r>
            <w:r>
              <w:rPr>
                <w:rFonts w:ascii="Arial" w:hAnsi="Arial"/>
                <w:b/>
                <w:sz w:val="16"/>
              </w:rPr>
              <w:t>Title and structured abstract</w:t>
            </w:r>
          </w:p>
        </w:tc>
        <w:tc>
          <w:tcPr>
            <w:tcW w:w="792" w:type="dxa"/>
            <w:tcMar>
              <w:top w:w="65" w:type="dxa"/>
              <w:left w:w="65" w:type="dxa"/>
              <w:bottom w:w="65" w:type="dxa"/>
              <w:right w:w="65" w:type="dxa"/>
            </w:tcMar>
            <w:vAlign w:val="top"/>
          </w:tcPr>
          <w:p w14:paraId="38269BD8">
            <w:pPr>
              <w:keepLines/>
              <w:spacing w:before="0" w:after="0" w:line="240" w:lineRule="auto"/>
              <w:jc w:val="center"/>
            </w:pPr>
            <w:r>
              <w:rPr>
                <w:rFonts w:ascii="Arial" w:hAnsi="Arial"/>
                <w:b w:val="0"/>
                <w:sz w:val="16"/>
              </w:rPr>
              <w:t>1a</w:t>
            </w:r>
          </w:p>
        </w:tc>
        <w:tc>
          <w:tcPr>
            <w:tcW w:w="8784" w:type="dxa"/>
            <w:tcMar>
              <w:top w:w="65" w:type="dxa"/>
              <w:left w:w="65" w:type="dxa"/>
              <w:bottom w:w="65" w:type="dxa"/>
              <w:right w:w="65" w:type="dxa"/>
            </w:tcMar>
            <w:vAlign w:val="top"/>
          </w:tcPr>
          <w:p w14:paraId="0D19AF2D">
            <w:pPr>
              <w:keepLines/>
              <w:spacing w:before="0" w:after="0" w:line="240" w:lineRule="auto"/>
              <w:jc w:val="left"/>
            </w:pPr>
            <w:r>
              <w:rPr>
                <w:rFonts w:ascii="Arial" w:hAnsi="Arial"/>
                <w:b w:val="0"/>
                <w:sz w:val="16"/>
              </w:rPr>
              <w:t>Identification as a randomised trial</w:t>
            </w:r>
          </w:p>
        </w:tc>
        <w:tc>
          <w:tcPr>
            <w:tcW w:w="2664" w:type="dxa"/>
            <w:tcMar>
              <w:top w:w="65" w:type="dxa"/>
              <w:left w:w="65" w:type="dxa"/>
              <w:bottom w:w="65" w:type="dxa"/>
              <w:right w:w="65" w:type="dxa"/>
            </w:tcMar>
            <w:vAlign w:val="top"/>
          </w:tcPr>
          <w:p w14:paraId="55D0B921">
            <w:pPr>
              <w:keepLines/>
              <w:spacing w:before="0" w:after="0" w:line="240" w:lineRule="auto"/>
              <w:jc w:val="left"/>
            </w:pPr>
            <w:r>
              <w:rPr>
                <w:rFonts w:ascii="Arial" w:hAnsi="Arial"/>
                <w:b w:val="0"/>
                <w:sz w:val="16"/>
              </w:rPr>
              <w:t>1</w:t>
            </w:r>
          </w:p>
        </w:tc>
      </w:tr>
      <w:tr w14:paraId="24B9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432B61AC">
            <w:pPr>
              <w:keepLines/>
              <w:spacing w:before="0" w:after="0" w:line="240" w:lineRule="auto"/>
              <w:jc w:val="left"/>
            </w:pPr>
          </w:p>
        </w:tc>
        <w:tc>
          <w:tcPr>
            <w:tcW w:w="792" w:type="dxa"/>
            <w:tcMar>
              <w:top w:w="65" w:type="dxa"/>
              <w:left w:w="65" w:type="dxa"/>
              <w:bottom w:w="65" w:type="dxa"/>
              <w:right w:w="65" w:type="dxa"/>
            </w:tcMar>
            <w:vAlign w:val="top"/>
          </w:tcPr>
          <w:p w14:paraId="789FFCA0">
            <w:pPr>
              <w:keepLines/>
              <w:spacing w:before="0" w:after="0" w:line="240" w:lineRule="auto"/>
              <w:jc w:val="center"/>
            </w:pPr>
            <w:r>
              <w:rPr>
                <w:rFonts w:ascii="Arial" w:hAnsi="Arial"/>
                <w:b w:val="0"/>
                <w:sz w:val="16"/>
              </w:rPr>
              <w:t>1b</w:t>
            </w:r>
          </w:p>
        </w:tc>
        <w:tc>
          <w:tcPr>
            <w:tcW w:w="8784" w:type="dxa"/>
            <w:tcMar>
              <w:top w:w="65" w:type="dxa"/>
              <w:left w:w="65" w:type="dxa"/>
              <w:bottom w:w="65" w:type="dxa"/>
              <w:right w:w="65" w:type="dxa"/>
            </w:tcMar>
            <w:vAlign w:val="top"/>
          </w:tcPr>
          <w:p w14:paraId="62AC6982">
            <w:pPr>
              <w:keepLines/>
              <w:spacing w:before="0" w:after="0" w:line="240" w:lineRule="auto"/>
              <w:jc w:val="left"/>
            </w:pPr>
            <w:r>
              <w:rPr>
                <w:rFonts w:ascii="Arial" w:hAnsi="Arial"/>
                <w:b w:val="0"/>
                <w:sz w:val="16"/>
              </w:rPr>
              <w:t>Structured summary of the trial design, methods, results, and conclusions</w:t>
            </w:r>
          </w:p>
        </w:tc>
        <w:tc>
          <w:tcPr>
            <w:tcW w:w="2664" w:type="dxa"/>
            <w:tcMar>
              <w:top w:w="65" w:type="dxa"/>
              <w:left w:w="65" w:type="dxa"/>
              <w:bottom w:w="65" w:type="dxa"/>
              <w:right w:w="65" w:type="dxa"/>
            </w:tcMar>
            <w:vAlign w:val="top"/>
          </w:tcPr>
          <w:p w14:paraId="32BF3282">
            <w:pPr>
              <w:keepLines/>
              <w:spacing w:before="0" w:after="0" w:line="240" w:lineRule="auto"/>
              <w:jc w:val="left"/>
            </w:pPr>
            <w:r>
              <w:rPr>
                <w:rFonts w:ascii="Arial" w:hAnsi="Arial"/>
                <w:b w:val="0"/>
                <w:sz w:val="16"/>
              </w:rPr>
              <w:t>2</w:t>
            </w:r>
          </w:p>
        </w:tc>
      </w:tr>
      <w:tr w14:paraId="7187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2F69D7B">
            <w:pPr>
              <w:keepLines/>
              <w:spacing w:before="0" w:after="0" w:line="240" w:lineRule="auto"/>
              <w:jc w:val="left"/>
            </w:pPr>
            <w:r>
              <w:rPr>
                <w:rFonts w:ascii="Arial" w:hAnsi="Arial"/>
                <w:b/>
                <w:sz w:val="16"/>
              </w:rPr>
              <w:t>Open science</w:t>
            </w:r>
            <w:r>
              <w:rPr>
                <w:rFonts w:ascii="Arial" w:hAnsi="Arial"/>
                <w:b/>
                <w:sz w:val="16"/>
              </w:rPr>
              <w:br w:type="textWrapping"/>
            </w:r>
            <w:r>
              <w:rPr>
                <w:rFonts w:ascii="Arial" w:hAnsi="Arial"/>
                <w:b/>
                <w:sz w:val="16"/>
              </w:rPr>
              <w:t>Trial registration</w:t>
            </w:r>
          </w:p>
        </w:tc>
        <w:tc>
          <w:tcPr>
            <w:tcW w:w="792" w:type="dxa"/>
            <w:tcMar>
              <w:top w:w="65" w:type="dxa"/>
              <w:left w:w="65" w:type="dxa"/>
              <w:bottom w:w="65" w:type="dxa"/>
              <w:right w:w="65" w:type="dxa"/>
            </w:tcMar>
            <w:vAlign w:val="top"/>
          </w:tcPr>
          <w:p w14:paraId="0D0F526A">
            <w:pPr>
              <w:keepLines/>
              <w:spacing w:before="0" w:after="0" w:line="240" w:lineRule="auto"/>
              <w:jc w:val="center"/>
            </w:pPr>
            <w:r>
              <w:rPr>
                <w:rFonts w:ascii="Arial" w:hAnsi="Arial"/>
                <w:b w:val="0"/>
                <w:sz w:val="16"/>
              </w:rPr>
              <w:t>2</w:t>
            </w:r>
          </w:p>
        </w:tc>
        <w:tc>
          <w:tcPr>
            <w:tcW w:w="8784" w:type="dxa"/>
            <w:shd w:val="clear" w:color="auto" w:fill="auto"/>
            <w:tcMar>
              <w:top w:w="65" w:type="dxa"/>
              <w:left w:w="65" w:type="dxa"/>
              <w:bottom w:w="65" w:type="dxa"/>
              <w:right w:w="65" w:type="dxa"/>
            </w:tcMar>
            <w:vAlign w:val="top"/>
          </w:tcPr>
          <w:p w14:paraId="641A6026">
            <w:pPr>
              <w:keepLines/>
              <w:spacing w:before="0" w:after="0" w:line="240" w:lineRule="auto"/>
              <w:jc w:val="left"/>
            </w:pPr>
            <w:r>
              <w:rPr>
                <w:rFonts w:ascii="Arial" w:hAnsi="Arial"/>
                <w:b w:val="0"/>
                <w:sz w:val="16"/>
              </w:rPr>
              <w:t>Name of trial registry, identifying number (with URL) and date of registration</w:t>
            </w:r>
          </w:p>
        </w:tc>
        <w:tc>
          <w:tcPr>
            <w:tcW w:w="2664" w:type="dxa"/>
            <w:shd w:val="clear" w:color="auto" w:fill="auto"/>
            <w:tcMar>
              <w:top w:w="65" w:type="dxa"/>
              <w:left w:w="65" w:type="dxa"/>
              <w:bottom w:w="65" w:type="dxa"/>
              <w:right w:w="65" w:type="dxa"/>
            </w:tcMar>
            <w:vAlign w:val="top"/>
          </w:tcPr>
          <w:p w14:paraId="537AFA55">
            <w:pPr>
              <w:keepLines/>
              <w:spacing w:before="0" w:after="0" w:line="240" w:lineRule="auto"/>
              <w:jc w:val="left"/>
            </w:pPr>
            <w:r>
              <w:rPr>
                <w:rFonts w:ascii="Arial" w:hAnsi="Arial"/>
                <w:b w:val="0"/>
                <w:sz w:val="16"/>
              </w:rPr>
              <w:t>2 and 14</w:t>
            </w:r>
          </w:p>
        </w:tc>
      </w:tr>
      <w:tr w14:paraId="0214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6127C3D">
            <w:pPr>
              <w:keepLines/>
              <w:spacing w:before="0" w:after="0" w:line="240" w:lineRule="auto"/>
              <w:jc w:val="left"/>
            </w:pPr>
            <w:r>
              <w:rPr>
                <w:rFonts w:ascii="Arial" w:hAnsi="Arial"/>
                <w:b w:val="0"/>
                <w:sz w:val="16"/>
              </w:rPr>
              <w:t>Protocol and statistical analysis plan</w:t>
            </w:r>
          </w:p>
        </w:tc>
        <w:tc>
          <w:tcPr>
            <w:tcW w:w="792" w:type="dxa"/>
            <w:tcMar>
              <w:top w:w="65" w:type="dxa"/>
              <w:left w:w="65" w:type="dxa"/>
              <w:bottom w:w="65" w:type="dxa"/>
              <w:right w:w="65" w:type="dxa"/>
            </w:tcMar>
            <w:vAlign w:val="top"/>
          </w:tcPr>
          <w:p w14:paraId="009DD63C">
            <w:pPr>
              <w:keepLines/>
              <w:spacing w:before="0" w:after="0" w:line="240" w:lineRule="auto"/>
              <w:jc w:val="center"/>
            </w:pPr>
            <w:r>
              <w:rPr>
                <w:rFonts w:ascii="Arial" w:hAnsi="Arial"/>
                <w:b w:val="0"/>
                <w:sz w:val="16"/>
              </w:rPr>
              <w:t>3</w:t>
            </w:r>
          </w:p>
        </w:tc>
        <w:tc>
          <w:tcPr>
            <w:tcW w:w="8784" w:type="dxa"/>
            <w:shd w:val="clear" w:color="auto" w:fill="auto"/>
            <w:tcMar>
              <w:top w:w="65" w:type="dxa"/>
              <w:left w:w="65" w:type="dxa"/>
              <w:bottom w:w="65" w:type="dxa"/>
              <w:right w:w="65" w:type="dxa"/>
            </w:tcMar>
            <w:vAlign w:val="top"/>
          </w:tcPr>
          <w:p w14:paraId="2CD6EEE7">
            <w:pPr>
              <w:keepLines/>
              <w:spacing w:before="0" w:after="0" w:line="240" w:lineRule="auto"/>
              <w:jc w:val="left"/>
            </w:pPr>
            <w:r>
              <w:rPr>
                <w:rFonts w:ascii="Arial" w:hAnsi="Arial"/>
                <w:b w:val="0"/>
                <w:sz w:val="16"/>
              </w:rPr>
              <w:t>Where the trial protocol and statistical analysis plan can be accessed</w:t>
            </w:r>
          </w:p>
        </w:tc>
        <w:tc>
          <w:tcPr>
            <w:tcW w:w="2664" w:type="dxa"/>
            <w:shd w:val="clear" w:color="auto" w:fill="auto"/>
            <w:tcMar>
              <w:top w:w="65" w:type="dxa"/>
              <w:left w:w="65" w:type="dxa"/>
              <w:bottom w:w="65" w:type="dxa"/>
              <w:right w:w="65" w:type="dxa"/>
            </w:tcMar>
            <w:vAlign w:val="top"/>
          </w:tcPr>
          <w:p w14:paraId="74E81248">
            <w:pPr>
              <w:keepLines/>
              <w:spacing w:before="0" w:after="0" w:line="240" w:lineRule="auto"/>
              <w:jc w:val="left"/>
              <w:rPr>
                <w:rFonts w:hint="eastAsia" w:eastAsia="宋体"/>
                <w:lang w:eastAsia="zh-CN"/>
              </w:rPr>
            </w:pPr>
            <w:r>
              <w:rPr>
                <w:rFonts w:ascii="Arial" w:hAnsi="Arial"/>
                <w:b w:val="0"/>
                <w:sz w:val="16"/>
              </w:rPr>
              <w:t>N</w:t>
            </w:r>
            <w:r>
              <w:rPr>
                <w:rFonts w:hint="eastAsia" w:eastAsia="宋体"/>
                <w:b w:val="0"/>
                <w:sz w:val="16"/>
                <w:lang w:val="en-US" w:eastAsia="zh-CN"/>
              </w:rPr>
              <w:t>A</w:t>
            </w:r>
          </w:p>
        </w:tc>
      </w:tr>
      <w:tr w14:paraId="7BDB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FEF4BC5">
            <w:pPr>
              <w:keepLines/>
              <w:spacing w:before="0" w:after="0" w:line="240" w:lineRule="auto"/>
              <w:jc w:val="left"/>
            </w:pPr>
            <w:r>
              <w:rPr>
                <w:rFonts w:ascii="Arial" w:hAnsi="Arial"/>
                <w:b w:val="0"/>
                <w:sz w:val="16"/>
              </w:rPr>
              <w:t>Data sharing</w:t>
            </w:r>
          </w:p>
        </w:tc>
        <w:tc>
          <w:tcPr>
            <w:tcW w:w="792" w:type="dxa"/>
            <w:tcMar>
              <w:top w:w="65" w:type="dxa"/>
              <w:left w:w="65" w:type="dxa"/>
              <w:bottom w:w="65" w:type="dxa"/>
              <w:right w:w="65" w:type="dxa"/>
            </w:tcMar>
            <w:vAlign w:val="top"/>
          </w:tcPr>
          <w:p w14:paraId="2BCA3257">
            <w:pPr>
              <w:keepLines/>
              <w:spacing w:before="0" w:after="0" w:line="240" w:lineRule="auto"/>
              <w:jc w:val="center"/>
            </w:pPr>
            <w:r>
              <w:rPr>
                <w:rFonts w:ascii="Arial" w:hAnsi="Arial"/>
                <w:b w:val="0"/>
                <w:sz w:val="16"/>
              </w:rPr>
              <w:t>4</w:t>
            </w:r>
          </w:p>
        </w:tc>
        <w:tc>
          <w:tcPr>
            <w:tcW w:w="8784" w:type="dxa"/>
            <w:shd w:val="clear" w:color="auto" w:fill="auto"/>
            <w:tcMar>
              <w:top w:w="65" w:type="dxa"/>
              <w:left w:w="65" w:type="dxa"/>
              <w:bottom w:w="65" w:type="dxa"/>
              <w:right w:w="65" w:type="dxa"/>
            </w:tcMar>
            <w:vAlign w:val="top"/>
          </w:tcPr>
          <w:p w14:paraId="5D6DAC3E">
            <w:pPr>
              <w:keepLines/>
              <w:spacing w:before="0" w:after="0" w:line="240" w:lineRule="auto"/>
              <w:jc w:val="left"/>
            </w:pPr>
            <w:r>
              <w:rPr>
                <w:rFonts w:ascii="Arial" w:hAnsi="Arial"/>
                <w:b w:val="0"/>
                <w:sz w:val="16"/>
              </w:rPr>
              <w:t>Where and how the individual de-identified participant data (including data dictionary), statistical code and any other materials can be accessed</w:t>
            </w:r>
          </w:p>
        </w:tc>
        <w:tc>
          <w:tcPr>
            <w:tcW w:w="2664" w:type="dxa"/>
            <w:shd w:val="clear" w:color="auto" w:fill="auto"/>
            <w:tcMar>
              <w:top w:w="65" w:type="dxa"/>
              <w:left w:w="65" w:type="dxa"/>
              <w:bottom w:w="65" w:type="dxa"/>
              <w:right w:w="65" w:type="dxa"/>
            </w:tcMar>
            <w:vAlign w:val="top"/>
          </w:tcPr>
          <w:p w14:paraId="27BD883E">
            <w:pPr>
              <w:keepLines/>
              <w:spacing w:before="0" w:after="0" w:line="240" w:lineRule="auto"/>
              <w:jc w:val="left"/>
            </w:pPr>
            <w:r>
              <w:rPr>
                <w:rFonts w:ascii="Arial" w:hAnsi="Arial"/>
                <w:b w:val="0"/>
                <w:sz w:val="16"/>
              </w:rPr>
              <w:t xml:space="preserve">15 </w:t>
            </w:r>
          </w:p>
        </w:tc>
      </w:tr>
      <w:tr w14:paraId="0A83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785FA84">
            <w:pPr>
              <w:keepLines/>
              <w:spacing w:before="0" w:after="0" w:line="240" w:lineRule="auto"/>
              <w:jc w:val="left"/>
            </w:pPr>
            <w:r>
              <w:rPr>
                <w:rFonts w:ascii="Arial" w:hAnsi="Arial"/>
                <w:b w:val="0"/>
                <w:sz w:val="16"/>
              </w:rPr>
              <w:t>Funding and conflicts of interest</w:t>
            </w:r>
          </w:p>
        </w:tc>
        <w:tc>
          <w:tcPr>
            <w:tcW w:w="792" w:type="dxa"/>
            <w:tcMar>
              <w:top w:w="65" w:type="dxa"/>
              <w:left w:w="65" w:type="dxa"/>
              <w:bottom w:w="65" w:type="dxa"/>
              <w:right w:w="65" w:type="dxa"/>
            </w:tcMar>
            <w:vAlign w:val="top"/>
          </w:tcPr>
          <w:p w14:paraId="0E285A0B">
            <w:pPr>
              <w:keepLines/>
              <w:spacing w:before="0" w:after="0" w:line="240" w:lineRule="auto"/>
              <w:jc w:val="center"/>
            </w:pPr>
            <w:r>
              <w:rPr>
                <w:rFonts w:ascii="Arial" w:hAnsi="Arial"/>
                <w:b w:val="0"/>
                <w:sz w:val="16"/>
              </w:rPr>
              <w:t>5a</w:t>
            </w:r>
          </w:p>
        </w:tc>
        <w:tc>
          <w:tcPr>
            <w:tcW w:w="8784" w:type="dxa"/>
            <w:tcMar>
              <w:top w:w="65" w:type="dxa"/>
              <w:left w:w="65" w:type="dxa"/>
              <w:bottom w:w="65" w:type="dxa"/>
              <w:right w:w="65" w:type="dxa"/>
            </w:tcMar>
            <w:vAlign w:val="top"/>
          </w:tcPr>
          <w:p w14:paraId="0A8A82E9">
            <w:pPr>
              <w:keepLines/>
              <w:spacing w:before="0" w:after="0" w:line="240" w:lineRule="auto"/>
              <w:jc w:val="left"/>
            </w:pPr>
            <w:r>
              <w:rPr>
                <w:rFonts w:ascii="Arial" w:hAnsi="Arial"/>
                <w:b w:val="0"/>
                <w:sz w:val="16"/>
              </w:rPr>
              <w:t>Sources of funding and other support (eg, supply of drugs), and role of funders in the design, conduct, analysis and reporting of the trial</w:t>
            </w:r>
          </w:p>
        </w:tc>
        <w:tc>
          <w:tcPr>
            <w:tcW w:w="2664" w:type="dxa"/>
            <w:tcMar>
              <w:top w:w="65" w:type="dxa"/>
              <w:left w:w="65" w:type="dxa"/>
              <w:bottom w:w="65" w:type="dxa"/>
              <w:right w:w="65" w:type="dxa"/>
            </w:tcMar>
            <w:vAlign w:val="top"/>
          </w:tcPr>
          <w:p w14:paraId="36F20681">
            <w:pPr>
              <w:keepLines/>
              <w:spacing w:before="0" w:after="0" w:line="240" w:lineRule="auto"/>
              <w:jc w:val="left"/>
            </w:pPr>
            <w:r>
              <w:rPr>
                <w:rFonts w:ascii="Arial" w:hAnsi="Arial"/>
                <w:b w:val="0"/>
                <w:sz w:val="16"/>
              </w:rPr>
              <w:t>15</w:t>
            </w:r>
          </w:p>
        </w:tc>
      </w:tr>
      <w:tr w14:paraId="156E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921A287">
            <w:pPr>
              <w:keepLines/>
              <w:spacing w:before="0" w:after="0" w:line="240" w:lineRule="auto"/>
              <w:jc w:val="left"/>
            </w:pPr>
          </w:p>
        </w:tc>
        <w:tc>
          <w:tcPr>
            <w:tcW w:w="792" w:type="dxa"/>
            <w:tcMar>
              <w:top w:w="65" w:type="dxa"/>
              <w:left w:w="65" w:type="dxa"/>
              <w:bottom w:w="65" w:type="dxa"/>
              <w:right w:w="65" w:type="dxa"/>
            </w:tcMar>
            <w:vAlign w:val="top"/>
          </w:tcPr>
          <w:p w14:paraId="7B7FA471">
            <w:pPr>
              <w:keepLines/>
              <w:spacing w:before="0" w:after="0" w:line="240" w:lineRule="auto"/>
              <w:jc w:val="center"/>
            </w:pPr>
            <w:r>
              <w:rPr>
                <w:rFonts w:ascii="Arial" w:hAnsi="Arial"/>
                <w:b w:val="0"/>
                <w:sz w:val="16"/>
              </w:rPr>
              <w:t>5b</w:t>
            </w:r>
          </w:p>
        </w:tc>
        <w:tc>
          <w:tcPr>
            <w:tcW w:w="8784" w:type="dxa"/>
            <w:tcMar>
              <w:top w:w="65" w:type="dxa"/>
              <w:left w:w="65" w:type="dxa"/>
              <w:bottom w:w="65" w:type="dxa"/>
              <w:right w:w="65" w:type="dxa"/>
            </w:tcMar>
            <w:vAlign w:val="top"/>
          </w:tcPr>
          <w:p w14:paraId="1EA77D38">
            <w:pPr>
              <w:keepLines/>
              <w:spacing w:before="0" w:after="0" w:line="240" w:lineRule="auto"/>
              <w:jc w:val="left"/>
            </w:pPr>
            <w:r>
              <w:rPr>
                <w:rFonts w:ascii="Arial" w:hAnsi="Arial"/>
                <w:b w:val="0"/>
                <w:sz w:val="16"/>
              </w:rPr>
              <w:t>Financial and other conflicts of interest of the manuscript authors</w:t>
            </w:r>
          </w:p>
        </w:tc>
        <w:tc>
          <w:tcPr>
            <w:tcW w:w="2664" w:type="dxa"/>
            <w:tcMar>
              <w:top w:w="65" w:type="dxa"/>
              <w:left w:w="65" w:type="dxa"/>
              <w:bottom w:w="65" w:type="dxa"/>
              <w:right w:w="65" w:type="dxa"/>
            </w:tcMar>
            <w:vAlign w:val="top"/>
          </w:tcPr>
          <w:p w14:paraId="68BBC542">
            <w:pPr>
              <w:keepLines/>
              <w:spacing w:before="0" w:after="0" w:line="240" w:lineRule="auto"/>
              <w:jc w:val="left"/>
            </w:pPr>
            <w:r>
              <w:rPr>
                <w:rFonts w:ascii="Arial" w:hAnsi="Arial"/>
                <w:b w:val="0"/>
                <w:sz w:val="16"/>
              </w:rPr>
              <w:t>14</w:t>
            </w:r>
          </w:p>
        </w:tc>
      </w:tr>
      <w:tr w14:paraId="405E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7A36C049">
            <w:pPr>
              <w:keepLines/>
              <w:spacing w:before="0" w:after="0" w:line="240" w:lineRule="auto"/>
              <w:jc w:val="left"/>
            </w:pPr>
            <w:r>
              <w:rPr>
                <w:rFonts w:ascii="Arial" w:hAnsi="Arial"/>
                <w:b/>
                <w:sz w:val="16"/>
              </w:rPr>
              <w:t>Introduction</w:t>
            </w:r>
            <w:r>
              <w:rPr>
                <w:rFonts w:ascii="Arial" w:hAnsi="Arial"/>
                <w:b/>
                <w:sz w:val="16"/>
              </w:rPr>
              <w:br w:type="textWrapping"/>
            </w:r>
            <w:r>
              <w:rPr>
                <w:rFonts w:ascii="Arial" w:hAnsi="Arial"/>
                <w:b/>
                <w:sz w:val="16"/>
              </w:rPr>
              <w:t>Background and rationale</w:t>
            </w:r>
          </w:p>
        </w:tc>
        <w:tc>
          <w:tcPr>
            <w:tcW w:w="792" w:type="dxa"/>
            <w:tcMar>
              <w:top w:w="65" w:type="dxa"/>
              <w:left w:w="65" w:type="dxa"/>
              <w:bottom w:w="65" w:type="dxa"/>
              <w:right w:w="65" w:type="dxa"/>
            </w:tcMar>
            <w:vAlign w:val="top"/>
          </w:tcPr>
          <w:p w14:paraId="4C7A2128">
            <w:pPr>
              <w:keepLines/>
              <w:spacing w:before="0" w:after="0" w:line="240" w:lineRule="auto"/>
              <w:jc w:val="center"/>
            </w:pPr>
            <w:r>
              <w:rPr>
                <w:rFonts w:ascii="Arial" w:hAnsi="Arial"/>
                <w:b w:val="0"/>
                <w:sz w:val="16"/>
              </w:rPr>
              <w:t>6</w:t>
            </w:r>
          </w:p>
        </w:tc>
        <w:tc>
          <w:tcPr>
            <w:tcW w:w="8784" w:type="dxa"/>
            <w:tcMar>
              <w:top w:w="65" w:type="dxa"/>
              <w:left w:w="65" w:type="dxa"/>
              <w:bottom w:w="65" w:type="dxa"/>
              <w:right w:w="65" w:type="dxa"/>
            </w:tcMar>
            <w:vAlign w:val="top"/>
          </w:tcPr>
          <w:p w14:paraId="2BB873EC">
            <w:pPr>
              <w:keepLines/>
              <w:spacing w:before="0" w:after="0" w:line="240" w:lineRule="auto"/>
              <w:jc w:val="left"/>
            </w:pPr>
            <w:r>
              <w:rPr>
                <w:rFonts w:ascii="Arial" w:hAnsi="Arial"/>
                <w:b w:val="0"/>
                <w:sz w:val="16"/>
              </w:rPr>
              <w:t>Scientific background and rationale</w:t>
            </w:r>
          </w:p>
        </w:tc>
        <w:tc>
          <w:tcPr>
            <w:tcW w:w="2664" w:type="dxa"/>
            <w:tcMar>
              <w:top w:w="65" w:type="dxa"/>
              <w:left w:w="65" w:type="dxa"/>
              <w:bottom w:w="65" w:type="dxa"/>
              <w:right w:w="65" w:type="dxa"/>
            </w:tcMar>
            <w:vAlign w:val="top"/>
          </w:tcPr>
          <w:p w14:paraId="7DA6F474">
            <w:pPr>
              <w:keepLines/>
              <w:spacing w:before="0" w:after="0" w:line="240" w:lineRule="auto"/>
              <w:jc w:val="left"/>
            </w:pPr>
            <w:r>
              <w:rPr>
                <w:rFonts w:ascii="Arial" w:hAnsi="Arial"/>
                <w:b w:val="0"/>
                <w:sz w:val="16"/>
              </w:rPr>
              <w:t>2-3</w:t>
            </w:r>
          </w:p>
        </w:tc>
      </w:tr>
      <w:tr w14:paraId="658A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B0A865A">
            <w:pPr>
              <w:keepLines/>
              <w:spacing w:before="0" w:after="0" w:line="240" w:lineRule="auto"/>
              <w:jc w:val="left"/>
            </w:pPr>
            <w:r>
              <w:rPr>
                <w:rFonts w:ascii="Arial" w:hAnsi="Arial"/>
                <w:b w:val="0"/>
                <w:sz w:val="16"/>
              </w:rPr>
              <w:t>Objectives</w:t>
            </w:r>
          </w:p>
        </w:tc>
        <w:tc>
          <w:tcPr>
            <w:tcW w:w="792" w:type="dxa"/>
            <w:tcMar>
              <w:top w:w="65" w:type="dxa"/>
              <w:left w:w="65" w:type="dxa"/>
              <w:bottom w:w="65" w:type="dxa"/>
              <w:right w:w="65" w:type="dxa"/>
            </w:tcMar>
            <w:vAlign w:val="top"/>
          </w:tcPr>
          <w:p w14:paraId="1A9D83E3">
            <w:pPr>
              <w:keepLines/>
              <w:spacing w:before="0" w:after="0" w:line="240" w:lineRule="auto"/>
              <w:jc w:val="center"/>
            </w:pPr>
            <w:r>
              <w:rPr>
                <w:rFonts w:ascii="Arial" w:hAnsi="Arial"/>
                <w:b w:val="0"/>
                <w:sz w:val="16"/>
              </w:rPr>
              <w:t>7</w:t>
            </w:r>
          </w:p>
        </w:tc>
        <w:tc>
          <w:tcPr>
            <w:tcW w:w="8784" w:type="dxa"/>
            <w:tcMar>
              <w:top w:w="65" w:type="dxa"/>
              <w:left w:w="65" w:type="dxa"/>
              <w:bottom w:w="65" w:type="dxa"/>
              <w:right w:w="65" w:type="dxa"/>
            </w:tcMar>
            <w:vAlign w:val="top"/>
          </w:tcPr>
          <w:p w14:paraId="730B95D4">
            <w:pPr>
              <w:keepLines/>
              <w:spacing w:before="0" w:after="0" w:line="240" w:lineRule="auto"/>
              <w:jc w:val="left"/>
            </w:pPr>
            <w:r>
              <w:rPr>
                <w:rFonts w:ascii="Arial" w:hAnsi="Arial"/>
                <w:b w:val="0"/>
                <w:sz w:val="16"/>
              </w:rPr>
              <w:t>Specific objectives related to benefits and harms</w:t>
            </w:r>
          </w:p>
        </w:tc>
        <w:tc>
          <w:tcPr>
            <w:tcW w:w="2664" w:type="dxa"/>
            <w:tcMar>
              <w:top w:w="65" w:type="dxa"/>
              <w:left w:w="65" w:type="dxa"/>
              <w:bottom w:w="65" w:type="dxa"/>
              <w:right w:w="65" w:type="dxa"/>
            </w:tcMar>
            <w:vAlign w:val="top"/>
          </w:tcPr>
          <w:p w14:paraId="31AD3354">
            <w:pPr>
              <w:keepLines/>
              <w:spacing w:before="0" w:after="0" w:line="240" w:lineRule="auto"/>
              <w:jc w:val="left"/>
            </w:pPr>
            <w:r>
              <w:rPr>
                <w:rFonts w:ascii="Arial" w:hAnsi="Arial"/>
                <w:b w:val="0"/>
                <w:sz w:val="16"/>
              </w:rPr>
              <w:t>3; safety/harms assessment on 6</w:t>
            </w:r>
          </w:p>
        </w:tc>
      </w:tr>
      <w:tr w14:paraId="6A52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6AE3C88F">
            <w:pPr>
              <w:keepLines/>
              <w:spacing w:before="0" w:after="0" w:line="240" w:lineRule="auto"/>
              <w:jc w:val="left"/>
            </w:pPr>
            <w:r>
              <w:rPr>
                <w:rFonts w:ascii="Arial" w:hAnsi="Arial"/>
                <w:b/>
                <w:sz w:val="16"/>
              </w:rPr>
              <w:t>Methods</w:t>
            </w:r>
            <w:r>
              <w:rPr>
                <w:rFonts w:ascii="Arial" w:hAnsi="Arial"/>
                <w:b/>
                <w:sz w:val="16"/>
              </w:rPr>
              <w:br w:type="textWrapping"/>
            </w:r>
            <w:r>
              <w:rPr>
                <w:rFonts w:ascii="Arial" w:hAnsi="Arial"/>
                <w:b/>
                <w:sz w:val="16"/>
              </w:rPr>
              <w:t>Patient and public involvement</w:t>
            </w:r>
          </w:p>
        </w:tc>
        <w:tc>
          <w:tcPr>
            <w:tcW w:w="792" w:type="dxa"/>
            <w:tcMar>
              <w:top w:w="65" w:type="dxa"/>
              <w:left w:w="65" w:type="dxa"/>
              <w:bottom w:w="65" w:type="dxa"/>
              <w:right w:w="65" w:type="dxa"/>
            </w:tcMar>
            <w:vAlign w:val="top"/>
          </w:tcPr>
          <w:p w14:paraId="54AD6C44">
            <w:pPr>
              <w:keepLines/>
              <w:spacing w:before="0" w:after="0" w:line="240" w:lineRule="auto"/>
              <w:jc w:val="center"/>
            </w:pPr>
            <w:r>
              <w:rPr>
                <w:rFonts w:ascii="Arial" w:hAnsi="Arial"/>
                <w:b w:val="0"/>
                <w:sz w:val="16"/>
              </w:rPr>
              <w:t>8</w:t>
            </w:r>
          </w:p>
        </w:tc>
        <w:tc>
          <w:tcPr>
            <w:tcW w:w="8784" w:type="dxa"/>
            <w:shd w:val="clear" w:color="auto" w:fill="auto"/>
            <w:tcMar>
              <w:top w:w="65" w:type="dxa"/>
              <w:left w:w="65" w:type="dxa"/>
              <w:bottom w:w="65" w:type="dxa"/>
              <w:right w:w="65" w:type="dxa"/>
            </w:tcMar>
            <w:vAlign w:val="top"/>
          </w:tcPr>
          <w:p w14:paraId="1C13A38E">
            <w:pPr>
              <w:keepLines/>
              <w:spacing w:before="0" w:after="0" w:line="240" w:lineRule="auto"/>
              <w:jc w:val="left"/>
            </w:pPr>
            <w:r>
              <w:rPr>
                <w:rFonts w:ascii="Arial" w:hAnsi="Arial"/>
                <w:b w:val="0"/>
                <w:sz w:val="16"/>
              </w:rPr>
              <w:t>Details of patient or public involvement in the design, conduct and reporting of the trial</w:t>
            </w:r>
          </w:p>
        </w:tc>
        <w:tc>
          <w:tcPr>
            <w:tcW w:w="2664" w:type="dxa"/>
            <w:shd w:val="clear" w:color="auto" w:fill="auto"/>
            <w:tcMar>
              <w:top w:w="65" w:type="dxa"/>
              <w:left w:w="65" w:type="dxa"/>
              <w:bottom w:w="65" w:type="dxa"/>
              <w:right w:w="65" w:type="dxa"/>
            </w:tcMar>
            <w:vAlign w:val="top"/>
          </w:tcPr>
          <w:p w14:paraId="52A3F1DB">
            <w:pPr>
              <w:keepLines/>
              <w:spacing w:before="0" w:after="0" w:line="240" w:lineRule="auto"/>
              <w:jc w:val="left"/>
              <w:rPr>
                <w:rFonts w:hint="eastAsia" w:eastAsia="宋体"/>
                <w:lang w:eastAsia="zh-CN"/>
              </w:rPr>
            </w:pPr>
            <w:r>
              <w:rPr>
                <w:rFonts w:ascii="Arial" w:hAnsi="Arial"/>
                <w:b w:val="0"/>
                <w:sz w:val="16"/>
              </w:rPr>
              <w:t>N</w:t>
            </w:r>
            <w:r>
              <w:rPr>
                <w:rFonts w:hint="eastAsia" w:eastAsia="宋体"/>
                <w:b w:val="0"/>
                <w:sz w:val="16"/>
                <w:lang w:val="en-US" w:eastAsia="zh-CN"/>
              </w:rPr>
              <w:t>A</w:t>
            </w:r>
          </w:p>
        </w:tc>
      </w:tr>
      <w:tr w14:paraId="3722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23DC36C9">
            <w:pPr>
              <w:keepLines/>
              <w:spacing w:before="0" w:after="0" w:line="240" w:lineRule="auto"/>
              <w:jc w:val="left"/>
            </w:pPr>
            <w:r>
              <w:rPr>
                <w:rFonts w:ascii="Arial" w:hAnsi="Arial"/>
                <w:b w:val="0"/>
                <w:sz w:val="16"/>
              </w:rPr>
              <w:t>Trial design</w:t>
            </w:r>
          </w:p>
        </w:tc>
        <w:tc>
          <w:tcPr>
            <w:tcW w:w="792" w:type="dxa"/>
            <w:tcMar>
              <w:top w:w="65" w:type="dxa"/>
              <w:left w:w="65" w:type="dxa"/>
              <w:bottom w:w="65" w:type="dxa"/>
              <w:right w:w="65" w:type="dxa"/>
            </w:tcMar>
            <w:vAlign w:val="top"/>
          </w:tcPr>
          <w:p w14:paraId="5B7858E4">
            <w:pPr>
              <w:keepLines/>
              <w:spacing w:before="0" w:after="0" w:line="240" w:lineRule="auto"/>
              <w:jc w:val="center"/>
            </w:pPr>
            <w:r>
              <w:rPr>
                <w:rFonts w:ascii="Arial" w:hAnsi="Arial"/>
                <w:b w:val="0"/>
                <w:sz w:val="16"/>
              </w:rPr>
              <w:t>9</w:t>
            </w:r>
          </w:p>
        </w:tc>
        <w:tc>
          <w:tcPr>
            <w:tcW w:w="8784" w:type="dxa"/>
            <w:shd w:val="clear" w:color="auto" w:fill="auto"/>
            <w:tcMar>
              <w:top w:w="65" w:type="dxa"/>
              <w:left w:w="65" w:type="dxa"/>
              <w:bottom w:w="65" w:type="dxa"/>
              <w:right w:w="65" w:type="dxa"/>
            </w:tcMar>
            <w:vAlign w:val="top"/>
          </w:tcPr>
          <w:p w14:paraId="350FB9DE">
            <w:pPr>
              <w:keepLines/>
              <w:spacing w:before="0" w:after="0" w:line="240" w:lineRule="auto"/>
              <w:jc w:val="left"/>
            </w:pPr>
            <w:r>
              <w:rPr>
                <w:rFonts w:ascii="Arial" w:hAnsi="Arial"/>
                <w:b w:val="0"/>
                <w:sz w:val="16"/>
              </w:rPr>
              <w:t>Description of trial design including type of trial (eg, parallel group, crossover), allocation ratio, and framework (eg, superiority, equivalence, non-inferiority, exploratory)</w:t>
            </w:r>
          </w:p>
        </w:tc>
        <w:tc>
          <w:tcPr>
            <w:tcW w:w="2664" w:type="dxa"/>
            <w:shd w:val="clear" w:color="auto" w:fill="auto"/>
            <w:tcMar>
              <w:top w:w="65" w:type="dxa"/>
              <w:left w:w="65" w:type="dxa"/>
              <w:bottom w:w="65" w:type="dxa"/>
              <w:right w:w="65" w:type="dxa"/>
            </w:tcMar>
            <w:vAlign w:val="top"/>
          </w:tcPr>
          <w:p w14:paraId="42E978FD">
            <w:pPr>
              <w:keepLines/>
              <w:spacing w:before="0" w:after="0" w:line="240" w:lineRule="auto"/>
              <w:jc w:val="left"/>
            </w:pPr>
            <w:r>
              <w:rPr>
                <w:rFonts w:ascii="Arial" w:hAnsi="Arial"/>
                <w:b w:val="0"/>
                <w:sz w:val="16"/>
              </w:rPr>
              <w:t xml:space="preserve">4 (single-centre, two-arm, parallel-group, 1:1); </w:t>
            </w:r>
          </w:p>
        </w:tc>
      </w:tr>
      <w:tr w14:paraId="786E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26925A49">
            <w:pPr>
              <w:keepLines/>
              <w:spacing w:before="0" w:after="0" w:line="240" w:lineRule="auto"/>
              <w:jc w:val="left"/>
            </w:pPr>
            <w:r>
              <w:rPr>
                <w:rFonts w:ascii="Arial" w:hAnsi="Arial"/>
                <w:b w:val="0"/>
                <w:sz w:val="16"/>
              </w:rPr>
              <w:t>Changes to trial protocol</w:t>
            </w:r>
          </w:p>
        </w:tc>
        <w:tc>
          <w:tcPr>
            <w:tcW w:w="792" w:type="dxa"/>
            <w:tcMar>
              <w:top w:w="65" w:type="dxa"/>
              <w:left w:w="65" w:type="dxa"/>
              <w:bottom w:w="65" w:type="dxa"/>
              <w:right w:w="65" w:type="dxa"/>
            </w:tcMar>
            <w:vAlign w:val="top"/>
          </w:tcPr>
          <w:p w14:paraId="05A3714A">
            <w:pPr>
              <w:keepLines/>
              <w:spacing w:before="0" w:after="0" w:line="240" w:lineRule="auto"/>
              <w:jc w:val="center"/>
            </w:pPr>
            <w:r>
              <w:rPr>
                <w:rFonts w:ascii="Arial" w:hAnsi="Arial"/>
                <w:b w:val="0"/>
                <w:sz w:val="16"/>
              </w:rPr>
              <w:t>10</w:t>
            </w:r>
          </w:p>
        </w:tc>
        <w:tc>
          <w:tcPr>
            <w:tcW w:w="8784" w:type="dxa"/>
            <w:shd w:val="clear" w:color="auto" w:fill="auto"/>
            <w:tcMar>
              <w:top w:w="65" w:type="dxa"/>
              <w:left w:w="65" w:type="dxa"/>
              <w:bottom w:w="65" w:type="dxa"/>
              <w:right w:w="65" w:type="dxa"/>
            </w:tcMar>
            <w:vAlign w:val="top"/>
          </w:tcPr>
          <w:p w14:paraId="0F4486E8">
            <w:pPr>
              <w:keepLines/>
              <w:spacing w:before="0" w:after="0" w:line="240" w:lineRule="auto"/>
              <w:jc w:val="left"/>
            </w:pPr>
            <w:r>
              <w:rPr>
                <w:rFonts w:ascii="Arial" w:hAnsi="Arial"/>
                <w:b w:val="0"/>
                <w:sz w:val="16"/>
              </w:rPr>
              <w:t>Important changes to the trial after it commenced including any outcomes or analyses that were not prespecified, with reason</w:t>
            </w:r>
          </w:p>
        </w:tc>
        <w:tc>
          <w:tcPr>
            <w:tcW w:w="2664" w:type="dxa"/>
            <w:shd w:val="clear" w:color="auto" w:fill="auto"/>
            <w:tcMar>
              <w:top w:w="65" w:type="dxa"/>
              <w:left w:w="65" w:type="dxa"/>
              <w:bottom w:w="65" w:type="dxa"/>
              <w:right w:w="65" w:type="dxa"/>
            </w:tcMar>
            <w:vAlign w:val="top"/>
          </w:tcPr>
          <w:p w14:paraId="1902D109">
            <w:pPr>
              <w:keepLines/>
              <w:spacing w:before="0" w:after="0" w:line="240" w:lineRule="auto"/>
              <w:jc w:val="left"/>
            </w:pPr>
            <w:r>
              <w:rPr>
                <w:rFonts w:ascii="Arial" w:hAnsi="Arial"/>
                <w:b w:val="0"/>
                <w:sz w:val="16"/>
              </w:rPr>
              <w:t>N</w:t>
            </w:r>
            <w:r>
              <w:rPr>
                <w:rFonts w:hint="eastAsia" w:eastAsia="宋体"/>
                <w:b w:val="0"/>
                <w:sz w:val="16"/>
                <w:lang w:val="en-US" w:eastAsia="zh-CN"/>
              </w:rPr>
              <w:t>A</w:t>
            </w:r>
          </w:p>
        </w:tc>
      </w:tr>
      <w:tr w14:paraId="4035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1B19865">
            <w:pPr>
              <w:keepLines/>
              <w:spacing w:before="0" w:after="0" w:line="240" w:lineRule="auto"/>
              <w:jc w:val="left"/>
            </w:pPr>
            <w:r>
              <w:rPr>
                <w:rFonts w:ascii="Arial" w:hAnsi="Arial"/>
                <w:b w:val="0"/>
                <w:sz w:val="16"/>
              </w:rPr>
              <w:t>Trial setting</w:t>
            </w:r>
          </w:p>
        </w:tc>
        <w:tc>
          <w:tcPr>
            <w:tcW w:w="792" w:type="dxa"/>
            <w:tcMar>
              <w:top w:w="65" w:type="dxa"/>
              <w:left w:w="65" w:type="dxa"/>
              <w:bottom w:w="65" w:type="dxa"/>
              <w:right w:w="65" w:type="dxa"/>
            </w:tcMar>
            <w:vAlign w:val="top"/>
          </w:tcPr>
          <w:p w14:paraId="1C593BC5">
            <w:pPr>
              <w:keepLines/>
              <w:spacing w:before="0" w:after="0" w:line="240" w:lineRule="auto"/>
              <w:jc w:val="center"/>
            </w:pPr>
            <w:r>
              <w:rPr>
                <w:rFonts w:ascii="Arial" w:hAnsi="Arial"/>
                <w:b w:val="0"/>
                <w:sz w:val="16"/>
              </w:rPr>
              <w:t>11</w:t>
            </w:r>
          </w:p>
        </w:tc>
        <w:tc>
          <w:tcPr>
            <w:tcW w:w="8784" w:type="dxa"/>
            <w:shd w:val="clear" w:color="auto" w:fill="auto"/>
            <w:tcMar>
              <w:top w:w="65" w:type="dxa"/>
              <w:left w:w="65" w:type="dxa"/>
              <w:bottom w:w="65" w:type="dxa"/>
              <w:right w:w="65" w:type="dxa"/>
            </w:tcMar>
            <w:vAlign w:val="top"/>
          </w:tcPr>
          <w:p w14:paraId="320EFE48">
            <w:pPr>
              <w:keepLines/>
              <w:spacing w:before="0" w:after="0" w:line="240" w:lineRule="auto"/>
              <w:jc w:val="left"/>
            </w:pPr>
            <w:r>
              <w:rPr>
                <w:rFonts w:ascii="Arial" w:hAnsi="Arial"/>
                <w:b w:val="0"/>
                <w:sz w:val="16"/>
              </w:rPr>
              <w:t>Settings (eg, community, hospital) and locations (eg, countries, sites) where the trial was conducted</w:t>
            </w:r>
          </w:p>
        </w:tc>
        <w:tc>
          <w:tcPr>
            <w:tcW w:w="2664" w:type="dxa"/>
            <w:shd w:val="clear" w:color="auto" w:fill="auto"/>
            <w:tcMar>
              <w:top w:w="65" w:type="dxa"/>
              <w:left w:w="65" w:type="dxa"/>
              <w:bottom w:w="65" w:type="dxa"/>
              <w:right w:w="65" w:type="dxa"/>
            </w:tcMar>
            <w:vAlign w:val="top"/>
          </w:tcPr>
          <w:p w14:paraId="20BDAC8C">
            <w:pPr>
              <w:keepLines/>
              <w:spacing w:before="0" w:after="0" w:line="240" w:lineRule="auto"/>
              <w:jc w:val="left"/>
            </w:pPr>
            <w:r>
              <w:rPr>
                <w:rFonts w:ascii="Arial" w:hAnsi="Arial"/>
                <w:b w:val="0"/>
                <w:sz w:val="16"/>
              </w:rPr>
              <w:t>4</w:t>
            </w:r>
          </w:p>
        </w:tc>
      </w:tr>
      <w:tr w14:paraId="2EBE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15050BF">
            <w:pPr>
              <w:keepLines/>
              <w:spacing w:before="0" w:after="0" w:line="240" w:lineRule="auto"/>
              <w:jc w:val="left"/>
            </w:pPr>
            <w:r>
              <w:rPr>
                <w:rFonts w:ascii="Arial" w:hAnsi="Arial"/>
                <w:b w:val="0"/>
                <w:sz w:val="16"/>
              </w:rPr>
              <w:t>Eligibility criteria</w:t>
            </w:r>
          </w:p>
        </w:tc>
        <w:tc>
          <w:tcPr>
            <w:tcW w:w="792" w:type="dxa"/>
            <w:tcMar>
              <w:top w:w="65" w:type="dxa"/>
              <w:left w:w="65" w:type="dxa"/>
              <w:bottom w:w="65" w:type="dxa"/>
              <w:right w:w="65" w:type="dxa"/>
            </w:tcMar>
            <w:vAlign w:val="top"/>
          </w:tcPr>
          <w:p w14:paraId="2B7254C4">
            <w:pPr>
              <w:keepLines/>
              <w:spacing w:before="0" w:after="0" w:line="240" w:lineRule="auto"/>
              <w:jc w:val="center"/>
            </w:pPr>
            <w:r>
              <w:rPr>
                <w:rFonts w:ascii="Arial" w:hAnsi="Arial"/>
                <w:b w:val="0"/>
                <w:sz w:val="16"/>
              </w:rPr>
              <w:t>12a</w:t>
            </w:r>
          </w:p>
        </w:tc>
        <w:tc>
          <w:tcPr>
            <w:tcW w:w="8784" w:type="dxa"/>
            <w:shd w:val="clear" w:color="auto" w:fill="auto"/>
            <w:tcMar>
              <w:top w:w="65" w:type="dxa"/>
              <w:left w:w="65" w:type="dxa"/>
              <w:bottom w:w="65" w:type="dxa"/>
              <w:right w:w="65" w:type="dxa"/>
            </w:tcMar>
            <w:vAlign w:val="top"/>
          </w:tcPr>
          <w:p w14:paraId="7D140FC0">
            <w:pPr>
              <w:keepLines/>
              <w:spacing w:before="0" w:after="0" w:line="240" w:lineRule="auto"/>
              <w:jc w:val="left"/>
            </w:pPr>
            <w:r>
              <w:rPr>
                <w:rFonts w:ascii="Arial" w:hAnsi="Arial"/>
                <w:b w:val="0"/>
                <w:sz w:val="16"/>
              </w:rPr>
              <w:t>Eligibility criteria for participants</w:t>
            </w:r>
          </w:p>
        </w:tc>
        <w:tc>
          <w:tcPr>
            <w:tcW w:w="2664" w:type="dxa"/>
            <w:shd w:val="clear" w:color="auto" w:fill="auto"/>
            <w:tcMar>
              <w:top w:w="65" w:type="dxa"/>
              <w:left w:w="65" w:type="dxa"/>
              <w:bottom w:w="65" w:type="dxa"/>
              <w:right w:w="65" w:type="dxa"/>
            </w:tcMar>
            <w:vAlign w:val="top"/>
          </w:tcPr>
          <w:p w14:paraId="712B8369">
            <w:pPr>
              <w:keepLines/>
              <w:spacing w:before="0" w:after="0" w:line="240" w:lineRule="auto"/>
              <w:jc w:val="left"/>
            </w:pPr>
            <w:r>
              <w:rPr>
                <w:rFonts w:ascii="Arial" w:hAnsi="Arial"/>
                <w:b w:val="0"/>
                <w:sz w:val="16"/>
              </w:rPr>
              <w:t>4</w:t>
            </w:r>
          </w:p>
        </w:tc>
      </w:tr>
      <w:tr w14:paraId="5CCA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B31B76E">
            <w:pPr>
              <w:keepLines/>
              <w:spacing w:before="0" w:after="0" w:line="240" w:lineRule="auto"/>
              <w:jc w:val="left"/>
            </w:pPr>
          </w:p>
        </w:tc>
        <w:tc>
          <w:tcPr>
            <w:tcW w:w="792" w:type="dxa"/>
            <w:tcMar>
              <w:top w:w="65" w:type="dxa"/>
              <w:left w:w="65" w:type="dxa"/>
              <w:bottom w:w="65" w:type="dxa"/>
              <w:right w:w="65" w:type="dxa"/>
            </w:tcMar>
            <w:vAlign w:val="top"/>
          </w:tcPr>
          <w:p w14:paraId="044F83D2">
            <w:pPr>
              <w:keepLines/>
              <w:spacing w:before="0" w:after="0" w:line="240" w:lineRule="auto"/>
              <w:jc w:val="center"/>
            </w:pPr>
            <w:r>
              <w:rPr>
                <w:rFonts w:ascii="Arial" w:hAnsi="Arial"/>
                <w:b w:val="0"/>
                <w:sz w:val="16"/>
              </w:rPr>
              <w:t>12b</w:t>
            </w:r>
          </w:p>
        </w:tc>
        <w:tc>
          <w:tcPr>
            <w:tcW w:w="8784" w:type="dxa"/>
            <w:shd w:val="clear" w:color="auto" w:fill="auto"/>
            <w:tcMar>
              <w:top w:w="65" w:type="dxa"/>
              <w:left w:w="65" w:type="dxa"/>
              <w:bottom w:w="65" w:type="dxa"/>
              <w:right w:w="65" w:type="dxa"/>
            </w:tcMar>
            <w:vAlign w:val="top"/>
          </w:tcPr>
          <w:p w14:paraId="2ECB9295">
            <w:pPr>
              <w:keepLines/>
              <w:spacing w:before="0" w:after="0" w:line="240" w:lineRule="auto"/>
              <w:jc w:val="left"/>
            </w:pPr>
            <w:r>
              <w:rPr>
                <w:rFonts w:ascii="Arial" w:hAnsi="Arial"/>
                <w:b w:val="0"/>
                <w:sz w:val="16"/>
              </w:rPr>
              <w:t>If applicable, eligibility criteria for sites and for individuals delivering the interventions (eg, surgeons, physiotherapists)</w:t>
            </w:r>
          </w:p>
        </w:tc>
        <w:tc>
          <w:tcPr>
            <w:tcW w:w="2664" w:type="dxa"/>
            <w:shd w:val="clear" w:color="auto" w:fill="auto"/>
            <w:tcMar>
              <w:top w:w="65" w:type="dxa"/>
              <w:left w:w="65" w:type="dxa"/>
              <w:bottom w:w="65" w:type="dxa"/>
              <w:right w:w="65" w:type="dxa"/>
            </w:tcMar>
            <w:vAlign w:val="top"/>
          </w:tcPr>
          <w:p w14:paraId="273A0857">
            <w:pPr>
              <w:keepLines/>
              <w:spacing w:before="0" w:after="0" w:line="240" w:lineRule="auto"/>
              <w:jc w:val="left"/>
            </w:pPr>
            <w:r>
              <w:rPr>
                <w:rFonts w:ascii="Arial" w:hAnsi="Arial"/>
                <w:b w:val="0"/>
                <w:sz w:val="16"/>
              </w:rPr>
              <w:t xml:space="preserve">5 </w:t>
            </w:r>
          </w:p>
        </w:tc>
      </w:tr>
      <w:tr w14:paraId="30DB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DD15ECC">
            <w:pPr>
              <w:keepLines/>
              <w:spacing w:before="0" w:after="0" w:line="240" w:lineRule="auto"/>
              <w:jc w:val="left"/>
            </w:pPr>
            <w:r>
              <w:rPr>
                <w:rFonts w:ascii="Arial" w:hAnsi="Arial"/>
                <w:b w:val="0"/>
                <w:sz w:val="16"/>
              </w:rPr>
              <w:t>Intervention and comparator</w:t>
            </w:r>
          </w:p>
        </w:tc>
        <w:tc>
          <w:tcPr>
            <w:tcW w:w="792" w:type="dxa"/>
            <w:tcMar>
              <w:top w:w="65" w:type="dxa"/>
              <w:left w:w="65" w:type="dxa"/>
              <w:bottom w:w="65" w:type="dxa"/>
              <w:right w:w="65" w:type="dxa"/>
            </w:tcMar>
            <w:vAlign w:val="top"/>
          </w:tcPr>
          <w:p w14:paraId="790223D1">
            <w:pPr>
              <w:keepLines/>
              <w:spacing w:before="0" w:after="0" w:line="240" w:lineRule="auto"/>
              <w:jc w:val="center"/>
            </w:pPr>
            <w:r>
              <w:rPr>
                <w:rFonts w:ascii="Arial" w:hAnsi="Arial"/>
                <w:b w:val="0"/>
                <w:sz w:val="16"/>
              </w:rPr>
              <w:t>13</w:t>
            </w:r>
          </w:p>
        </w:tc>
        <w:tc>
          <w:tcPr>
            <w:tcW w:w="8784" w:type="dxa"/>
            <w:shd w:val="clear" w:color="auto" w:fill="auto"/>
            <w:tcMar>
              <w:top w:w="65" w:type="dxa"/>
              <w:left w:w="65" w:type="dxa"/>
              <w:bottom w:w="65" w:type="dxa"/>
              <w:right w:w="65" w:type="dxa"/>
            </w:tcMar>
            <w:vAlign w:val="top"/>
          </w:tcPr>
          <w:p w14:paraId="4B1564B1">
            <w:pPr>
              <w:keepLines/>
              <w:spacing w:before="0" w:after="0" w:line="240" w:lineRule="auto"/>
              <w:jc w:val="left"/>
            </w:pPr>
            <w:r>
              <w:rPr>
                <w:rFonts w:ascii="Arial" w:hAnsi="Arial"/>
                <w:b w:val="0"/>
                <w:sz w:val="16"/>
              </w:rPr>
              <w:t>Intervention and comparator with sufficient details to allow replication. If relevant, where additional materials describing the intervention and comparator (eg, intervention manual) can be accessed</w:t>
            </w:r>
          </w:p>
        </w:tc>
        <w:tc>
          <w:tcPr>
            <w:tcW w:w="2664" w:type="dxa"/>
            <w:shd w:val="clear" w:color="auto" w:fill="auto"/>
            <w:tcMar>
              <w:top w:w="65" w:type="dxa"/>
              <w:left w:w="65" w:type="dxa"/>
              <w:bottom w:w="65" w:type="dxa"/>
              <w:right w:w="65" w:type="dxa"/>
            </w:tcMar>
            <w:vAlign w:val="top"/>
          </w:tcPr>
          <w:p w14:paraId="5D1B7674">
            <w:pPr>
              <w:keepLines/>
              <w:spacing w:before="0" w:after="0" w:line="240" w:lineRule="auto"/>
              <w:jc w:val="left"/>
            </w:pPr>
            <w:r>
              <w:rPr>
                <w:rFonts w:ascii="Arial" w:hAnsi="Arial"/>
                <w:b w:val="0"/>
                <w:sz w:val="16"/>
              </w:rPr>
              <w:t>5</w:t>
            </w:r>
          </w:p>
        </w:tc>
      </w:tr>
      <w:tr w14:paraId="7119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52E0321">
            <w:pPr>
              <w:keepLines/>
              <w:spacing w:before="0" w:after="0" w:line="240" w:lineRule="auto"/>
              <w:jc w:val="left"/>
            </w:pPr>
            <w:r>
              <w:rPr>
                <w:rFonts w:ascii="Arial" w:hAnsi="Arial"/>
                <w:b w:val="0"/>
                <w:sz w:val="16"/>
              </w:rPr>
              <w:t>Outcomes</w:t>
            </w:r>
          </w:p>
        </w:tc>
        <w:tc>
          <w:tcPr>
            <w:tcW w:w="792" w:type="dxa"/>
            <w:tcMar>
              <w:top w:w="65" w:type="dxa"/>
              <w:left w:w="65" w:type="dxa"/>
              <w:bottom w:w="65" w:type="dxa"/>
              <w:right w:w="65" w:type="dxa"/>
            </w:tcMar>
            <w:vAlign w:val="top"/>
          </w:tcPr>
          <w:p w14:paraId="090291D0">
            <w:pPr>
              <w:keepLines/>
              <w:spacing w:before="0" w:after="0" w:line="240" w:lineRule="auto"/>
              <w:jc w:val="center"/>
            </w:pPr>
            <w:r>
              <w:rPr>
                <w:rFonts w:ascii="Arial" w:hAnsi="Arial"/>
                <w:b w:val="0"/>
                <w:sz w:val="16"/>
              </w:rPr>
              <w:t>14</w:t>
            </w:r>
          </w:p>
        </w:tc>
        <w:tc>
          <w:tcPr>
            <w:tcW w:w="8784" w:type="dxa"/>
            <w:tcMar>
              <w:top w:w="65" w:type="dxa"/>
              <w:left w:w="65" w:type="dxa"/>
              <w:bottom w:w="65" w:type="dxa"/>
              <w:right w:w="65" w:type="dxa"/>
            </w:tcMar>
            <w:vAlign w:val="top"/>
          </w:tcPr>
          <w:p w14:paraId="456586AA">
            <w:pPr>
              <w:keepLines/>
              <w:spacing w:before="0" w:after="0" w:line="240" w:lineRule="auto"/>
              <w:jc w:val="left"/>
            </w:pPr>
            <w:r>
              <w:rPr>
                <w:rFonts w:ascii="Arial" w:hAnsi="Arial"/>
                <w:b w:val="0"/>
                <w:sz w:val="16"/>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664" w:type="dxa"/>
            <w:tcMar>
              <w:top w:w="65" w:type="dxa"/>
              <w:left w:w="65" w:type="dxa"/>
              <w:bottom w:w="65" w:type="dxa"/>
              <w:right w:w="65" w:type="dxa"/>
            </w:tcMar>
            <w:vAlign w:val="top"/>
          </w:tcPr>
          <w:p w14:paraId="1085F661">
            <w:pPr>
              <w:keepLines/>
              <w:spacing w:before="0" w:after="0" w:line="240" w:lineRule="auto"/>
              <w:jc w:val="left"/>
            </w:pPr>
            <w:r>
              <w:rPr>
                <w:rFonts w:ascii="Arial" w:hAnsi="Arial"/>
                <w:b w:val="0"/>
                <w:sz w:val="16"/>
              </w:rPr>
              <w:t>6-7; Table 2 on 26-27</w:t>
            </w:r>
          </w:p>
        </w:tc>
      </w:tr>
      <w:tr w14:paraId="5DA7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4F10E215">
            <w:pPr>
              <w:keepLines/>
              <w:spacing w:before="0" w:after="0" w:line="240" w:lineRule="auto"/>
              <w:jc w:val="left"/>
            </w:pPr>
            <w:r>
              <w:rPr>
                <w:rFonts w:ascii="Arial" w:hAnsi="Arial"/>
                <w:b w:val="0"/>
                <w:sz w:val="16"/>
              </w:rPr>
              <w:t>Harms</w:t>
            </w:r>
          </w:p>
        </w:tc>
        <w:tc>
          <w:tcPr>
            <w:tcW w:w="792" w:type="dxa"/>
            <w:tcMar>
              <w:top w:w="65" w:type="dxa"/>
              <w:left w:w="65" w:type="dxa"/>
              <w:bottom w:w="65" w:type="dxa"/>
              <w:right w:w="65" w:type="dxa"/>
            </w:tcMar>
            <w:vAlign w:val="top"/>
          </w:tcPr>
          <w:p w14:paraId="186D59E0">
            <w:pPr>
              <w:keepLines/>
              <w:spacing w:before="0" w:after="0" w:line="240" w:lineRule="auto"/>
              <w:jc w:val="center"/>
            </w:pPr>
            <w:r>
              <w:rPr>
                <w:rFonts w:ascii="Arial" w:hAnsi="Arial"/>
                <w:b w:val="0"/>
                <w:sz w:val="16"/>
              </w:rPr>
              <w:t>15</w:t>
            </w:r>
          </w:p>
        </w:tc>
        <w:tc>
          <w:tcPr>
            <w:tcW w:w="8784" w:type="dxa"/>
            <w:shd w:val="clear" w:color="auto" w:fill="auto"/>
            <w:tcMar>
              <w:top w:w="65" w:type="dxa"/>
              <w:left w:w="65" w:type="dxa"/>
              <w:bottom w:w="65" w:type="dxa"/>
              <w:right w:w="65" w:type="dxa"/>
            </w:tcMar>
            <w:vAlign w:val="top"/>
          </w:tcPr>
          <w:p w14:paraId="612F9ADB">
            <w:pPr>
              <w:keepLines/>
              <w:spacing w:before="0" w:after="0" w:line="240" w:lineRule="auto"/>
              <w:jc w:val="left"/>
            </w:pPr>
            <w:r>
              <w:rPr>
                <w:rFonts w:ascii="Arial" w:hAnsi="Arial"/>
                <w:b w:val="0"/>
                <w:sz w:val="16"/>
              </w:rPr>
              <w:t>How harms were defined and assessed (eg, systematically, non-systematically)</w:t>
            </w:r>
          </w:p>
        </w:tc>
        <w:tc>
          <w:tcPr>
            <w:tcW w:w="2664" w:type="dxa"/>
            <w:shd w:val="clear" w:color="auto" w:fill="auto"/>
            <w:tcMar>
              <w:top w:w="65" w:type="dxa"/>
              <w:left w:w="65" w:type="dxa"/>
              <w:bottom w:w="65" w:type="dxa"/>
              <w:right w:w="65" w:type="dxa"/>
            </w:tcMar>
            <w:vAlign w:val="top"/>
          </w:tcPr>
          <w:p w14:paraId="53288839">
            <w:pPr>
              <w:keepLines/>
              <w:spacing w:before="0" w:after="0" w:line="240" w:lineRule="auto"/>
              <w:jc w:val="left"/>
            </w:pPr>
            <w:r>
              <w:rPr>
                <w:rFonts w:ascii="Arial" w:hAnsi="Arial"/>
                <w:b w:val="0"/>
                <w:sz w:val="16"/>
              </w:rPr>
              <w:t>6</w:t>
            </w:r>
          </w:p>
        </w:tc>
      </w:tr>
      <w:tr w14:paraId="12C6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0E80F569">
            <w:pPr>
              <w:keepLines/>
              <w:spacing w:before="0" w:after="0" w:line="240" w:lineRule="auto"/>
              <w:jc w:val="left"/>
            </w:pPr>
            <w:r>
              <w:rPr>
                <w:rFonts w:ascii="Arial" w:hAnsi="Arial"/>
                <w:b w:val="0"/>
                <w:sz w:val="16"/>
              </w:rPr>
              <w:t>Sample size</w:t>
            </w:r>
          </w:p>
        </w:tc>
        <w:tc>
          <w:tcPr>
            <w:tcW w:w="792" w:type="dxa"/>
            <w:tcMar>
              <w:top w:w="65" w:type="dxa"/>
              <w:left w:w="65" w:type="dxa"/>
              <w:bottom w:w="65" w:type="dxa"/>
              <w:right w:w="65" w:type="dxa"/>
            </w:tcMar>
            <w:vAlign w:val="top"/>
          </w:tcPr>
          <w:p w14:paraId="59883FDF">
            <w:pPr>
              <w:keepLines/>
              <w:spacing w:before="0" w:after="0" w:line="240" w:lineRule="auto"/>
              <w:jc w:val="center"/>
            </w:pPr>
            <w:r>
              <w:rPr>
                <w:rFonts w:ascii="Arial" w:hAnsi="Arial"/>
                <w:b w:val="0"/>
                <w:sz w:val="16"/>
              </w:rPr>
              <w:t>16a</w:t>
            </w:r>
          </w:p>
        </w:tc>
        <w:tc>
          <w:tcPr>
            <w:tcW w:w="8784" w:type="dxa"/>
            <w:shd w:val="clear" w:color="auto" w:fill="auto"/>
            <w:tcMar>
              <w:top w:w="65" w:type="dxa"/>
              <w:left w:w="65" w:type="dxa"/>
              <w:bottom w:w="65" w:type="dxa"/>
              <w:right w:w="65" w:type="dxa"/>
            </w:tcMar>
            <w:vAlign w:val="top"/>
          </w:tcPr>
          <w:p w14:paraId="68517471">
            <w:pPr>
              <w:keepLines/>
              <w:spacing w:before="0" w:after="0" w:line="240" w:lineRule="auto"/>
              <w:jc w:val="left"/>
            </w:pPr>
            <w:r>
              <w:rPr>
                <w:rFonts w:ascii="Arial" w:hAnsi="Arial"/>
                <w:b w:val="0"/>
                <w:sz w:val="16"/>
              </w:rPr>
              <w:t>How sample size was determined, including all assumptions supporting the sample size calculation</w:t>
            </w:r>
          </w:p>
        </w:tc>
        <w:tc>
          <w:tcPr>
            <w:tcW w:w="2664" w:type="dxa"/>
            <w:shd w:val="clear" w:color="auto" w:fill="auto"/>
            <w:tcMar>
              <w:top w:w="65" w:type="dxa"/>
              <w:left w:w="65" w:type="dxa"/>
              <w:bottom w:w="65" w:type="dxa"/>
              <w:right w:w="65" w:type="dxa"/>
            </w:tcMar>
            <w:vAlign w:val="top"/>
          </w:tcPr>
          <w:p w14:paraId="4DDB2BD9">
            <w:pPr>
              <w:keepLines/>
              <w:spacing w:before="0" w:after="0" w:line="240" w:lineRule="auto"/>
              <w:jc w:val="left"/>
              <w:rPr>
                <w:rFonts w:hint="default" w:eastAsia="宋体"/>
                <w:lang w:val="en-US" w:eastAsia="zh-CN"/>
              </w:rPr>
            </w:pPr>
            <w:r>
              <w:rPr>
                <w:rFonts w:hint="eastAsia" w:eastAsia="宋体"/>
                <w:b w:val="0"/>
                <w:sz w:val="16"/>
                <w:lang w:val="en-US" w:eastAsia="zh-CN"/>
              </w:rPr>
              <w:t>NA</w:t>
            </w:r>
          </w:p>
        </w:tc>
      </w:tr>
      <w:tr w14:paraId="4AED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64E07BDE">
            <w:pPr>
              <w:keepLines/>
              <w:spacing w:before="0" w:after="0" w:line="240" w:lineRule="auto"/>
              <w:jc w:val="left"/>
            </w:pPr>
          </w:p>
        </w:tc>
        <w:tc>
          <w:tcPr>
            <w:tcW w:w="792" w:type="dxa"/>
            <w:tcMar>
              <w:top w:w="65" w:type="dxa"/>
              <w:left w:w="65" w:type="dxa"/>
              <w:bottom w:w="65" w:type="dxa"/>
              <w:right w:w="65" w:type="dxa"/>
            </w:tcMar>
            <w:vAlign w:val="top"/>
          </w:tcPr>
          <w:p w14:paraId="2B3112AA">
            <w:pPr>
              <w:keepLines/>
              <w:spacing w:before="0" w:after="0" w:line="240" w:lineRule="auto"/>
              <w:jc w:val="center"/>
            </w:pPr>
            <w:r>
              <w:rPr>
                <w:rFonts w:ascii="Arial" w:hAnsi="Arial"/>
                <w:b w:val="0"/>
                <w:sz w:val="16"/>
              </w:rPr>
              <w:t>16b</w:t>
            </w:r>
          </w:p>
        </w:tc>
        <w:tc>
          <w:tcPr>
            <w:tcW w:w="8784" w:type="dxa"/>
            <w:shd w:val="clear" w:color="auto" w:fill="auto"/>
            <w:tcMar>
              <w:top w:w="65" w:type="dxa"/>
              <w:left w:w="65" w:type="dxa"/>
              <w:bottom w:w="65" w:type="dxa"/>
              <w:right w:w="65" w:type="dxa"/>
            </w:tcMar>
            <w:vAlign w:val="top"/>
          </w:tcPr>
          <w:p w14:paraId="78924E1C">
            <w:pPr>
              <w:keepLines/>
              <w:spacing w:before="0" w:after="0" w:line="240" w:lineRule="auto"/>
              <w:jc w:val="left"/>
            </w:pPr>
            <w:r>
              <w:rPr>
                <w:rFonts w:ascii="Arial" w:hAnsi="Arial"/>
                <w:b w:val="0"/>
                <w:sz w:val="16"/>
              </w:rPr>
              <w:t>Explanation of any interim analyses and stopping guidelines</w:t>
            </w:r>
          </w:p>
        </w:tc>
        <w:tc>
          <w:tcPr>
            <w:tcW w:w="2664" w:type="dxa"/>
            <w:shd w:val="clear" w:color="auto" w:fill="auto"/>
            <w:tcMar>
              <w:top w:w="65" w:type="dxa"/>
              <w:left w:w="65" w:type="dxa"/>
              <w:bottom w:w="65" w:type="dxa"/>
              <w:right w:w="65" w:type="dxa"/>
            </w:tcMar>
            <w:vAlign w:val="top"/>
          </w:tcPr>
          <w:p w14:paraId="0734E332">
            <w:pPr>
              <w:keepLines/>
              <w:spacing w:before="0" w:after="0" w:line="240" w:lineRule="auto"/>
              <w:jc w:val="left"/>
              <w:rPr>
                <w:rFonts w:hint="eastAsia" w:eastAsia="宋体"/>
                <w:lang w:val="en-US" w:eastAsia="zh-CN"/>
              </w:rPr>
            </w:pPr>
            <w:r>
              <w:rPr>
                <w:rFonts w:ascii="Arial" w:hAnsi="Arial"/>
                <w:b w:val="0"/>
                <w:sz w:val="16"/>
              </w:rPr>
              <w:t>N</w:t>
            </w:r>
            <w:r>
              <w:rPr>
                <w:rFonts w:hint="eastAsia" w:eastAsia="宋体"/>
                <w:b w:val="0"/>
                <w:sz w:val="16"/>
                <w:lang w:val="en-US" w:eastAsia="zh-CN"/>
              </w:rPr>
              <w:t>A</w:t>
            </w:r>
          </w:p>
        </w:tc>
      </w:tr>
      <w:tr w14:paraId="1ADB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110BBB3">
            <w:pPr>
              <w:keepLines/>
              <w:spacing w:before="0" w:after="0" w:line="240" w:lineRule="auto"/>
              <w:jc w:val="left"/>
            </w:pPr>
            <w:r>
              <w:rPr>
                <w:rFonts w:ascii="Arial" w:hAnsi="Arial"/>
                <w:b w:val="0"/>
                <w:sz w:val="16"/>
              </w:rPr>
              <w:t>Randomisation: sequence generation</w:t>
            </w:r>
          </w:p>
        </w:tc>
        <w:tc>
          <w:tcPr>
            <w:tcW w:w="792" w:type="dxa"/>
            <w:tcMar>
              <w:top w:w="65" w:type="dxa"/>
              <w:left w:w="65" w:type="dxa"/>
              <w:bottom w:w="65" w:type="dxa"/>
              <w:right w:w="65" w:type="dxa"/>
            </w:tcMar>
            <w:vAlign w:val="top"/>
          </w:tcPr>
          <w:p w14:paraId="469B066F">
            <w:pPr>
              <w:keepLines/>
              <w:spacing w:before="0" w:after="0" w:line="240" w:lineRule="auto"/>
              <w:jc w:val="center"/>
            </w:pPr>
            <w:r>
              <w:rPr>
                <w:rFonts w:ascii="Arial" w:hAnsi="Arial"/>
                <w:b w:val="0"/>
                <w:sz w:val="16"/>
              </w:rPr>
              <w:t>17a</w:t>
            </w:r>
          </w:p>
        </w:tc>
        <w:tc>
          <w:tcPr>
            <w:tcW w:w="8784" w:type="dxa"/>
            <w:shd w:val="clear" w:color="auto" w:fill="auto"/>
            <w:tcMar>
              <w:top w:w="65" w:type="dxa"/>
              <w:left w:w="65" w:type="dxa"/>
              <w:bottom w:w="65" w:type="dxa"/>
              <w:right w:w="65" w:type="dxa"/>
            </w:tcMar>
            <w:vAlign w:val="top"/>
          </w:tcPr>
          <w:p w14:paraId="46F673EE">
            <w:pPr>
              <w:keepLines/>
              <w:spacing w:before="0" w:after="0" w:line="240" w:lineRule="auto"/>
              <w:jc w:val="left"/>
            </w:pPr>
            <w:r>
              <w:rPr>
                <w:rFonts w:ascii="Arial" w:hAnsi="Arial"/>
                <w:b w:val="0"/>
                <w:sz w:val="16"/>
              </w:rPr>
              <w:t>Who generated the random allocation sequence and the method used</w:t>
            </w:r>
          </w:p>
        </w:tc>
        <w:tc>
          <w:tcPr>
            <w:tcW w:w="2664" w:type="dxa"/>
            <w:shd w:val="clear" w:color="auto" w:fill="auto"/>
            <w:tcMar>
              <w:top w:w="65" w:type="dxa"/>
              <w:left w:w="65" w:type="dxa"/>
              <w:bottom w:w="65" w:type="dxa"/>
              <w:right w:w="65" w:type="dxa"/>
            </w:tcMar>
            <w:vAlign w:val="top"/>
          </w:tcPr>
          <w:p w14:paraId="6D5785DC">
            <w:pPr>
              <w:keepLines/>
              <w:spacing w:before="0" w:after="0" w:line="240" w:lineRule="auto"/>
              <w:jc w:val="left"/>
            </w:pPr>
            <w:r>
              <w:rPr>
                <w:rFonts w:ascii="Arial" w:hAnsi="Arial"/>
                <w:b w:val="0"/>
                <w:sz w:val="16"/>
              </w:rPr>
              <w:t>4</w:t>
            </w:r>
          </w:p>
        </w:tc>
      </w:tr>
      <w:tr w14:paraId="4168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FFC201F">
            <w:pPr>
              <w:keepLines/>
              <w:spacing w:before="0" w:after="0" w:line="240" w:lineRule="auto"/>
              <w:jc w:val="left"/>
            </w:pPr>
          </w:p>
        </w:tc>
        <w:tc>
          <w:tcPr>
            <w:tcW w:w="792" w:type="dxa"/>
            <w:tcMar>
              <w:top w:w="65" w:type="dxa"/>
              <w:left w:w="65" w:type="dxa"/>
              <w:bottom w:w="65" w:type="dxa"/>
              <w:right w:w="65" w:type="dxa"/>
            </w:tcMar>
            <w:vAlign w:val="top"/>
          </w:tcPr>
          <w:p w14:paraId="61BC3BBE">
            <w:pPr>
              <w:keepLines/>
              <w:spacing w:before="0" w:after="0" w:line="240" w:lineRule="auto"/>
              <w:jc w:val="center"/>
            </w:pPr>
            <w:r>
              <w:rPr>
                <w:rFonts w:ascii="Arial" w:hAnsi="Arial"/>
                <w:b w:val="0"/>
                <w:sz w:val="16"/>
              </w:rPr>
              <w:t>17b</w:t>
            </w:r>
          </w:p>
        </w:tc>
        <w:tc>
          <w:tcPr>
            <w:tcW w:w="8784" w:type="dxa"/>
            <w:shd w:val="clear" w:color="auto" w:fill="auto"/>
            <w:tcMar>
              <w:top w:w="65" w:type="dxa"/>
              <w:left w:w="65" w:type="dxa"/>
              <w:bottom w:w="65" w:type="dxa"/>
              <w:right w:w="65" w:type="dxa"/>
            </w:tcMar>
            <w:vAlign w:val="top"/>
          </w:tcPr>
          <w:p w14:paraId="612CACC0">
            <w:pPr>
              <w:keepLines/>
              <w:spacing w:before="0" w:after="0" w:line="240" w:lineRule="auto"/>
              <w:jc w:val="left"/>
            </w:pPr>
            <w:r>
              <w:rPr>
                <w:rFonts w:ascii="Arial" w:hAnsi="Arial"/>
                <w:b w:val="0"/>
                <w:sz w:val="16"/>
              </w:rPr>
              <w:t>Type of randomisation and details of any restriction (eg, stratification, blocking and block size)</w:t>
            </w:r>
          </w:p>
        </w:tc>
        <w:tc>
          <w:tcPr>
            <w:tcW w:w="2664" w:type="dxa"/>
            <w:shd w:val="clear" w:color="auto" w:fill="auto"/>
            <w:tcMar>
              <w:top w:w="65" w:type="dxa"/>
              <w:left w:w="65" w:type="dxa"/>
              <w:bottom w:w="65" w:type="dxa"/>
              <w:right w:w="65" w:type="dxa"/>
            </w:tcMar>
            <w:vAlign w:val="top"/>
          </w:tcPr>
          <w:p w14:paraId="6D3BAE6F">
            <w:pPr>
              <w:keepLines/>
              <w:spacing w:before="0" w:after="0" w:line="240" w:lineRule="auto"/>
              <w:jc w:val="left"/>
            </w:pPr>
            <w:r>
              <w:rPr>
                <w:rFonts w:ascii="Arial" w:hAnsi="Arial"/>
                <w:b w:val="0"/>
                <w:sz w:val="16"/>
              </w:rPr>
              <w:t xml:space="preserve">4 </w:t>
            </w:r>
          </w:p>
        </w:tc>
      </w:tr>
      <w:tr w14:paraId="77AE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7F38E9F1">
            <w:pPr>
              <w:keepLines/>
              <w:spacing w:before="0" w:after="0" w:line="240" w:lineRule="auto"/>
              <w:jc w:val="left"/>
            </w:pPr>
            <w:r>
              <w:rPr>
                <w:rFonts w:ascii="Arial" w:hAnsi="Arial"/>
                <w:b w:val="0"/>
                <w:sz w:val="16"/>
              </w:rPr>
              <w:t>Allocation concealment mechanism</w:t>
            </w:r>
          </w:p>
        </w:tc>
        <w:tc>
          <w:tcPr>
            <w:tcW w:w="792" w:type="dxa"/>
            <w:tcMar>
              <w:top w:w="65" w:type="dxa"/>
              <w:left w:w="65" w:type="dxa"/>
              <w:bottom w:w="65" w:type="dxa"/>
              <w:right w:w="65" w:type="dxa"/>
            </w:tcMar>
            <w:vAlign w:val="top"/>
          </w:tcPr>
          <w:p w14:paraId="52FBC9C7">
            <w:pPr>
              <w:keepLines/>
              <w:spacing w:before="0" w:after="0" w:line="240" w:lineRule="auto"/>
              <w:jc w:val="center"/>
            </w:pPr>
            <w:r>
              <w:rPr>
                <w:rFonts w:ascii="Arial" w:hAnsi="Arial"/>
                <w:b w:val="0"/>
                <w:sz w:val="16"/>
              </w:rPr>
              <w:t>18</w:t>
            </w:r>
          </w:p>
        </w:tc>
        <w:tc>
          <w:tcPr>
            <w:tcW w:w="8784" w:type="dxa"/>
            <w:shd w:val="clear" w:color="auto" w:fill="auto"/>
            <w:tcMar>
              <w:top w:w="65" w:type="dxa"/>
              <w:left w:w="65" w:type="dxa"/>
              <w:bottom w:w="65" w:type="dxa"/>
              <w:right w:w="65" w:type="dxa"/>
            </w:tcMar>
            <w:vAlign w:val="top"/>
          </w:tcPr>
          <w:p w14:paraId="4D567759">
            <w:pPr>
              <w:keepLines/>
              <w:spacing w:before="0" w:after="0" w:line="240" w:lineRule="auto"/>
              <w:jc w:val="left"/>
            </w:pPr>
            <w:r>
              <w:rPr>
                <w:rFonts w:ascii="Arial" w:hAnsi="Arial"/>
                <w:b w:val="0"/>
                <w:sz w:val="16"/>
              </w:rPr>
              <w:t>Mechanism used to implement the random allocation sequence (eg, central computer/telephone; sequentially numbered, opaque, sealed containers), describing any steps to conceal the sequence until interventions were assigned</w:t>
            </w:r>
          </w:p>
        </w:tc>
        <w:tc>
          <w:tcPr>
            <w:tcW w:w="2664" w:type="dxa"/>
            <w:shd w:val="clear" w:color="auto" w:fill="auto"/>
            <w:tcMar>
              <w:top w:w="65" w:type="dxa"/>
              <w:left w:w="65" w:type="dxa"/>
              <w:bottom w:w="65" w:type="dxa"/>
              <w:right w:w="65" w:type="dxa"/>
            </w:tcMar>
            <w:vAlign w:val="top"/>
          </w:tcPr>
          <w:p w14:paraId="6BEFD82D">
            <w:pPr>
              <w:keepLines/>
              <w:spacing w:before="0" w:after="0" w:line="240" w:lineRule="auto"/>
              <w:jc w:val="left"/>
            </w:pPr>
            <w:r>
              <w:rPr>
                <w:rFonts w:ascii="Arial" w:hAnsi="Arial"/>
                <w:b w:val="0"/>
                <w:sz w:val="16"/>
              </w:rPr>
              <w:t>N</w:t>
            </w:r>
            <w:r>
              <w:rPr>
                <w:rFonts w:hint="eastAsia" w:eastAsia="宋体"/>
                <w:b w:val="0"/>
                <w:sz w:val="16"/>
                <w:lang w:val="en-US" w:eastAsia="zh-CN"/>
              </w:rPr>
              <w:t>A</w:t>
            </w:r>
          </w:p>
        </w:tc>
      </w:tr>
      <w:tr w14:paraId="753D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F089274">
            <w:pPr>
              <w:keepLines/>
              <w:spacing w:before="0" w:after="0" w:line="240" w:lineRule="auto"/>
              <w:jc w:val="left"/>
            </w:pPr>
            <w:r>
              <w:rPr>
                <w:rFonts w:ascii="Arial" w:hAnsi="Arial"/>
                <w:b w:val="0"/>
                <w:sz w:val="16"/>
              </w:rPr>
              <w:t>Implementation</w:t>
            </w:r>
          </w:p>
        </w:tc>
        <w:tc>
          <w:tcPr>
            <w:tcW w:w="792" w:type="dxa"/>
            <w:tcMar>
              <w:top w:w="65" w:type="dxa"/>
              <w:left w:w="65" w:type="dxa"/>
              <w:bottom w:w="65" w:type="dxa"/>
              <w:right w:w="65" w:type="dxa"/>
            </w:tcMar>
            <w:vAlign w:val="top"/>
          </w:tcPr>
          <w:p w14:paraId="6E7392F1">
            <w:pPr>
              <w:keepLines/>
              <w:spacing w:before="0" w:after="0" w:line="240" w:lineRule="auto"/>
              <w:jc w:val="center"/>
            </w:pPr>
            <w:r>
              <w:rPr>
                <w:rFonts w:ascii="Arial" w:hAnsi="Arial"/>
                <w:b w:val="0"/>
                <w:sz w:val="16"/>
              </w:rPr>
              <w:t>19</w:t>
            </w:r>
          </w:p>
        </w:tc>
        <w:tc>
          <w:tcPr>
            <w:tcW w:w="8784" w:type="dxa"/>
            <w:shd w:val="clear" w:color="auto" w:fill="auto"/>
            <w:tcMar>
              <w:top w:w="65" w:type="dxa"/>
              <w:left w:w="65" w:type="dxa"/>
              <w:bottom w:w="65" w:type="dxa"/>
              <w:right w:w="65" w:type="dxa"/>
            </w:tcMar>
            <w:vAlign w:val="top"/>
          </w:tcPr>
          <w:p w14:paraId="66323818">
            <w:pPr>
              <w:keepLines/>
              <w:spacing w:before="0" w:after="0" w:line="240" w:lineRule="auto"/>
              <w:jc w:val="left"/>
            </w:pPr>
            <w:r>
              <w:rPr>
                <w:rFonts w:ascii="Arial" w:hAnsi="Arial"/>
                <w:b w:val="0"/>
                <w:sz w:val="16"/>
              </w:rPr>
              <w:t>Whether the personnel who enrolled and those who assigned participants to the interventions had access to the random allocation sequence</w:t>
            </w:r>
          </w:p>
        </w:tc>
        <w:tc>
          <w:tcPr>
            <w:tcW w:w="2664" w:type="dxa"/>
            <w:shd w:val="clear" w:color="auto" w:fill="auto"/>
            <w:tcMar>
              <w:top w:w="65" w:type="dxa"/>
              <w:left w:w="65" w:type="dxa"/>
              <w:bottom w:w="65" w:type="dxa"/>
              <w:right w:w="65" w:type="dxa"/>
            </w:tcMar>
            <w:vAlign w:val="top"/>
          </w:tcPr>
          <w:p w14:paraId="6EC23447">
            <w:pPr>
              <w:keepLines/>
              <w:spacing w:before="0" w:after="0" w:line="240" w:lineRule="auto"/>
              <w:jc w:val="left"/>
            </w:pPr>
            <w:r>
              <w:rPr>
                <w:rFonts w:ascii="Arial" w:hAnsi="Arial"/>
                <w:b w:val="0"/>
                <w:sz w:val="16"/>
              </w:rPr>
              <w:t>4</w:t>
            </w:r>
          </w:p>
        </w:tc>
      </w:tr>
      <w:tr w14:paraId="6D73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2686FB7A">
            <w:pPr>
              <w:keepLines/>
              <w:spacing w:before="0" w:after="0" w:line="240" w:lineRule="auto"/>
              <w:jc w:val="left"/>
            </w:pPr>
            <w:r>
              <w:rPr>
                <w:rFonts w:ascii="Arial" w:hAnsi="Arial"/>
                <w:b w:val="0"/>
                <w:sz w:val="16"/>
              </w:rPr>
              <w:t>Blinding</w:t>
            </w:r>
          </w:p>
        </w:tc>
        <w:tc>
          <w:tcPr>
            <w:tcW w:w="792" w:type="dxa"/>
            <w:tcMar>
              <w:top w:w="65" w:type="dxa"/>
              <w:left w:w="65" w:type="dxa"/>
              <w:bottom w:w="65" w:type="dxa"/>
              <w:right w:w="65" w:type="dxa"/>
            </w:tcMar>
            <w:vAlign w:val="top"/>
          </w:tcPr>
          <w:p w14:paraId="0828AA27">
            <w:pPr>
              <w:keepLines/>
              <w:spacing w:before="0" w:after="0" w:line="240" w:lineRule="auto"/>
              <w:jc w:val="center"/>
            </w:pPr>
            <w:r>
              <w:rPr>
                <w:rFonts w:ascii="Arial" w:hAnsi="Arial"/>
                <w:b w:val="0"/>
                <w:sz w:val="16"/>
              </w:rPr>
              <w:t>20a</w:t>
            </w:r>
          </w:p>
        </w:tc>
        <w:tc>
          <w:tcPr>
            <w:tcW w:w="8784" w:type="dxa"/>
            <w:shd w:val="clear" w:color="auto" w:fill="auto"/>
            <w:tcMar>
              <w:top w:w="65" w:type="dxa"/>
              <w:left w:w="65" w:type="dxa"/>
              <w:bottom w:w="65" w:type="dxa"/>
              <w:right w:w="65" w:type="dxa"/>
            </w:tcMar>
            <w:vAlign w:val="top"/>
          </w:tcPr>
          <w:p w14:paraId="07EC1BF7">
            <w:pPr>
              <w:keepLines/>
              <w:spacing w:before="0" w:after="0" w:line="240" w:lineRule="auto"/>
              <w:jc w:val="left"/>
            </w:pPr>
            <w:r>
              <w:rPr>
                <w:rFonts w:ascii="Arial" w:hAnsi="Arial"/>
                <w:b w:val="0"/>
                <w:sz w:val="16"/>
              </w:rPr>
              <w:t>Who was blinded after assignment to interventions (eg, participants, care providers, outcome assessors, data analysts)</w:t>
            </w:r>
          </w:p>
        </w:tc>
        <w:tc>
          <w:tcPr>
            <w:tcW w:w="2664" w:type="dxa"/>
            <w:shd w:val="clear" w:color="auto" w:fill="auto"/>
            <w:tcMar>
              <w:top w:w="65" w:type="dxa"/>
              <w:left w:w="65" w:type="dxa"/>
              <w:bottom w:w="65" w:type="dxa"/>
              <w:right w:w="65" w:type="dxa"/>
            </w:tcMar>
            <w:vAlign w:val="top"/>
          </w:tcPr>
          <w:p w14:paraId="2FFB7D39">
            <w:pPr>
              <w:keepLines/>
              <w:spacing w:before="0" w:after="0" w:line="240" w:lineRule="auto"/>
              <w:jc w:val="left"/>
            </w:pPr>
            <w:r>
              <w:rPr>
                <w:rFonts w:ascii="Arial" w:hAnsi="Arial"/>
                <w:b w:val="0"/>
                <w:sz w:val="16"/>
              </w:rPr>
              <w:t>4</w:t>
            </w:r>
          </w:p>
        </w:tc>
      </w:tr>
      <w:tr w14:paraId="49BB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FD7A128">
            <w:pPr>
              <w:keepLines/>
              <w:spacing w:before="0" w:after="0" w:line="240" w:lineRule="auto"/>
              <w:jc w:val="left"/>
            </w:pPr>
          </w:p>
        </w:tc>
        <w:tc>
          <w:tcPr>
            <w:tcW w:w="792" w:type="dxa"/>
            <w:tcMar>
              <w:top w:w="65" w:type="dxa"/>
              <w:left w:w="65" w:type="dxa"/>
              <w:bottom w:w="65" w:type="dxa"/>
              <w:right w:w="65" w:type="dxa"/>
            </w:tcMar>
            <w:vAlign w:val="top"/>
          </w:tcPr>
          <w:p w14:paraId="16185963">
            <w:pPr>
              <w:keepLines/>
              <w:spacing w:before="0" w:after="0" w:line="240" w:lineRule="auto"/>
              <w:jc w:val="center"/>
            </w:pPr>
            <w:r>
              <w:rPr>
                <w:rFonts w:ascii="Arial" w:hAnsi="Arial"/>
                <w:b w:val="0"/>
                <w:sz w:val="16"/>
              </w:rPr>
              <w:t>20b</w:t>
            </w:r>
          </w:p>
        </w:tc>
        <w:tc>
          <w:tcPr>
            <w:tcW w:w="8784" w:type="dxa"/>
            <w:shd w:val="clear" w:color="auto" w:fill="auto"/>
            <w:tcMar>
              <w:top w:w="65" w:type="dxa"/>
              <w:left w:w="65" w:type="dxa"/>
              <w:bottom w:w="65" w:type="dxa"/>
              <w:right w:w="65" w:type="dxa"/>
            </w:tcMar>
            <w:vAlign w:val="top"/>
          </w:tcPr>
          <w:p w14:paraId="43902DAF">
            <w:pPr>
              <w:keepLines/>
              <w:spacing w:before="0" w:after="0" w:line="240" w:lineRule="auto"/>
              <w:jc w:val="left"/>
            </w:pPr>
            <w:r>
              <w:rPr>
                <w:rFonts w:ascii="Arial" w:hAnsi="Arial"/>
                <w:b w:val="0"/>
                <w:sz w:val="16"/>
              </w:rPr>
              <w:t>If blinded, how blinding was achieved and description of the similarity of interventions</w:t>
            </w:r>
          </w:p>
        </w:tc>
        <w:tc>
          <w:tcPr>
            <w:tcW w:w="2664" w:type="dxa"/>
            <w:shd w:val="clear" w:color="auto" w:fill="auto"/>
            <w:tcMar>
              <w:top w:w="65" w:type="dxa"/>
              <w:left w:w="65" w:type="dxa"/>
              <w:bottom w:w="65" w:type="dxa"/>
              <w:right w:w="65" w:type="dxa"/>
            </w:tcMar>
            <w:vAlign w:val="top"/>
          </w:tcPr>
          <w:p w14:paraId="4FA3358A">
            <w:pPr>
              <w:keepLines/>
              <w:spacing w:before="0" w:after="0" w:line="240" w:lineRule="auto"/>
              <w:jc w:val="left"/>
            </w:pPr>
            <w:r>
              <w:rPr>
                <w:rFonts w:ascii="Arial" w:hAnsi="Arial"/>
                <w:b w:val="0"/>
                <w:sz w:val="16"/>
              </w:rPr>
              <w:t xml:space="preserve">4 </w:t>
            </w:r>
          </w:p>
        </w:tc>
      </w:tr>
      <w:tr w14:paraId="4468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413CD739">
            <w:pPr>
              <w:keepLines/>
              <w:spacing w:before="0" w:after="0" w:line="240" w:lineRule="auto"/>
              <w:jc w:val="left"/>
            </w:pPr>
            <w:r>
              <w:rPr>
                <w:rFonts w:ascii="Arial" w:hAnsi="Arial"/>
                <w:b w:val="0"/>
                <w:sz w:val="16"/>
              </w:rPr>
              <w:t>Statistical methods</w:t>
            </w:r>
          </w:p>
        </w:tc>
        <w:tc>
          <w:tcPr>
            <w:tcW w:w="792" w:type="dxa"/>
            <w:tcMar>
              <w:top w:w="65" w:type="dxa"/>
              <w:left w:w="65" w:type="dxa"/>
              <w:bottom w:w="65" w:type="dxa"/>
              <w:right w:w="65" w:type="dxa"/>
            </w:tcMar>
            <w:vAlign w:val="top"/>
          </w:tcPr>
          <w:p w14:paraId="37135DC4">
            <w:pPr>
              <w:keepLines/>
              <w:spacing w:before="0" w:after="0" w:line="240" w:lineRule="auto"/>
              <w:jc w:val="center"/>
            </w:pPr>
            <w:r>
              <w:rPr>
                <w:rFonts w:ascii="Arial" w:hAnsi="Arial"/>
                <w:b w:val="0"/>
                <w:sz w:val="16"/>
              </w:rPr>
              <w:t>21a</w:t>
            </w:r>
          </w:p>
        </w:tc>
        <w:tc>
          <w:tcPr>
            <w:tcW w:w="8784" w:type="dxa"/>
            <w:shd w:val="clear" w:color="auto" w:fill="auto"/>
            <w:tcMar>
              <w:top w:w="65" w:type="dxa"/>
              <w:left w:w="65" w:type="dxa"/>
              <w:bottom w:w="65" w:type="dxa"/>
              <w:right w:w="65" w:type="dxa"/>
            </w:tcMar>
            <w:vAlign w:val="top"/>
          </w:tcPr>
          <w:p w14:paraId="5D224FA9">
            <w:pPr>
              <w:keepLines/>
              <w:spacing w:before="0" w:after="0" w:line="240" w:lineRule="auto"/>
              <w:jc w:val="left"/>
            </w:pPr>
            <w:r>
              <w:rPr>
                <w:rFonts w:ascii="Arial" w:hAnsi="Arial"/>
                <w:b w:val="0"/>
                <w:sz w:val="16"/>
              </w:rPr>
              <w:t>Statistical methods used to compare groups for primary and secondary outcomes, including harms</w:t>
            </w:r>
          </w:p>
        </w:tc>
        <w:tc>
          <w:tcPr>
            <w:tcW w:w="2664" w:type="dxa"/>
            <w:shd w:val="clear" w:color="auto" w:fill="auto"/>
            <w:tcMar>
              <w:top w:w="65" w:type="dxa"/>
              <w:left w:w="65" w:type="dxa"/>
              <w:bottom w:w="65" w:type="dxa"/>
              <w:right w:w="65" w:type="dxa"/>
            </w:tcMar>
            <w:vAlign w:val="top"/>
          </w:tcPr>
          <w:p w14:paraId="2C4C1DBD">
            <w:pPr>
              <w:keepLines/>
              <w:spacing w:before="0" w:after="0" w:line="240" w:lineRule="auto"/>
              <w:jc w:val="left"/>
            </w:pPr>
            <w:r>
              <w:rPr>
                <w:rFonts w:ascii="Arial" w:hAnsi="Arial"/>
                <w:b w:val="0"/>
                <w:sz w:val="16"/>
              </w:rPr>
              <w:t>6-7</w:t>
            </w:r>
          </w:p>
        </w:tc>
      </w:tr>
      <w:tr w14:paraId="0E8A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F2EC69F">
            <w:pPr>
              <w:keepLines/>
              <w:spacing w:before="0" w:after="0" w:line="240" w:lineRule="auto"/>
              <w:jc w:val="left"/>
            </w:pPr>
          </w:p>
        </w:tc>
        <w:tc>
          <w:tcPr>
            <w:tcW w:w="792" w:type="dxa"/>
            <w:tcMar>
              <w:top w:w="65" w:type="dxa"/>
              <w:left w:w="65" w:type="dxa"/>
              <w:bottom w:w="65" w:type="dxa"/>
              <w:right w:w="65" w:type="dxa"/>
            </w:tcMar>
            <w:vAlign w:val="top"/>
          </w:tcPr>
          <w:p w14:paraId="43319B8C">
            <w:pPr>
              <w:keepLines/>
              <w:spacing w:before="0" w:after="0" w:line="240" w:lineRule="auto"/>
              <w:jc w:val="center"/>
            </w:pPr>
            <w:r>
              <w:rPr>
                <w:rFonts w:ascii="Arial" w:hAnsi="Arial"/>
                <w:b w:val="0"/>
                <w:sz w:val="16"/>
              </w:rPr>
              <w:t>21b</w:t>
            </w:r>
          </w:p>
        </w:tc>
        <w:tc>
          <w:tcPr>
            <w:tcW w:w="8784" w:type="dxa"/>
            <w:tcMar>
              <w:top w:w="65" w:type="dxa"/>
              <w:left w:w="65" w:type="dxa"/>
              <w:bottom w:w="65" w:type="dxa"/>
              <w:right w:w="65" w:type="dxa"/>
            </w:tcMar>
            <w:vAlign w:val="top"/>
          </w:tcPr>
          <w:p w14:paraId="0768414E">
            <w:pPr>
              <w:keepLines/>
              <w:spacing w:before="0" w:after="0" w:line="240" w:lineRule="auto"/>
              <w:jc w:val="left"/>
            </w:pPr>
            <w:r>
              <w:rPr>
                <w:rFonts w:ascii="Arial" w:hAnsi="Arial"/>
                <w:b w:val="0"/>
                <w:sz w:val="16"/>
              </w:rPr>
              <w:t>Definition of who is included in each analysis (eg, all randomised participants), and in which group</w:t>
            </w:r>
          </w:p>
        </w:tc>
        <w:tc>
          <w:tcPr>
            <w:tcW w:w="2664" w:type="dxa"/>
            <w:tcMar>
              <w:top w:w="65" w:type="dxa"/>
              <w:left w:w="65" w:type="dxa"/>
              <w:bottom w:w="65" w:type="dxa"/>
              <w:right w:w="65" w:type="dxa"/>
            </w:tcMar>
            <w:vAlign w:val="top"/>
          </w:tcPr>
          <w:p w14:paraId="0A866EEB">
            <w:pPr>
              <w:keepLines/>
              <w:spacing w:before="0" w:after="0" w:line="240" w:lineRule="auto"/>
              <w:jc w:val="left"/>
            </w:pPr>
            <w:r>
              <w:rPr>
                <w:rFonts w:ascii="Arial" w:hAnsi="Arial"/>
                <w:b w:val="0"/>
                <w:sz w:val="16"/>
              </w:rPr>
              <w:t>7</w:t>
            </w:r>
          </w:p>
        </w:tc>
      </w:tr>
      <w:tr w14:paraId="70A9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09CAF57B">
            <w:pPr>
              <w:keepLines/>
              <w:spacing w:before="0" w:after="0" w:line="240" w:lineRule="auto"/>
              <w:jc w:val="left"/>
            </w:pPr>
          </w:p>
        </w:tc>
        <w:tc>
          <w:tcPr>
            <w:tcW w:w="792" w:type="dxa"/>
            <w:tcMar>
              <w:top w:w="65" w:type="dxa"/>
              <w:left w:w="65" w:type="dxa"/>
              <w:bottom w:w="65" w:type="dxa"/>
              <w:right w:w="65" w:type="dxa"/>
            </w:tcMar>
            <w:vAlign w:val="top"/>
          </w:tcPr>
          <w:p w14:paraId="0F61E0D6">
            <w:pPr>
              <w:keepLines/>
              <w:spacing w:before="0" w:after="0" w:line="240" w:lineRule="auto"/>
              <w:jc w:val="center"/>
            </w:pPr>
            <w:r>
              <w:rPr>
                <w:rFonts w:ascii="Arial" w:hAnsi="Arial"/>
                <w:b w:val="0"/>
                <w:sz w:val="16"/>
              </w:rPr>
              <w:t>21c</w:t>
            </w:r>
          </w:p>
        </w:tc>
        <w:tc>
          <w:tcPr>
            <w:tcW w:w="8784" w:type="dxa"/>
            <w:tcMar>
              <w:top w:w="65" w:type="dxa"/>
              <w:left w:w="65" w:type="dxa"/>
              <w:bottom w:w="65" w:type="dxa"/>
              <w:right w:w="65" w:type="dxa"/>
            </w:tcMar>
            <w:vAlign w:val="top"/>
          </w:tcPr>
          <w:p w14:paraId="55593A50">
            <w:pPr>
              <w:keepLines/>
              <w:spacing w:before="0" w:after="0" w:line="240" w:lineRule="auto"/>
              <w:jc w:val="left"/>
            </w:pPr>
            <w:r>
              <w:rPr>
                <w:rFonts w:ascii="Arial" w:hAnsi="Arial"/>
                <w:b w:val="0"/>
                <w:sz w:val="16"/>
              </w:rPr>
              <w:t>How missing data were handled in the analysis</w:t>
            </w:r>
          </w:p>
        </w:tc>
        <w:tc>
          <w:tcPr>
            <w:tcW w:w="2664" w:type="dxa"/>
            <w:tcMar>
              <w:top w:w="65" w:type="dxa"/>
              <w:left w:w="65" w:type="dxa"/>
              <w:bottom w:w="65" w:type="dxa"/>
              <w:right w:w="65" w:type="dxa"/>
            </w:tcMar>
            <w:vAlign w:val="top"/>
          </w:tcPr>
          <w:p w14:paraId="7DB8091F">
            <w:pPr>
              <w:keepLines/>
              <w:spacing w:before="0" w:after="0" w:line="240" w:lineRule="auto"/>
              <w:jc w:val="left"/>
            </w:pPr>
            <w:r>
              <w:rPr>
                <w:rFonts w:ascii="Arial" w:hAnsi="Arial"/>
                <w:b w:val="0"/>
                <w:sz w:val="16"/>
              </w:rPr>
              <w:t>7</w:t>
            </w:r>
          </w:p>
        </w:tc>
      </w:tr>
      <w:tr w14:paraId="7928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2A0077D4">
            <w:pPr>
              <w:keepLines/>
              <w:spacing w:before="0" w:after="0" w:line="240" w:lineRule="auto"/>
              <w:jc w:val="left"/>
            </w:pPr>
          </w:p>
        </w:tc>
        <w:tc>
          <w:tcPr>
            <w:tcW w:w="792" w:type="dxa"/>
            <w:tcMar>
              <w:top w:w="65" w:type="dxa"/>
              <w:left w:w="65" w:type="dxa"/>
              <w:bottom w:w="65" w:type="dxa"/>
              <w:right w:w="65" w:type="dxa"/>
            </w:tcMar>
            <w:vAlign w:val="top"/>
          </w:tcPr>
          <w:p w14:paraId="1EDA0AEA">
            <w:pPr>
              <w:keepLines/>
              <w:spacing w:before="0" w:after="0" w:line="240" w:lineRule="auto"/>
              <w:jc w:val="center"/>
            </w:pPr>
            <w:r>
              <w:rPr>
                <w:rFonts w:ascii="Arial" w:hAnsi="Arial"/>
                <w:b w:val="0"/>
                <w:sz w:val="16"/>
              </w:rPr>
              <w:t>21d</w:t>
            </w:r>
          </w:p>
        </w:tc>
        <w:tc>
          <w:tcPr>
            <w:tcW w:w="8784" w:type="dxa"/>
            <w:tcMar>
              <w:top w:w="65" w:type="dxa"/>
              <w:left w:w="65" w:type="dxa"/>
              <w:bottom w:w="65" w:type="dxa"/>
              <w:right w:w="65" w:type="dxa"/>
            </w:tcMar>
            <w:vAlign w:val="top"/>
          </w:tcPr>
          <w:p w14:paraId="3E2BE92B">
            <w:pPr>
              <w:keepLines/>
              <w:spacing w:before="0" w:after="0" w:line="240" w:lineRule="auto"/>
              <w:jc w:val="left"/>
            </w:pPr>
            <w:r>
              <w:rPr>
                <w:rFonts w:ascii="Arial" w:hAnsi="Arial"/>
                <w:b w:val="0"/>
                <w:sz w:val="16"/>
              </w:rPr>
              <w:t>Methods for any additional analyses (eg, subgroup and sensitivity analyses), distinguishing prespecified from post hoc</w:t>
            </w:r>
          </w:p>
        </w:tc>
        <w:tc>
          <w:tcPr>
            <w:tcW w:w="2664" w:type="dxa"/>
            <w:tcMar>
              <w:top w:w="65" w:type="dxa"/>
              <w:left w:w="65" w:type="dxa"/>
              <w:bottom w:w="65" w:type="dxa"/>
              <w:right w:w="65" w:type="dxa"/>
            </w:tcMar>
            <w:vAlign w:val="top"/>
          </w:tcPr>
          <w:p w14:paraId="4D860BDE">
            <w:pPr>
              <w:keepLines/>
              <w:spacing w:before="0" w:after="0" w:line="240" w:lineRule="auto"/>
              <w:jc w:val="left"/>
            </w:pPr>
            <w:r>
              <w:rPr>
                <w:rFonts w:ascii="Arial" w:hAnsi="Arial"/>
                <w:b w:val="0"/>
                <w:sz w:val="16"/>
              </w:rPr>
              <w:t>7-8</w:t>
            </w:r>
          </w:p>
        </w:tc>
      </w:tr>
      <w:tr w14:paraId="1BEC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D9B5AF6">
            <w:pPr>
              <w:keepLines/>
              <w:spacing w:before="0" w:after="0" w:line="240" w:lineRule="auto"/>
              <w:jc w:val="left"/>
            </w:pPr>
            <w:r>
              <w:rPr>
                <w:rFonts w:ascii="Arial" w:hAnsi="Arial"/>
                <w:b/>
                <w:sz w:val="16"/>
              </w:rPr>
              <w:t>Results</w:t>
            </w:r>
            <w:r>
              <w:rPr>
                <w:rFonts w:ascii="Arial" w:hAnsi="Arial"/>
                <w:b/>
                <w:sz w:val="16"/>
              </w:rPr>
              <w:br w:type="textWrapping"/>
            </w:r>
            <w:r>
              <w:rPr>
                <w:rFonts w:ascii="Arial" w:hAnsi="Arial"/>
                <w:b/>
                <w:sz w:val="16"/>
              </w:rPr>
              <w:t>Participant flow, including flow diagram</w:t>
            </w:r>
          </w:p>
        </w:tc>
        <w:tc>
          <w:tcPr>
            <w:tcW w:w="792" w:type="dxa"/>
            <w:tcMar>
              <w:top w:w="65" w:type="dxa"/>
              <w:left w:w="65" w:type="dxa"/>
              <w:bottom w:w="65" w:type="dxa"/>
              <w:right w:w="65" w:type="dxa"/>
            </w:tcMar>
            <w:vAlign w:val="top"/>
          </w:tcPr>
          <w:p w14:paraId="62DC2EFF">
            <w:pPr>
              <w:keepLines/>
              <w:spacing w:before="0" w:after="0" w:line="240" w:lineRule="auto"/>
              <w:jc w:val="center"/>
            </w:pPr>
            <w:r>
              <w:rPr>
                <w:rFonts w:ascii="Arial" w:hAnsi="Arial"/>
                <w:b w:val="0"/>
                <w:sz w:val="16"/>
              </w:rPr>
              <w:t>22a</w:t>
            </w:r>
          </w:p>
        </w:tc>
        <w:tc>
          <w:tcPr>
            <w:tcW w:w="8784" w:type="dxa"/>
            <w:tcMar>
              <w:top w:w="65" w:type="dxa"/>
              <w:left w:w="65" w:type="dxa"/>
              <w:bottom w:w="65" w:type="dxa"/>
              <w:right w:w="65" w:type="dxa"/>
            </w:tcMar>
            <w:vAlign w:val="top"/>
          </w:tcPr>
          <w:p w14:paraId="3D56889B">
            <w:pPr>
              <w:keepLines/>
              <w:spacing w:before="0" w:after="0" w:line="240" w:lineRule="auto"/>
              <w:jc w:val="left"/>
            </w:pPr>
            <w:r>
              <w:rPr>
                <w:rFonts w:ascii="Arial" w:hAnsi="Arial"/>
                <w:b w:val="0"/>
                <w:sz w:val="16"/>
              </w:rPr>
              <w:t>For each group, the numbers of participants who were randomly assigned, received intended intervention, and were analysed for the primary outcome</w:t>
            </w:r>
          </w:p>
        </w:tc>
        <w:tc>
          <w:tcPr>
            <w:tcW w:w="2664" w:type="dxa"/>
            <w:tcMar>
              <w:top w:w="65" w:type="dxa"/>
              <w:left w:w="65" w:type="dxa"/>
              <w:bottom w:w="65" w:type="dxa"/>
              <w:right w:w="65" w:type="dxa"/>
            </w:tcMar>
            <w:vAlign w:val="top"/>
          </w:tcPr>
          <w:p w14:paraId="1FE643E5">
            <w:pPr>
              <w:keepLines/>
              <w:spacing w:before="0" w:after="0" w:line="240" w:lineRule="auto"/>
              <w:jc w:val="left"/>
            </w:pPr>
            <w:r>
              <w:rPr>
                <w:rFonts w:ascii="Arial" w:hAnsi="Arial"/>
                <w:b w:val="0"/>
                <w:sz w:val="16"/>
              </w:rPr>
              <w:t>8; Figure 2 on 20</w:t>
            </w:r>
          </w:p>
        </w:tc>
      </w:tr>
      <w:tr w14:paraId="4E0A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0063672">
            <w:pPr>
              <w:keepLines/>
              <w:spacing w:before="0" w:after="0" w:line="240" w:lineRule="auto"/>
              <w:jc w:val="left"/>
            </w:pPr>
          </w:p>
        </w:tc>
        <w:tc>
          <w:tcPr>
            <w:tcW w:w="792" w:type="dxa"/>
            <w:tcMar>
              <w:top w:w="65" w:type="dxa"/>
              <w:left w:w="65" w:type="dxa"/>
              <w:bottom w:w="65" w:type="dxa"/>
              <w:right w:w="65" w:type="dxa"/>
            </w:tcMar>
            <w:vAlign w:val="top"/>
          </w:tcPr>
          <w:p w14:paraId="6347D38D">
            <w:pPr>
              <w:keepLines/>
              <w:spacing w:before="0" w:after="0" w:line="240" w:lineRule="auto"/>
              <w:jc w:val="center"/>
            </w:pPr>
            <w:r>
              <w:rPr>
                <w:rFonts w:ascii="Arial" w:hAnsi="Arial"/>
                <w:b w:val="0"/>
                <w:sz w:val="16"/>
              </w:rPr>
              <w:t>22b</w:t>
            </w:r>
          </w:p>
        </w:tc>
        <w:tc>
          <w:tcPr>
            <w:tcW w:w="8784" w:type="dxa"/>
            <w:shd w:val="clear" w:color="auto" w:fill="auto"/>
            <w:tcMar>
              <w:top w:w="65" w:type="dxa"/>
              <w:left w:w="65" w:type="dxa"/>
              <w:bottom w:w="65" w:type="dxa"/>
              <w:right w:w="65" w:type="dxa"/>
            </w:tcMar>
            <w:vAlign w:val="top"/>
          </w:tcPr>
          <w:p w14:paraId="029A1CEF">
            <w:pPr>
              <w:keepLines/>
              <w:spacing w:before="0" w:after="0" w:line="240" w:lineRule="auto"/>
              <w:jc w:val="left"/>
            </w:pPr>
            <w:r>
              <w:rPr>
                <w:rFonts w:ascii="Arial" w:hAnsi="Arial"/>
                <w:b w:val="0"/>
                <w:sz w:val="16"/>
              </w:rPr>
              <w:t>For each group, losses and exclusions after randomisation, together with reasons</w:t>
            </w:r>
          </w:p>
        </w:tc>
        <w:tc>
          <w:tcPr>
            <w:tcW w:w="2664" w:type="dxa"/>
            <w:shd w:val="clear" w:color="auto" w:fill="auto"/>
            <w:tcMar>
              <w:top w:w="65" w:type="dxa"/>
              <w:left w:w="65" w:type="dxa"/>
              <w:bottom w:w="65" w:type="dxa"/>
              <w:right w:w="65" w:type="dxa"/>
            </w:tcMar>
            <w:vAlign w:val="top"/>
          </w:tcPr>
          <w:p w14:paraId="3845C21C">
            <w:pPr>
              <w:keepLines/>
              <w:spacing w:before="0" w:after="0" w:line="240" w:lineRule="auto"/>
              <w:jc w:val="left"/>
            </w:pPr>
            <w:r>
              <w:rPr>
                <w:rFonts w:ascii="Arial" w:hAnsi="Arial"/>
                <w:b w:val="0"/>
                <w:sz w:val="16"/>
              </w:rPr>
              <w:t>8; Figure 2 on 20</w:t>
            </w:r>
          </w:p>
        </w:tc>
      </w:tr>
      <w:tr w14:paraId="40D9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02AF65CA">
            <w:pPr>
              <w:keepLines/>
              <w:spacing w:before="0" w:after="0" w:line="240" w:lineRule="auto"/>
              <w:jc w:val="left"/>
            </w:pPr>
            <w:r>
              <w:rPr>
                <w:rFonts w:ascii="Arial" w:hAnsi="Arial"/>
                <w:b w:val="0"/>
                <w:sz w:val="16"/>
              </w:rPr>
              <w:t>Recruitment</w:t>
            </w:r>
          </w:p>
        </w:tc>
        <w:tc>
          <w:tcPr>
            <w:tcW w:w="792" w:type="dxa"/>
            <w:tcMar>
              <w:top w:w="65" w:type="dxa"/>
              <w:left w:w="65" w:type="dxa"/>
              <w:bottom w:w="65" w:type="dxa"/>
              <w:right w:w="65" w:type="dxa"/>
            </w:tcMar>
            <w:vAlign w:val="top"/>
          </w:tcPr>
          <w:p w14:paraId="26A35A45">
            <w:pPr>
              <w:keepLines/>
              <w:spacing w:before="0" w:after="0" w:line="240" w:lineRule="auto"/>
              <w:jc w:val="center"/>
            </w:pPr>
            <w:r>
              <w:rPr>
                <w:rFonts w:ascii="Arial" w:hAnsi="Arial"/>
                <w:b w:val="0"/>
                <w:sz w:val="16"/>
              </w:rPr>
              <w:t>23a</w:t>
            </w:r>
          </w:p>
        </w:tc>
        <w:tc>
          <w:tcPr>
            <w:tcW w:w="8784" w:type="dxa"/>
            <w:shd w:val="clear" w:color="auto" w:fill="auto"/>
            <w:tcMar>
              <w:top w:w="65" w:type="dxa"/>
              <w:left w:w="65" w:type="dxa"/>
              <w:bottom w:w="65" w:type="dxa"/>
              <w:right w:w="65" w:type="dxa"/>
            </w:tcMar>
            <w:vAlign w:val="top"/>
          </w:tcPr>
          <w:p w14:paraId="32662686">
            <w:pPr>
              <w:keepLines/>
              <w:spacing w:before="0" w:after="0" w:line="240" w:lineRule="auto"/>
              <w:jc w:val="left"/>
            </w:pPr>
            <w:r>
              <w:rPr>
                <w:rFonts w:ascii="Arial" w:hAnsi="Arial"/>
                <w:b w:val="0"/>
                <w:sz w:val="16"/>
              </w:rPr>
              <w:t>Dates defining the periods of recruitment and follow-up for outcomes of benefits and harms</w:t>
            </w:r>
          </w:p>
        </w:tc>
        <w:tc>
          <w:tcPr>
            <w:tcW w:w="2664" w:type="dxa"/>
            <w:shd w:val="clear" w:color="auto" w:fill="auto"/>
            <w:tcMar>
              <w:top w:w="65" w:type="dxa"/>
              <w:left w:w="65" w:type="dxa"/>
              <w:bottom w:w="65" w:type="dxa"/>
              <w:right w:w="65" w:type="dxa"/>
            </w:tcMar>
            <w:vAlign w:val="top"/>
          </w:tcPr>
          <w:p w14:paraId="2FBBB240">
            <w:pPr>
              <w:keepLines/>
              <w:spacing w:before="0" w:after="0" w:line="240" w:lineRule="auto"/>
              <w:jc w:val="left"/>
            </w:pPr>
            <w:r>
              <w:rPr>
                <w:rFonts w:ascii="Arial" w:hAnsi="Arial"/>
                <w:b w:val="0"/>
                <w:sz w:val="16"/>
              </w:rPr>
              <w:t>4 (February-July 2026)</w:t>
            </w:r>
          </w:p>
        </w:tc>
      </w:tr>
      <w:tr w14:paraId="759A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355FF207">
            <w:pPr>
              <w:keepLines/>
              <w:spacing w:before="0" w:after="0" w:line="240" w:lineRule="auto"/>
              <w:jc w:val="left"/>
            </w:pPr>
          </w:p>
        </w:tc>
        <w:tc>
          <w:tcPr>
            <w:tcW w:w="792" w:type="dxa"/>
            <w:tcMar>
              <w:top w:w="65" w:type="dxa"/>
              <w:left w:w="65" w:type="dxa"/>
              <w:bottom w:w="65" w:type="dxa"/>
              <w:right w:w="65" w:type="dxa"/>
            </w:tcMar>
            <w:vAlign w:val="top"/>
          </w:tcPr>
          <w:p w14:paraId="1A252180">
            <w:pPr>
              <w:keepLines/>
              <w:spacing w:before="0" w:after="0" w:line="240" w:lineRule="auto"/>
              <w:jc w:val="center"/>
            </w:pPr>
            <w:r>
              <w:rPr>
                <w:rFonts w:ascii="Arial" w:hAnsi="Arial"/>
                <w:b w:val="0"/>
                <w:sz w:val="16"/>
              </w:rPr>
              <w:t>23b</w:t>
            </w:r>
          </w:p>
        </w:tc>
        <w:tc>
          <w:tcPr>
            <w:tcW w:w="8784" w:type="dxa"/>
            <w:shd w:val="clear" w:color="auto" w:fill="auto"/>
            <w:tcMar>
              <w:top w:w="65" w:type="dxa"/>
              <w:left w:w="65" w:type="dxa"/>
              <w:bottom w:w="65" w:type="dxa"/>
              <w:right w:w="65" w:type="dxa"/>
            </w:tcMar>
            <w:vAlign w:val="top"/>
          </w:tcPr>
          <w:p w14:paraId="2EDD4612">
            <w:pPr>
              <w:keepLines/>
              <w:spacing w:before="0" w:after="0" w:line="240" w:lineRule="auto"/>
              <w:jc w:val="left"/>
            </w:pPr>
            <w:r>
              <w:rPr>
                <w:rFonts w:ascii="Arial" w:hAnsi="Arial"/>
                <w:b w:val="0"/>
                <w:sz w:val="16"/>
              </w:rPr>
              <w:t>If relevant, why the trial ended or was stopped</w:t>
            </w:r>
          </w:p>
        </w:tc>
        <w:tc>
          <w:tcPr>
            <w:tcW w:w="2664" w:type="dxa"/>
            <w:shd w:val="clear" w:color="auto" w:fill="auto"/>
            <w:tcMar>
              <w:top w:w="65" w:type="dxa"/>
              <w:left w:w="65" w:type="dxa"/>
              <w:bottom w:w="65" w:type="dxa"/>
              <w:right w:w="65" w:type="dxa"/>
            </w:tcMar>
            <w:vAlign w:val="top"/>
          </w:tcPr>
          <w:p w14:paraId="480AD7F7">
            <w:pPr>
              <w:keepLines/>
              <w:spacing w:before="0" w:after="0" w:line="240" w:lineRule="auto"/>
              <w:jc w:val="left"/>
            </w:pPr>
            <w:r>
              <w:rPr>
                <w:rFonts w:ascii="Arial" w:hAnsi="Arial"/>
                <w:b w:val="0"/>
                <w:sz w:val="16"/>
              </w:rPr>
              <w:t xml:space="preserve">N/A </w:t>
            </w:r>
          </w:p>
        </w:tc>
      </w:tr>
      <w:tr w14:paraId="75BA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05399B40">
            <w:pPr>
              <w:keepLines/>
              <w:spacing w:before="0" w:after="0" w:line="240" w:lineRule="auto"/>
              <w:jc w:val="left"/>
            </w:pPr>
            <w:r>
              <w:rPr>
                <w:rFonts w:ascii="Arial" w:hAnsi="Arial"/>
                <w:b w:val="0"/>
                <w:sz w:val="16"/>
              </w:rPr>
              <w:t>Intervention and comparator delivery</w:t>
            </w:r>
          </w:p>
        </w:tc>
        <w:tc>
          <w:tcPr>
            <w:tcW w:w="792" w:type="dxa"/>
            <w:tcMar>
              <w:top w:w="65" w:type="dxa"/>
              <w:left w:w="65" w:type="dxa"/>
              <w:bottom w:w="65" w:type="dxa"/>
              <w:right w:w="65" w:type="dxa"/>
            </w:tcMar>
            <w:vAlign w:val="top"/>
          </w:tcPr>
          <w:p w14:paraId="34A934B3">
            <w:pPr>
              <w:keepLines/>
              <w:spacing w:before="0" w:after="0" w:line="240" w:lineRule="auto"/>
              <w:jc w:val="center"/>
            </w:pPr>
            <w:r>
              <w:rPr>
                <w:rFonts w:ascii="Arial" w:hAnsi="Arial"/>
                <w:b w:val="0"/>
                <w:sz w:val="16"/>
              </w:rPr>
              <w:t>24a</w:t>
            </w:r>
          </w:p>
        </w:tc>
        <w:tc>
          <w:tcPr>
            <w:tcW w:w="8784" w:type="dxa"/>
            <w:tcMar>
              <w:top w:w="65" w:type="dxa"/>
              <w:left w:w="65" w:type="dxa"/>
              <w:bottom w:w="65" w:type="dxa"/>
              <w:right w:w="65" w:type="dxa"/>
            </w:tcMar>
            <w:vAlign w:val="top"/>
          </w:tcPr>
          <w:p w14:paraId="51A57F11">
            <w:pPr>
              <w:keepLines/>
              <w:spacing w:before="0" w:after="0" w:line="240" w:lineRule="auto"/>
              <w:jc w:val="left"/>
            </w:pPr>
            <w:r>
              <w:rPr>
                <w:rFonts w:ascii="Arial" w:hAnsi="Arial"/>
                <w:b w:val="0"/>
                <w:sz w:val="16"/>
              </w:rPr>
              <w:t>Intervention and comparator as they were actually administered (eg, where appropriate, who delivered the intervention/comparator, how participants adhered, whether they were delivered as intended [fidelity])</w:t>
            </w:r>
          </w:p>
        </w:tc>
        <w:tc>
          <w:tcPr>
            <w:tcW w:w="2664" w:type="dxa"/>
            <w:tcMar>
              <w:top w:w="65" w:type="dxa"/>
              <w:left w:w="65" w:type="dxa"/>
              <w:bottom w:w="65" w:type="dxa"/>
              <w:right w:w="65" w:type="dxa"/>
            </w:tcMar>
            <w:vAlign w:val="top"/>
          </w:tcPr>
          <w:p w14:paraId="51653AD2">
            <w:pPr>
              <w:keepLines/>
              <w:spacing w:before="0" w:after="0" w:line="240" w:lineRule="auto"/>
              <w:jc w:val="left"/>
            </w:pPr>
            <w:r>
              <w:rPr>
                <w:rFonts w:ascii="Arial" w:hAnsi="Arial"/>
                <w:b w:val="0"/>
                <w:sz w:val="16"/>
              </w:rPr>
              <w:t>5; 9; Table 3 on 27</w:t>
            </w:r>
          </w:p>
        </w:tc>
      </w:tr>
      <w:tr w14:paraId="4B26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457D8106">
            <w:pPr>
              <w:keepLines/>
              <w:spacing w:before="0" w:after="0" w:line="240" w:lineRule="auto"/>
              <w:jc w:val="left"/>
            </w:pPr>
          </w:p>
        </w:tc>
        <w:tc>
          <w:tcPr>
            <w:tcW w:w="792" w:type="dxa"/>
            <w:tcMar>
              <w:top w:w="65" w:type="dxa"/>
              <w:left w:w="65" w:type="dxa"/>
              <w:bottom w:w="65" w:type="dxa"/>
              <w:right w:w="65" w:type="dxa"/>
            </w:tcMar>
            <w:vAlign w:val="top"/>
          </w:tcPr>
          <w:p w14:paraId="51D2BDD8">
            <w:pPr>
              <w:keepLines/>
              <w:spacing w:before="0" w:after="0" w:line="240" w:lineRule="auto"/>
              <w:jc w:val="center"/>
            </w:pPr>
            <w:r>
              <w:rPr>
                <w:rFonts w:ascii="Arial" w:hAnsi="Arial"/>
                <w:b w:val="0"/>
                <w:sz w:val="16"/>
              </w:rPr>
              <w:t>24b</w:t>
            </w:r>
          </w:p>
        </w:tc>
        <w:tc>
          <w:tcPr>
            <w:tcW w:w="8784" w:type="dxa"/>
            <w:tcMar>
              <w:top w:w="65" w:type="dxa"/>
              <w:left w:w="65" w:type="dxa"/>
              <w:bottom w:w="65" w:type="dxa"/>
              <w:right w:w="65" w:type="dxa"/>
            </w:tcMar>
            <w:vAlign w:val="top"/>
          </w:tcPr>
          <w:p w14:paraId="3B394DEB">
            <w:pPr>
              <w:keepLines/>
              <w:spacing w:before="0" w:after="0" w:line="240" w:lineRule="auto"/>
              <w:jc w:val="left"/>
            </w:pPr>
            <w:r>
              <w:rPr>
                <w:rFonts w:ascii="Arial" w:hAnsi="Arial"/>
                <w:b w:val="0"/>
                <w:sz w:val="16"/>
              </w:rPr>
              <w:t>Concomitant care received during the trial for each group</w:t>
            </w:r>
          </w:p>
        </w:tc>
        <w:tc>
          <w:tcPr>
            <w:tcW w:w="2664" w:type="dxa"/>
            <w:tcMar>
              <w:top w:w="65" w:type="dxa"/>
              <w:left w:w="65" w:type="dxa"/>
              <w:bottom w:w="65" w:type="dxa"/>
              <w:right w:w="65" w:type="dxa"/>
            </w:tcMar>
            <w:vAlign w:val="top"/>
          </w:tcPr>
          <w:p w14:paraId="32B012AE">
            <w:pPr>
              <w:keepLines/>
              <w:spacing w:before="0" w:after="0" w:line="240" w:lineRule="auto"/>
              <w:jc w:val="left"/>
            </w:pPr>
            <w:r>
              <w:rPr>
                <w:rFonts w:ascii="Arial" w:hAnsi="Arial"/>
                <w:b w:val="0"/>
                <w:sz w:val="16"/>
              </w:rPr>
              <w:t>5</w:t>
            </w:r>
          </w:p>
        </w:tc>
      </w:tr>
      <w:tr w14:paraId="3F9C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06A1DA9">
            <w:pPr>
              <w:keepLines/>
              <w:spacing w:before="0" w:after="0" w:line="240" w:lineRule="auto"/>
              <w:jc w:val="left"/>
            </w:pPr>
            <w:r>
              <w:rPr>
                <w:rFonts w:ascii="Arial" w:hAnsi="Arial"/>
                <w:b w:val="0"/>
                <w:sz w:val="16"/>
              </w:rPr>
              <w:t>Baseline data</w:t>
            </w:r>
          </w:p>
        </w:tc>
        <w:tc>
          <w:tcPr>
            <w:tcW w:w="792" w:type="dxa"/>
            <w:tcMar>
              <w:top w:w="65" w:type="dxa"/>
              <w:left w:w="65" w:type="dxa"/>
              <w:bottom w:w="65" w:type="dxa"/>
              <w:right w:w="65" w:type="dxa"/>
            </w:tcMar>
            <w:vAlign w:val="top"/>
          </w:tcPr>
          <w:p w14:paraId="255439F6">
            <w:pPr>
              <w:keepLines/>
              <w:spacing w:before="0" w:after="0" w:line="240" w:lineRule="auto"/>
              <w:jc w:val="center"/>
            </w:pPr>
            <w:r>
              <w:rPr>
                <w:rFonts w:ascii="Arial" w:hAnsi="Arial"/>
                <w:b w:val="0"/>
                <w:sz w:val="16"/>
              </w:rPr>
              <w:t>25</w:t>
            </w:r>
          </w:p>
        </w:tc>
        <w:tc>
          <w:tcPr>
            <w:tcW w:w="8784" w:type="dxa"/>
            <w:tcMar>
              <w:top w:w="65" w:type="dxa"/>
              <w:left w:w="65" w:type="dxa"/>
              <w:bottom w:w="65" w:type="dxa"/>
              <w:right w:w="65" w:type="dxa"/>
            </w:tcMar>
            <w:vAlign w:val="top"/>
          </w:tcPr>
          <w:p w14:paraId="67B05EEA">
            <w:pPr>
              <w:keepLines/>
              <w:spacing w:before="0" w:after="0" w:line="240" w:lineRule="auto"/>
              <w:jc w:val="left"/>
            </w:pPr>
            <w:r>
              <w:rPr>
                <w:rFonts w:ascii="Arial" w:hAnsi="Arial"/>
                <w:b w:val="0"/>
                <w:sz w:val="16"/>
              </w:rPr>
              <w:t>A table showing baseline demographic and clinical characteristics for each group</w:t>
            </w:r>
          </w:p>
        </w:tc>
        <w:tc>
          <w:tcPr>
            <w:tcW w:w="2664" w:type="dxa"/>
            <w:tcMar>
              <w:top w:w="65" w:type="dxa"/>
              <w:left w:w="65" w:type="dxa"/>
              <w:bottom w:w="65" w:type="dxa"/>
              <w:right w:w="65" w:type="dxa"/>
            </w:tcMar>
            <w:vAlign w:val="top"/>
          </w:tcPr>
          <w:p w14:paraId="722DAA1E">
            <w:pPr>
              <w:keepLines/>
              <w:spacing w:before="0" w:after="0" w:line="240" w:lineRule="auto"/>
              <w:jc w:val="left"/>
            </w:pPr>
            <w:r>
              <w:rPr>
                <w:rFonts w:ascii="Arial" w:hAnsi="Arial"/>
                <w:b w:val="0"/>
                <w:sz w:val="16"/>
              </w:rPr>
              <w:t>Table 1 on 25</w:t>
            </w:r>
          </w:p>
        </w:tc>
      </w:tr>
      <w:tr w14:paraId="6EA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56A83006">
            <w:pPr>
              <w:keepLines/>
              <w:spacing w:before="0" w:after="0" w:line="240" w:lineRule="auto"/>
              <w:jc w:val="left"/>
            </w:pPr>
            <w:r>
              <w:rPr>
                <w:rFonts w:ascii="Arial" w:hAnsi="Arial"/>
                <w:b w:val="0"/>
                <w:sz w:val="16"/>
              </w:rPr>
              <w:t>Numbers analysed, outcomes, and estimation</w:t>
            </w:r>
          </w:p>
        </w:tc>
        <w:tc>
          <w:tcPr>
            <w:tcW w:w="792" w:type="dxa"/>
            <w:tcMar>
              <w:top w:w="65" w:type="dxa"/>
              <w:left w:w="65" w:type="dxa"/>
              <w:bottom w:w="65" w:type="dxa"/>
              <w:right w:w="65" w:type="dxa"/>
            </w:tcMar>
            <w:vAlign w:val="top"/>
          </w:tcPr>
          <w:p w14:paraId="702758C3">
            <w:pPr>
              <w:keepLines/>
              <w:spacing w:before="0" w:after="0" w:line="240" w:lineRule="auto"/>
              <w:jc w:val="center"/>
            </w:pPr>
            <w:r>
              <w:rPr>
                <w:rFonts w:ascii="Arial" w:hAnsi="Arial"/>
                <w:b w:val="0"/>
                <w:sz w:val="16"/>
              </w:rPr>
              <w:t>26</w:t>
            </w:r>
          </w:p>
        </w:tc>
        <w:tc>
          <w:tcPr>
            <w:tcW w:w="8784" w:type="dxa"/>
            <w:tcMar>
              <w:top w:w="65" w:type="dxa"/>
              <w:left w:w="65" w:type="dxa"/>
              <w:bottom w:w="65" w:type="dxa"/>
              <w:right w:w="65" w:type="dxa"/>
            </w:tcMar>
            <w:vAlign w:val="top"/>
          </w:tcPr>
          <w:p w14:paraId="66B01E9E">
            <w:pPr>
              <w:keepLines/>
              <w:spacing w:before="0" w:after="0" w:line="240" w:lineRule="auto"/>
              <w:jc w:val="left"/>
            </w:pPr>
            <w:r>
              <w:rPr>
                <w:rFonts w:ascii="Arial" w:hAnsi="Arial"/>
                <w:b w:val="0"/>
                <w:sz w:val="16"/>
              </w:rPr>
              <w:t>For each primary and secondary outcome, by group: the number of participants included in the analysis; the number of participants with available data at the outcome time point; result for each group and the estimated effect size and its precision (such as 95% confidence interval); for binary outcomes, presentation of both absolute and relative effect size</w:t>
            </w:r>
          </w:p>
        </w:tc>
        <w:tc>
          <w:tcPr>
            <w:tcW w:w="2664" w:type="dxa"/>
            <w:tcMar>
              <w:top w:w="65" w:type="dxa"/>
              <w:left w:w="65" w:type="dxa"/>
              <w:bottom w:w="65" w:type="dxa"/>
              <w:right w:w="65" w:type="dxa"/>
            </w:tcMar>
            <w:vAlign w:val="top"/>
          </w:tcPr>
          <w:p w14:paraId="6D9499E8">
            <w:pPr>
              <w:keepLines/>
              <w:spacing w:before="0" w:after="0" w:line="240" w:lineRule="auto"/>
              <w:jc w:val="left"/>
            </w:pPr>
            <w:r>
              <w:rPr>
                <w:rFonts w:ascii="Arial" w:hAnsi="Arial"/>
                <w:b w:val="0"/>
                <w:sz w:val="16"/>
              </w:rPr>
              <w:t>8-9; Table 2 on 26-27 (binary outcomes not applicable)</w:t>
            </w:r>
          </w:p>
        </w:tc>
      </w:tr>
      <w:tr w14:paraId="3DAD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784E2A2B">
            <w:pPr>
              <w:keepLines/>
              <w:spacing w:before="0" w:after="0" w:line="240" w:lineRule="auto"/>
              <w:jc w:val="left"/>
            </w:pPr>
            <w:r>
              <w:rPr>
                <w:rFonts w:ascii="Arial" w:hAnsi="Arial"/>
                <w:b w:val="0"/>
                <w:sz w:val="16"/>
              </w:rPr>
              <w:t>Harms</w:t>
            </w:r>
          </w:p>
        </w:tc>
        <w:tc>
          <w:tcPr>
            <w:tcW w:w="792" w:type="dxa"/>
            <w:tcMar>
              <w:top w:w="65" w:type="dxa"/>
              <w:left w:w="65" w:type="dxa"/>
              <w:bottom w:w="65" w:type="dxa"/>
              <w:right w:w="65" w:type="dxa"/>
            </w:tcMar>
            <w:vAlign w:val="top"/>
          </w:tcPr>
          <w:p w14:paraId="7007C3B6">
            <w:pPr>
              <w:keepLines/>
              <w:spacing w:before="0" w:after="0" w:line="240" w:lineRule="auto"/>
              <w:jc w:val="center"/>
            </w:pPr>
            <w:r>
              <w:rPr>
                <w:rFonts w:ascii="Arial" w:hAnsi="Arial"/>
                <w:b w:val="0"/>
                <w:sz w:val="16"/>
              </w:rPr>
              <w:t>27</w:t>
            </w:r>
          </w:p>
        </w:tc>
        <w:tc>
          <w:tcPr>
            <w:tcW w:w="8784" w:type="dxa"/>
            <w:tcMar>
              <w:top w:w="65" w:type="dxa"/>
              <w:left w:w="65" w:type="dxa"/>
              <w:bottom w:w="65" w:type="dxa"/>
              <w:right w:w="65" w:type="dxa"/>
            </w:tcMar>
            <w:vAlign w:val="top"/>
          </w:tcPr>
          <w:p w14:paraId="64AF8B2F">
            <w:pPr>
              <w:keepLines/>
              <w:spacing w:before="0" w:after="0" w:line="240" w:lineRule="auto"/>
              <w:jc w:val="left"/>
            </w:pPr>
            <w:r>
              <w:rPr>
                <w:rFonts w:ascii="Arial" w:hAnsi="Arial"/>
                <w:b w:val="0"/>
                <w:sz w:val="16"/>
              </w:rPr>
              <w:t>All harms or unintended events in each group</w:t>
            </w:r>
          </w:p>
        </w:tc>
        <w:tc>
          <w:tcPr>
            <w:tcW w:w="2664" w:type="dxa"/>
            <w:tcMar>
              <w:top w:w="65" w:type="dxa"/>
              <w:left w:w="65" w:type="dxa"/>
              <w:bottom w:w="65" w:type="dxa"/>
              <w:right w:w="65" w:type="dxa"/>
            </w:tcMar>
            <w:vAlign w:val="top"/>
          </w:tcPr>
          <w:p w14:paraId="4A28A020">
            <w:pPr>
              <w:keepLines/>
              <w:spacing w:before="0" w:after="0" w:line="240" w:lineRule="auto"/>
              <w:jc w:val="left"/>
            </w:pPr>
            <w:r>
              <w:rPr>
                <w:rFonts w:ascii="Arial" w:hAnsi="Arial"/>
                <w:b w:val="0"/>
                <w:sz w:val="16"/>
              </w:rPr>
              <w:t>9; Table 3 on 27</w:t>
            </w:r>
          </w:p>
        </w:tc>
      </w:tr>
      <w:tr w14:paraId="1F3A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2FDD1EB0">
            <w:pPr>
              <w:keepLines/>
              <w:spacing w:before="0" w:after="0" w:line="240" w:lineRule="auto"/>
              <w:jc w:val="left"/>
            </w:pPr>
            <w:r>
              <w:rPr>
                <w:rFonts w:ascii="Arial" w:hAnsi="Arial"/>
                <w:b w:val="0"/>
                <w:sz w:val="16"/>
              </w:rPr>
              <w:t>Ancillary analyses</w:t>
            </w:r>
          </w:p>
        </w:tc>
        <w:tc>
          <w:tcPr>
            <w:tcW w:w="792" w:type="dxa"/>
            <w:tcMar>
              <w:top w:w="65" w:type="dxa"/>
              <w:left w:w="65" w:type="dxa"/>
              <w:bottom w:w="65" w:type="dxa"/>
              <w:right w:w="65" w:type="dxa"/>
            </w:tcMar>
            <w:vAlign w:val="top"/>
          </w:tcPr>
          <w:p w14:paraId="22C8A52D">
            <w:pPr>
              <w:keepLines/>
              <w:spacing w:before="0" w:after="0" w:line="240" w:lineRule="auto"/>
              <w:jc w:val="center"/>
            </w:pPr>
            <w:r>
              <w:rPr>
                <w:rFonts w:ascii="Arial" w:hAnsi="Arial"/>
                <w:b w:val="0"/>
                <w:sz w:val="16"/>
              </w:rPr>
              <w:t>28</w:t>
            </w:r>
          </w:p>
        </w:tc>
        <w:tc>
          <w:tcPr>
            <w:tcW w:w="8784" w:type="dxa"/>
            <w:tcMar>
              <w:top w:w="65" w:type="dxa"/>
              <w:left w:w="65" w:type="dxa"/>
              <w:bottom w:w="65" w:type="dxa"/>
              <w:right w:w="65" w:type="dxa"/>
            </w:tcMar>
            <w:vAlign w:val="top"/>
          </w:tcPr>
          <w:p w14:paraId="6FF88247">
            <w:pPr>
              <w:keepLines/>
              <w:spacing w:before="0" w:after="0" w:line="240" w:lineRule="auto"/>
              <w:jc w:val="left"/>
            </w:pPr>
            <w:r>
              <w:rPr>
                <w:rFonts w:ascii="Arial" w:hAnsi="Arial"/>
                <w:b w:val="0"/>
                <w:sz w:val="16"/>
              </w:rPr>
              <w:t>Any other analyses performed, including subgroup and sensitivity analyses, distinguishing prespecified from post hoc</w:t>
            </w:r>
          </w:p>
        </w:tc>
        <w:tc>
          <w:tcPr>
            <w:tcW w:w="2664" w:type="dxa"/>
            <w:tcMar>
              <w:top w:w="65" w:type="dxa"/>
              <w:left w:w="65" w:type="dxa"/>
              <w:bottom w:w="65" w:type="dxa"/>
              <w:right w:w="65" w:type="dxa"/>
            </w:tcMar>
            <w:vAlign w:val="top"/>
          </w:tcPr>
          <w:p w14:paraId="3C1969EC">
            <w:pPr>
              <w:keepLines/>
              <w:spacing w:before="0" w:after="0" w:line="240" w:lineRule="auto"/>
              <w:jc w:val="left"/>
            </w:pPr>
            <w:r>
              <w:rPr>
                <w:rFonts w:ascii="Arial" w:hAnsi="Arial"/>
                <w:b w:val="0"/>
                <w:sz w:val="16"/>
              </w:rPr>
              <w:t>7-9; Figure 5 on 23; Figure 6 on 24; Tables 4-5 on 28-29</w:t>
            </w:r>
          </w:p>
        </w:tc>
      </w:tr>
      <w:tr w14:paraId="5700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1E5E1B2">
            <w:pPr>
              <w:keepLines/>
              <w:spacing w:before="0" w:after="0" w:line="240" w:lineRule="auto"/>
              <w:jc w:val="left"/>
            </w:pPr>
            <w:r>
              <w:rPr>
                <w:rFonts w:ascii="Arial" w:hAnsi="Arial"/>
                <w:b/>
                <w:sz w:val="16"/>
              </w:rPr>
              <w:t>Discussion</w:t>
            </w:r>
            <w:r>
              <w:rPr>
                <w:rFonts w:ascii="Arial" w:hAnsi="Arial"/>
                <w:b/>
                <w:sz w:val="16"/>
              </w:rPr>
              <w:br w:type="textWrapping"/>
            </w:r>
            <w:r>
              <w:rPr>
                <w:rFonts w:ascii="Arial" w:hAnsi="Arial"/>
                <w:b/>
                <w:sz w:val="16"/>
              </w:rPr>
              <w:t>Interpretation</w:t>
            </w:r>
          </w:p>
        </w:tc>
        <w:tc>
          <w:tcPr>
            <w:tcW w:w="792" w:type="dxa"/>
            <w:tcMar>
              <w:top w:w="65" w:type="dxa"/>
              <w:left w:w="65" w:type="dxa"/>
              <w:bottom w:w="65" w:type="dxa"/>
              <w:right w:w="65" w:type="dxa"/>
            </w:tcMar>
            <w:vAlign w:val="top"/>
          </w:tcPr>
          <w:p w14:paraId="651DECAF">
            <w:pPr>
              <w:keepLines/>
              <w:spacing w:before="0" w:after="0" w:line="240" w:lineRule="auto"/>
              <w:jc w:val="center"/>
            </w:pPr>
            <w:r>
              <w:rPr>
                <w:rFonts w:ascii="Arial" w:hAnsi="Arial"/>
                <w:b w:val="0"/>
                <w:sz w:val="16"/>
              </w:rPr>
              <w:t>29</w:t>
            </w:r>
          </w:p>
        </w:tc>
        <w:tc>
          <w:tcPr>
            <w:tcW w:w="8784" w:type="dxa"/>
            <w:tcMar>
              <w:top w:w="65" w:type="dxa"/>
              <w:left w:w="65" w:type="dxa"/>
              <w:bottom w:w="65" w:type="dxa"/>
              <w:right w:w="65" w:type="dxa"/>
            </w:tcMar>
            <w:vAlign w:val="top"/>
          </w:tcPr>
          <w:p w14:paraId="7C77F65B">
            <w:pPr>
              <w:keepLines/>
              <w:spacing w:before="0" w:after="0" w:line="240" w:lineRule="auto"/>
              <w:jc w:val="left"/>
            </w:pPr>
            <w:r>
              <w:rPr>
                <w:rFonts w:ascii="Arial" w:hAnsi="Arial"/>
                <w:b w:val="0"/>
                <w:sz w:val="16"/>
              </w:rPr>
              <w:t>Interpretation consistent with results, balancing benefits and harms, and considering other relevant evidence</w:t>
            </w:r>
          </w:p>
        </w:tc>
        <w:tc>
          <w:tcPr>
            <w:tcW w:w="2664" w:type="dxa"/>
            <w:tcMar>
              <w:top w:w="65" w:type="dxa"/>
              <w:left w:w="65" w:type="dxa"/>
              <w:bottom w:w="65" w:type="dxa"/>
              <w:right w:w="65" w:type="dxa"/>
            </w:tcMar>
            <w:vAlign w:val="top"/>
          </w:tcPr>
          <w:p w14:paraId="7444DF38">
            <w:pPr>
              <w:keepLines/>
              <w:spacing w:before="0" w:after="0" w:line="240" w:lineRule="auto"/>
              <w:jc w:val="left"/>
            </w:pPr>
            <w:r>
              <w:rPr>
                <w:rFonts w:ascii="Arial" w:hAnsi="Arial"/>
                <w:b w:val="0"/>
                <w:sz w:val="16"/>
              </w:rPr>
              <w:t>10-12</w:t>
            </w:r>
          </w:p>
        </w:tc>
      </w:tr>
      <w:tr w14:paraId="490B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65" w:type="dxa"/>
              <w:left w:w="65" w:type="dxa"/>
              <w:bottom w:w="65" w:type="dxa"/>
              <w:right w:w="65" w:type="dxa"/>
            </w:tcMar>
            <w:vAlign w:val="top"/>
          </w:tcPr>
          <w:p w14:paraId="17D71AB4">
            <w:pPr>
              <w:keepLines/>
              <w:spacing w:before="0" w:after="0" w:line="240" w:lineRule="auto"/>
              <w:jc w:val="left"/>
            </w:pPr>
            <w:r>
              <w:rPr>
                <w:rFonts w:ascii="Arial" w:hAnsi="Arial"/>
                <w:b w:val="0"/>
                <w:sz w:val="16"/>
              </w:rPr>
              <w:t>Limitations</w:t>
            </w:r>
          </w:p>
        </w:tc>
        <w:tc>
          <w:tcPr>
            <w:tcW w:w="792" w:type="dxa"/>
            <w:tcMar>
              <w:top w:w="65" w:type="dxa"/>
              <w:left w:w="65" w:type="dxa"/>
              <w:bottom w:w="65" w:type="dxa"/>
              <w:right w:w="65" w:type="dxa"/>
            </w:tcMar>
            <w:vAlign w:val="top"/>
          </w:tcPr>
          <w:p w14:paraId="7B5A7423">
            <w:pPr>
              <w:keepLines/>
              <w:spacing w:before="0" w:after="0" w:line="240" w:lineRule="auto"/>
              <w:jc w:val="center"/>
            </w:pPr>
            <w:r>
              <w:rPr>
                <w:rFonts w:ascii="Arial" w:hAnsi="Arial"/>
                <w:b w:val="0"/>
                <w:sz w:val="16"/>
              </w:rPr>
              <w:t>30</w:t>
            </w:r>
          </w:p>
        </w:tc>
        <w:tc>
          <w:tcPr>
            <w:tcW w:w="8784" w:type="dxa"/>
            <w:tcMar>
              <w:top w:w="65" w:type="dxa"/>
              <w:left w:w="65" w:type="dxa"/>
              <w:bottom w:w="65" w:type="dxa"/>
              <w:right w:w="65" w:type="dxa"/>
            </w:tcMar>
            <w:vAlign w:val="top"/>
          </w:tcPr>
          <w:p w14:paraId="31CCF4D5">
            <w:pPr>
              <w:keepLines/>
              <w:spacing w:before="0" w:after="0" w:line="240" w:lineRule="auto"/>
              <w:jc w:val="left"/>
            </w:pPr>
            <w:r>
              <w:rPr>
                <w:rFonts w:ascii="Arial" w:hAnsi="Arial"/>
                <w:b w:val="0"/>
                <w:sz w:val="16"/>
              </w:rPr>
              <w:t>Trial limitations, addressing sources of potential bias, imprecision, generalisability, and, if relevant, multiplicity of analyses</w:t>
            </w:r>
          </w:p>
        </w:tc>
        <w:tc>
          <w:tcPr>
            <w:tcW w:w="2664" w:type="dxa"/>
            <w:tcMar>
              <w:top w:w="65" w:type="dxa"/>
              <w:left w:w="65" w:type="dxa"/>
              <w:bottom w:w="65" w:type="dxa"/>
              <w:right w:w="65" w:type="dxa"/>
            </w:tcMar>
            <w:vAlign w:val="top"/>
          </w:tcPr>
          <w:p w14:paraId="42B03F2C">
            <w:pPr>
              <w:keepLines/>
              <w:spacing w:before="0" w:after="0" w:line="240" w:lineRule="auto"/>
              <w:jc w:val="left"/>
            </w:pPr>
            <w:r>
              <w:rPr>
                <w:rFonts w:ascii="Arial" w:hAnsi="Arial"/>
                <w:b w:val="0"/>
                <w:sz w:val="16"/>
              </w:rPr>
              <w:t>12-13</w:t>
            </w:r>
          </w:p>
        </w:tc>
      </w:tr>
    </w:tbl>
    <w:p w14:paraId="6756CB32">
      <w:pPr>
        <w:spacing w:before="100" w:after="0"/>
      </w:pPr>
      <w:r>
        <w:rPr>
          <w:rFonts w:ascii="Arial" w:hAnsi="Arial"/>
          <w:sz w:val="15"/>
        </w:rPr>
        <w:t>Checklist source: Hopewell S, Chan AW, Collins GS, et al. CONSORT 2025 statement: updated guideline for reporting randomised trials. BMJ. 2025;389:e081123. doi:10.1136/bmj-2024-081123. Checklist wording reproduced under CC BY 4.0.</w:t>
      </w:r>
      <w:bookmarkStart w:id="0" w:name="_GoBack"/>
      <w:bookmarkEnd w:id="0"/>
    </w:p>
    <w:sectPr>
      <w:pgSz w:w="15840" w:h="12240" w:orient="landscape"/>
      <w:pgMar w:top="605" w:right="605" w:bottom="605" w:left="605"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0C1E4E"/>
    <w:rsid w:val="74D25D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7"/>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656</Words>
  <Characters>4110</Characters>
  <Lines>0</Lines>
  <Paragraphs>0</Paragraphs>
  <TotalTime>4</TotalTime>
  <ScaleCrop>false</ScaleCrop>
  <LinksUpToDate>false</LinksUpToDate>
  <CharactersWithSpaces>4664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OpenAI</dc:creator>
  <dc:description>generated by python-docx</dc:description>
  <cp:lastModifiedBy>李坤晖</cp:lastModifiedBy>
  <dcterms:modified xsi:type="dcterms:W3CDTF">2026-08-28T07:27:15Z</dcterms:modified>
  <dc:subject>Completed working checklist for manuscript revision</dc:subject>
  <dc:title>CONSORT 2025 Checklist - PEO-Guided Virtual Simulation RCT</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eyJoZGlkIjoiYmJlOGJmMTkxYTczNWM1ODE1Y2U4MTIxMTdlMTUyZWUiLCJ1c2VySWQiOiIxNzAwMzE3NTc0In0=</vt:lpwstr>
  </property>
  <property fmtid="{D5CDD505-2E9C-101B-9397-08002B2CF9AE}" pid="3" name="KSOProductBuildVer">
    <vt:lpwstr>2052-12.1.0.28043</vt:lpwstr>
  </property>
  <property fmtid="{D5CDD505-2E9C-101B-9397-08002B2CF9AE}" pid="4" name="ICV">
    <vt:lpwstr>48B3C8A20BE2487BAB816119ECFB7455_12</vt:lpwstr>
  </property>
</Properties>
</file>