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 xml:space="preserve">Table 2. </w:t>
      </w:r>
      <w:r>
        <w:rPr>
          <w:rFonts w:ascii="Times New Roman" w:hAnsi="Times New Roman" w:eastAsia="Times New Roman"/>
          <w:b w:val="0"/>
          <w:i w:val="0"/>
          <w:sz w:val="22"/>
        </w:rPr>
        <w:t>Representative operating points for scaling convolutional compression on MNIST (fixed R = 4, dim(θ) = 30).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>
        <w:trPr>
          <w:tblHeader w:val="true"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Scope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Teacher</w:t>
              <w:br/>
              <w:t>(c₁,c₂,c₃)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Cₓ</w:t>
            </w:r>
          </w:p>
        </w:tc>
        <w:tc>
          <w:tcPr>
            <w:tcW w:type="dxa" w:w="33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gridSpan w:val="2"/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Train</w:t>
              <w:br/>
              <w:t>accuracy (%)</w:t>
            </w:r>
          </w:p>
        </w:tc>
        <w:tc>
          <w:tcPr>
            <w:tcW w:type="dxa" w:w="33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gridSpan w:val="2"/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Validation</w:t>
              <w:br/>
              <w:t>accuracy (%)</w:t>
            </w:r>
          </w:p>
        </w:tc>
      </w:tr>
      <w:tr>
        <w:trPr>
          <w:tblHeader w:val="true"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Teacher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PQKD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Teacher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PQKD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Conv1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(32,64,128)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99.91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0.02)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98.91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0.09)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99.03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0.08)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(48,96,128)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99.98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99.11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0.06)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99.20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0.11)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/>
            <w:tcBorders>
              <w:top w:val="nil"/>
              <w:left w:val="nil"/>
              <w:bottom w:val="single" w:sz="6" w:color="000000" w:space="0"/>
              <w:right w:val="nil"/>
            </w:tcBorders>
          </w:tcPr>
          <w:p/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(64,128,128)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99.06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0.18)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99.07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0.09)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Conv1+2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(32,64,128)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1.25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99.45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0.03)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98.91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0.09)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98.93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0.04)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(48,96,128)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1.38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99.57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0.03)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99.11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0.06)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99.00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0.05)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/>
            <w:tcBorders>
              <w:top w:val="nil"/>
              <w:left w:val="nil"/>
              <w:bottom w:val="single" w:sz="6" w:color="000000" w:space="0"/>
              <w:right w:val="nil"/>
            </w:tcBorders>
          </w:tcPr>
          <w:p/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(64,128,128)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1.50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99.67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0.04)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99.06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0.18)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6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99.10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0.02)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All Convs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(32,64,128)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48.81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96.62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0.09)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98.91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0.09)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96.85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0.15)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(48,96,128)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76.18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96.96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0.17)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99.11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0.06)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97.17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0.03)</w:t>
            </w:r>
          </w:p>
        </w:tc>
      </w:tr>
      <w:t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vMerge/>
            <w:tcBorders>
              <w:top w:val="nil"/>
              <w:left w:val="nil"/>
              <w:bottom w:val="single" w:sz="10" w:color="000000" w:space="0"/>
              <w:right w:val="nil"/>
            </w:tcBorders>
          </w:tcPr>
          <w:p/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(64,128,128)</w:t>
            </w:r>
          </w:p>
        </w:tc>
        <w:tc>
          <w:tcPr>
            <w:tcW w:type="dxa" w:w="122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105.40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97.19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0.08)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99.06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0.18)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97.33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0.11)</w:t>
            </w:r>
          </w:p>
        </w:tc>
      </w:tr>
    </w:tbl>
    <w:p>
      <w:pPr>
        <w:spacing w:before="80" w:after="0"/>
      </w:pPr>
      <w:r>
        <w:rPr>
          <w:rFonts w:ascii="Times New Roman" w:hAnsi="Times New Roman" w:eastAsia="Times New Roman"/>
          <w:b w:val="0"/>
          <w:i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sz w:val="18"/>
        </w:rPr>
        <w:t>Cₓ denotes the overall compression factor (teacher trainable parameters divided by student trainable parameters, including θ). Accuracies are mean ± s.d. over 5 seeds, reported at the final epoch.</w:t>
      </w:r>
    </w:p>
    <w:sectPr w:rsidR="00FC693F" w:rsidRPr="0006063C" w:rsidSect="00034616">
      <w:pgSz w:w="16834" w:h="11909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