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left"/>
      </w:pPr>
      <w:r>
        <w:rPr>
          <w:rFonts w:ascii="Times New Roman" w:hAnsi="Times New Roman" w:eastAsia="Times New Roman"/>
          <w:b/>
          <w:i w:val="0"/>
          <w:sz w:val="22"/>
        </w:rPr>
        <w:t xml:space="preserve">Table 1. </w:t>
      </w:r>
      <w:r>
        <w:rPr>
          <w:rFonts w:ascii="Times New Roman" w:hAnsi="Times New Roman" w:eastAsia="Times New Roman"/>
          <w:b w:val="0"/>
          <w:i w:val="0"/>
          <w:sz w:val="22"/>
        </w:rPr>
        <w:t>PQKD performance and optimisation (Opt.) diagnostics.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06"/>
        <w:gridCol w:w="1906"/>
        <w:gridCol w:w="1906"/>
        <w:gridCol w:w="1906"/>
        <w:gridCol w:w="1906"/>
        <w:gridCol w:w="1906"/>
        <w:gridCol w:w="1906"/>
        <w:gridCol w:w="1906"/>
      </w:tblGrid>
      <w:tr>
        <w:trPr>
          <w:tblHeader w:val="true"/>
        </w:trPr>
        <w:tc>
          <w:tcPr>
            <w:tcW w:type="dxa" w:w="223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single" w:sz="10" w:color="000000" w:space="0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Dataset</w:t>
            </w:r>
          </w:p>
        </w:tc>
        <w:tc>
          <w:tcPr>
            <w:tcW w:type="dxa" w:w="64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gridSpan w:val="4"/>
            <w:tcBorders>
              <w:top w:val="single" w:sz="10" w:color="000000" w:space="0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Accuracy (%)</w:t>
            </w:r>
          </w:p>
        </w:tc>
        <w:tc>
          <w:tcPr>
            <w:tcW w:type="dxa" w:w="322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gridSpan w:val="2"/>
            <w:tcBorders>
              <w:top w:val="single" w:sz="10" w:color="000000" w:space="0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Final CE loss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single" w:sz="10" w:color="000000" w:space="0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Opt.</w:t>
            </w:r>
          </w:p>
        </w:tc>
      </w:tr>
      <w:tr>
        <w:trPr>
          <w:tblHeader w:val="true"/>
        </w:trPr>
        <w:tc>
          <w:tcPr>
            <w:tcW w:type="dxa" w:w="223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</w:r>
          </w:p>
        </w:tc>
        <w:tc>
          <w:tcPr>
            <w:tcW w:type="dxa" w:w="322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gridSpan w:val="2"/>
            <w:tcBorders>
              <w:top w:val="nil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train</w:t>
            </w:r>
          </w:p>
        </w:tc>
        <w:tc>
          <w:tcPr>
            <w:tcW w:type="dxa" w:w="322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gridSpan w:val="2"/>
            <w:tcBorders>
              <w:top w:val="nil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validation</w:t>
            </w:r>
          </w:p>
        </w:tc>
        <w:tc>
          <w:tcPr>
            <w:tcW w:type="dxa" w:w="322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gridSpan w:val="2"/>
            <w:tcBorders>
              <w:top w:val="nil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validation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nil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Photonic</w:t>
            </w:r>
          </w:p>
        </w:tc>
      </w:tr>
      <w:tr>
        <w:trPr>
          <w:tblHeader w:val="true"/>
        </w:trPr>
        <w:tc>
          <w:tcPr>
            <w:tcW w:type="dxa" w:w="223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Teacher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PQKD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Teacher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PQKD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Teacher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PQKD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8" w:color="000000" w:space="0"/>
              <w:right w:val="nil"/>
            </w:tcBorders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Δ</w:t>
            </w:r>
          </w:p>
        </w:tc>
      </w:tr>
      <w:tr>
        <w:tc>
          <w:tcPr>
            <w:tcW w:type="dxa" w:w="223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MNIST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99.71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0.02)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99.07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0.13)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99.09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0.09)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0.031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0.002)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0.030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0.001)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5.94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0.02)</w:t>
            </w:r>
          </w:p>
        </w:tc>
      </w:tr>
      <w:tr>
        <w:tc>
          <w:tcPr>
            <w:tcW w:type="dxa" w:w="223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Fashion-MNIST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100.00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97.10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0.18)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91.86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0.26)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92.42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0.16)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0.291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0.003)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0.239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0.004)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4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6.73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0.03)</w:t>
            </w:r>
          </w:p>
        </w:tc>
      </w:tr>
      <w:tr>
        <w:tc>
          <w:tcPr>
            <w:tcW w:type="dxa" w:w="223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CIFAR-10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91.81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0.13)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80.35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0.26)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86.99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0.29)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79.72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0.37)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0.397</w:t>
              <w:br/>
            </w:r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(± 0.004)</w:t>
            </w:r>
          </w:p>
        </w:tc>
        <w:tc>
          <w:tcPr>
            <w:tcW w:type="dxa" w:w="1613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0.597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0.008)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tcBorders>
              <w:top w:val="nil"/>
              <w:left w:val="nil"/>
              <w:bottom w:val="single" w:sz="10" w:color="000000" w:space="0"/>
              <w:right w:val="nil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4.95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(± 0.02)</w:t>
            </w:r>
          </w:p>
        </w:tc>
      </w:tr>
    </w:tbl>
    <w:p>
      <w:pPr>
        <w:spacing w:before="80" w:after="0"/>
      </w:pPr>
      <w:r>
        <w:rPr>
          <w:rFonts w:ascii="Times New Roman" w:hAnsi="Times New Roman" w:eastAsia="Times New Roman"/>
          <w:b w:val="0"/>
          <w:i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sz w:val="18"/>
        </w:rPr>
        <w:t>Values are mean ± s.d. over five independent runs. Accuracies are in %. CE denotes cross-entropy. Photonic Δ is (epoch 1) − (final epoch).</w:t>
      </w:r>
    </w:p>
    <w:sectPr w:rsidR="00FC693F" w:rsidRPr="0006063C" w:rsidSect="00034616">
      <w:pgSz w:w="16834" w:h="11909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