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12541" w14:textId="752F123C" w:rsidR="00C33255" w:rsidRDefault="0040372B" w:rsidP="00F25678">
      <w:pPr>
        <w:pStyle w:val="Heading1"/>
        <w:jc w:val="center"/>
      </w:pPr>
      <w:r w:rsidRPr="0040372B">
        <w:t>Supplemental Figures</w:t>
      </w:r>
      <w:r w:rsidR="00F25678" w:rsidRPr="0040372B">
        <w:rPr>
          <w:rFonts w:eastAsia="Calibri"/>
          <w:noProof/>
        </w:rPr>
        <w:drawing>
          <wp:inline distT="0" distB="0" distL="0" distR="0" wp14:anchorId="29DB7485" wp14:editId="443DC0B3">
            <wp:extent cx="5943600" cy="4601845"/>
            <wp:effectExtent l="0" t="0" r="0" b="8255"/>
            <wp:docPr id="1239006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06323"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601845"/>
                    </a:xfrm>
                    <a:prstGeom prst="rect">
                      <a:avLst/>
                    </a:prstGeom>
                  </pic:spPr>
                </pic:pic>
              </a:graphicData>
            </a:graphic>
          </wp:inline>
        </w:drawing>
      </w:r>
    </w:p>
    <w:p w14:paraId="72C06B30" w14:textId="538DABB5" w:rsidR="00A3690A" w:rsidRPr="00C33255" w:rsidRDefault="0040372B" w:rsidP="00681185">
      <w:pPr>
        <w:pStyle w:val="Heading2"/>
      </w:pPr>
      <w:r w:rsidRPr="00651F0D">
        <w:rPr>
          <w:b/>
          <w:bCs/>
        </w:rPr>
        <w:t>Supplemental Figure 1.</w:t>
      </w:r>
      <w:r w:rsidRPr="00A3690A">
        <w:t xml:space="preserve"> </w:t>
      </w:r>
      <w:r w:rsidRPr="00C33255">
        <w:t xml:space="preserve">Highly variable genes (HVGs) </w:t>
      </w:r>
      <w:r w:rsidR="00903CB8" w:rsidRPr="00C33255">
        <w:t xml:space="preserve">were </w:t>
      </w:r>
      <w:r w:rsidRPr="00C33255">
        <w:t xml:space="preserve">identified </w:t>
      </w:r>
      <w:r w:rsidR="00903CB8" w:rsidRPr="00C33255">
        <w:t>using</w:t>
      </w:r>
      <w:r w:rsidRPr="00C33255">
        <w:t xml:space="preserve"> Seurat</w:t>
      </w:r>
      <w:r w:rsidR="00903CB8" w:rsidRPr="00C33255">
        <w:t xml:space="preserve">’s </w:t>
      </w:r>
      <w:r w:rsidR="00D32850" w:rsidRPr="00C33255">
        <w:t>“</w:t>
      </w:r>
      <w:proofErr w:type="spellStart"/>
      <w:r w:rsidR="00903CB8" w:rsidRPr="00C33255">
        <w:t>vst</w:t>
      </w:r>
      <w:proofErr w:type="spellEnd"/>
      <w:r w:rsidR="00D32850" w:rsidRPr="00C33255">
        <w:t>”</w:t>
      </w:r>
      <w:r w:rsidR="00903CB8" w:rsidRPr="00C33255">
        <w:t xml:space="preserve"> method</w:t>
      </w:r>
      <w:r w:rsidR="001E70FF" w:rsidRPr="00C33255">
        <w:t>.</w:t>
      </w:r>
    </w:p>
    <w:p w14:paraId="3D04C6E8" w14:textId="77777777" w:rsidR="00106181" w:rsidRDefault="00014519" w:rsidP="00681185">
      <w:pPr>
        <w:keepNext w:val="0"/>
        <w:keepLines w:val="0"/>
        <w:spacing w:line="276" w:lineRule="auto"/>
      </w:pPr>
      <w:r w:rsidRPr="00014519">
        <w:t>The Seurat package’s variance stabilizing transformation or “</w:t>
      </w:r>
      <w:proofErr w:type="spellStart"/>
      <w:r w:rsidRPr="00014519">
        <w:t>vst</w:t>
      </w:r>
      <w:proofErr w:type="spellEnd"/>
      <w:r w:rsidRPr="00014519">
        <w:t xml:space="preserve">” method identified 5,000 genes with the strongest average expression and large standardized variances </w:t>
      </w:r>
      <w:r w:rsidR="004E6DF3">
        <w:t>from the expected mean-variance relationship typical in single cell datasets</w:t>
      </w:r>
      <w:r w:rsidR="00900036">
        <w:t>.</w:t>
      </w:r>
      <w:r w:rsidR="004E6DF3">
        <w:t xml:space="preserve"> </w:t>
      </w:r>
      <w:r w:rsidR="00900036">
        <w:t>This allowed us to</w:t>
      </w:r>
      <w:r w:rsidRPr="00014519">
        <w:t xml:space="preserve"> identify </w:t>
      </w:r>
      <w:r w:rsidR="00900036">
        <w:t>genes</w:t>
      </w:r>
      <w:r w:rsidRPr="00014519">
        <w:t xml:space="preserve"> that exhibited the greatest amount of variability in their expression profiles between cells in </w:t>
      </w:r>
      <w:r w:rsidR="00900036">
        <w:t>the AmE-711</w:t>
      </w:r>
      <w:r w:rsidRPr="00014519">
        <w:t xml:space="preserve"> sample</w:t>
      </w:r>
      <w:r w:rsidR="00106181">
        <w:t xml:space="preserve"> and are thus some of the most</w:t>
      </w:r>
      <w:r w:rsidRPr="00014519">
        <w:t xml:space="preserve"> informative genes for downstream differential expression analysis as they capture heterogeneity in the cell line and inform downstream dimensionality of the dataset and clustering of the cells. </w:t>
      </w:r>
    </w:p>
    <w:p w14:paraId="6225D5D0" w14:textId="52F81182" w:rsidR="00651F0D" w:rsidRDefault="00014519" w:rsidP="00681185">
      <w:pPr>
        <w:keepNext w:val="0"/>
        <w:keepLines w:val="0"/>
        <w:spacing w:line="276" w:lineRule="auto"/>
      </w:pPr>
      <w:r w:rsidRPr="00014519">
        <w:t xml:space="preserve">Among the top 25 HVGs with the greatest variability as ranked by Seurat we identified </w:t>
      </w:r>
      <w:r w:rsidRPr="00106181">
        <w:rPr>
          <w:i/>
          <w:iCs/>
        </w:rPr>
        <w:t>DWV polyprotein</w:t>
      </w:r>
      <w:r w:rsidRPr="00014519">
        <w:t xml:space="preserve"> RNA (denoted by </w:t>
      </w:r>
      <w:r w:rsidRPr="00106181">
        <w:rPr>
          <w:i/>
          <w:iCs/>
        </w:rPr>
        <w:t>Am_DWVgp1</w:t>
      </w:r>
      <w:r w:rsidRPr="00014519">
        <w:t>) and genes encoding proteins with known ner</w:t>
      </w:r>
      <w:r w:rsidR="004079E2">
        <w:t>vous</w:t>
      </w:r>
      <w:r w:rsidRPr="00014519">
        <w:t xml:space="preserve"> and muscle-</w:t>
      </w:r>
      <w:r w:rsidR="004079E2">
        <w:t xml:space="preserve"> tissue </w:t>
      </w:r>
      <w:r w:rsidRPr="00014519">
        <w:t>development associated functions in fruit flies (</w:t>
      </w:r>
      <w:r w:rsidRPr="004079E2">
        <w:rPr>
          <w:i/>
          <w:iCs/>
        </w:rPr>
        <w:t>D. melanogaster</w:t>
      </w:r>
      <w:r w:rsidRPr="00014519">
        <w:t xml:space="preserve">). Others encode proteins with known functions in cellular signaling, cytoskeleton remodeling, and basement membrane formation. Annotations for </w:t>
      </w:r>
      <w:proofErr w:type="gramStart"/>
      <w:r w:rsidRPr="00014519">
        <w:t>some of</w:t>
      </w:r>
      <w:proofErr w:type="gramEnd"/>
      <w:r w:rsidRPr="00014519">
        <w:t xml:space="preserve"> the </w:t>
      </w:r>
      <w:r w:rsidRPr="004079E2">
        <w:rPr>
          <w:i/>
          <w:iCs/>
        </w:rPr>
        <w:t>A. mellifera</w:t>
      </w:r>
      <w:r w:rsidRPr="00014519">
        <w:t xml:space="preserve"> protein-coding and long non-coding RNAs identified by Seurat </w:t>
      </w:r>
      <w:r w:rsidR="004079E2">
        <w:t xml:space="preserve">as HVGs </w:t>
      </w:r>
      <w:r w:rsidRPr="00014519">
        <w:t>were sparsely available.</w:t>
      </w:r>
    </w:p>
    <w:p w14:paraId="52E51C93" w14:textId="2D115DB2" w:rsidR="00E62409" w:rsidRDefault="00E62409" w:rsidP="000C622D">
      <w:pPr>
        <w:keepNext w:val="0"/>
        <w:keepLines w:val="0"/>
        <w:spacing w:line="276" w:lineRule="auto"/>
        <w:jc w:val="center"/>
      </w:pPr>
      <w:r w:rsidRPr="0040372B">
        <w:rPr>
          <w:rFonts w:eastAsia="Calibri"/>
          <w:noProof/>
        </w:rPr>
        <w:lastRenderedPageBreak/>
        <w:drawing>
          <wp:inline distT="0" distB="0" distL="0" distR="0" wp14:anchorId="692F8C45" wp14:editId="2C9ACF2B">
            <wp:extent cx="4647311" cy="5581227"/>
            <wp:effectExtent l="0" t="0" r="1270" b="635"/>
            <wp:docPr id="1767386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86469"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59469" cy="5595828"/>
                    </a:xfrm>
                    <a:prstGeom prst="rect">
                      <a:avLst/>
                    </a:prstGeom>
                  </pic:spPr>
                </pic:pic>
              </a:graphicData>
            </a:graphic>
          </wp:inline>
        </w:drawing>
      </w:r>
    </w:p>
    <w:p w14:paraId="70FB5FA4" w14:textId="4AE422A1" w:rsidR="00637F2E" w:rsidRPr="00637F2E" w:rsidRDefault="0040372B" w:rsidP="00681185">
      <w:pPr>
        <w:pStyle w:val="Heading2"/>
      </w:pPr>
      <w:r w:rsidRPr="0086791D">
        <w:rPr>
          <w:b/>
          <w:bCs/>
        </w:rPr>
        <w:t xml:space="preserve">Supplemental Figure 2. </w:t>
      </w:r>
      <w:r w:rsidR="0086791D">
        <w:t xml:space="preserve">AmE-711 cell </w:t>
      </w:r>
      <w:r w:rsidR="00185018">
        <w:t>type</w:t>
      </w:r>
      <w:r w:rsidR="0086791D">
        <w:t xml:space="preserve"> designation transfers from the integrated tissue comparison Seurat object</w:t>
      </w:r>
      <w:r w:rsidR="00185018">
        <w:t>.</w:t>
      </w:r>
    </w:p>
    <w:p w14:paraId="63E6C46A" w14:textId="52DD5893" w:rsidR="00094E01" w:rsidRPr="001F5F67" w:rsidRDefault="00825773" w:rsidP="00681185">
      <w:pPr>
        <w:keepNext w:val="0"/>
        <w:keepLines w:val="0"/>
        <w:spacing w:line="276" w:lineRule="auto"/>
      </w:pPr>
      <w:r w:rsidRPr="00825773">
        <w:t xml:space="preserve">For 6,122 cells assigned 13 cluster </w:t>
      </w:r>
      <w:r>
        <w:t>designations (i.e. cell type or state IDs)</w:t>
      </w:r>
      <w:r w:rsidRPr="00825773">
        <w:t xml:space="preserve"> in the integrated tissue comparison Seurat object, annotations were </w:t>
      </w:r>
      <w:r>
        <w:t>transferred</w:t>
      </w:r>
      <w:r w:rsidRPr="00825773">
        <w:t xml:space="preserve"> to the original AmE-711 </w:t>
      </w:r>
      <w:r w:rsidR="00645107">
        <w:t xml:space="preserve">Seurat </w:t>
      </w:r>
      <w:r w:rsidRPr="00825773">
        <w:t>object</w:t>
      </w:r>
      <w:r w:rsidR="00645107">
        <w:t>.</w:t>
      </w:r>
      <w:r w:rsidRPr="00825773">
        <w:t xml:space="preserve"> A) Following cluster marker identification for the integrated tissue comparison, we examined how the cells clustered together using the UMAP</w:t>
      </w:r>
      <w:r w:rsidR="00094E01">
        <w:t xml:space="preserve"> cell</w:t>
      </w:r>
      <w:r w:rsidRPr="00825773">
        <w:t xml:space="preserve"> embeddings for the </w:t>
      </w:r>
      <w:r w:rsidR="001B5678">
        <w:t xml:space="preserve">full 6,930 cells </w:t>
      </w:r>
      <w:r w:rsidR="00094E01">
        <w:t xml:space="preserve">and transferred </w:t>
      </w:r>
      <w:r w:rsidR="005D3BF5">
        <w:t>the integrated tissue comparison annotations (denoted by “</w:t>
      </w:r>
      <w:proofErr w:type="spellStart"/>
      <w:r w:rsidR="005D3BF5">
        <w:t>IntC</w:t>
      </w:r>
      <w:proofErr w:type="spellEnd"/>
      <w:r w:rsidR="005D3BF5">
        <w:t>#_”</w:t>
      </w:r>
      <w:r w:rsidR="001B5678">
        <w:t>)</w:t>
      </w:r>
      <w:r w:rsidR="005D3BF5">
        <w:t xml:space="preserve"> for </w:t>
      </w:r>
      <w:r w:rsidR="001B5678">
        <w:t>13</w:t>
      </w:r>
      <w:r w:rsidR="005D3BF5">
        <w:t xml:space="preserve"> clusters</w:t>
      </w:r>
      <w:r w:rsidR="00094E01">
        <w:t xml:space="preserve"> </w:t>
      </w:r>
      <w:r w:rsidR="001B5678">
        <w:t>(</w:t>
      </w:r>
      <w:r w:rsidR="00094E01">
        <w:t>denoted by “Post-Comp. C#”)</w:t>
      </w:r>
      <w:r w:rsidRPr="00825773">
        <w:t>. B) Comparison of cluster marker expression for markers identified as differentially expressed in the integrated object showed subtle differences when their expression was examined in AmE-711 cells alone.</w:t>
      </w:r>
      <w:r w:rsidR="00F90B92">
        <w:t xml:space="preserve"> </w:t>
      </w:r>
      <w:proofErr w:type="gramStart"/>
      <w:r w:rsidR="00F90B92">
        <w:t>Some</w:t>
      </w:r>
      <w:proofErr w:type="gramEnd"/>
      <w:r w:rsidR="00F90B92">
        <w:t xml:space="preserve"> markers were only identified as differentially expressed </w:t>
      </w:r>
      <w:r w:rsidR="001F5F67">
        <w:t xml:space="preserve">compared </w:t>
      </w:r>
      <w:proofErr w:type="gramStart"/>
      <w:r w:rsidR="001F5F67">
        <w:t xml:space="preserve">to </w:t>
      </w:r>
      <w:r w:rsidR="001F5F67">
        <w:rPr>
          <w:i/>
          <w:iCs/>
        </w:rPr>
        <w:t>in</w:t>
      </w:r>
      <w:proofErr w:type="gramEnd"/>
      <w:r w:rsidR="001F5F67">
        <w:rPr>
          <w:i/>
          <w:iCs/>
        </w:rPr>
        <w:t xml:space="preserve"> vivo</w:t>
      </w:r>
      <w:r w:rsidR="001F5F67">
        <w:t xml:space="preserve"> derived cells, but not when compared only to other AmE-711 cells. </w:t>
      </w:r>
    </w:p>
    <w:p w14:paraId="5CE8AA3B" w14:textId="3C67D054" w:rsidR="0009562F" w:rsidRPr="0009562F" w:rsidRDefault="000C622D" w:rsidP="00F25678">
      <w:pPr>
        <w:keepNext w:val="0"/>
        <w:keepLines w:val="0"/>
        <w:spacing w:line="278" w:lineRule="auto"/>
        <w:jc w:val="center"/>
      </w:pPr>
      <w:r w:rsidRPr="0009562F">
        <w:rPr>
          <w:noProof/>
        </w:rPr>
        <w:lastRenderedPageBreak/>
        <w:drawing>
          <wp:inline distT="0" distB="0" distL="0" distR="0" wp14:anchorId="6D7C111B" wp14:editId="4E61A5D4">
            <wp:extent cx="5276427" cy="6183702"/>
            <wp:effectExtent l="0" t="0" r="635" b="7620"/>
            <wp:docPr id="20604742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74253"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9175" cy="6186923"/>
                    </a:xfrm>
                    <a:prstGeom prst="rect">
                      <a:avLst/>
                    </a:prstGeom>
                  </pic:spPr>
                </pic:pic>
              </a:graphicData>
            </a:graphic>
          </wp:inline>
        </w:drawing>
      </w:r>
    </w:p>
    <w:p w14:paraId="64D78D46" w14:textId="6A1D7A1F" w:rsidR="0009562F" w:rsidRPr="0009562F" w:rsidRDefault="0009562F" w:rsidP="005B28AB">
      <w:pPr>
        <w:pStyle w:val="Heading2"/>
      </w:pPr>
      <w:r w:rsidRPr="0009562F">
        <w:rPr>
          <w:b/>
          <w:bCs/>
        </w:rPr>
        <w:t xml:space="preserve">Supplemental Figure </w:t>
      </w:r>
      <w:r>
        <w:rPr>
          <w:b/>
          <w:bCs/>
        </w:rPr>
        <w:t>3</w:t>
      </w:r>
      <w:r w:rsidRPr="0009562F">
        <w:rPr>
          <w:b/>
          <w:bCs/>
        </w:rPr>
        <w:t xml:space="preserve">. </w:t>
      </w:r>
      <w:r w:rsidRPr="0009562F">
        <w:t xml:space="preserve">Thirteen AmE-711 clusters displayed heterogeneous distributions for 6,122 cells across each of six quality control metrics inspected with violin plots after comparison </w:t>
      </w:r>
      <w:proofErr w:type="gramStart"/>
      <w:r w:rsidRPr="0009562F">
        <w:t xml:space="preserve">to </w:t>
      </w:r>
      <w:r w:rsidRPr="0009562F">
        <w:rPr>
          <w:i/>
          <w:iCs/>
        </w:rPr>
        <w:t>in</w:t>
      </w:r>
      <w:proofErr w:type="gramEnd"/>
      <w:r w:rsidRPr="0009562F">
        <w:rPr>
          <w:i/>
          <w:iCs/>
        </w:rPr>
        <w:t xml:space="preserve"> vivo</w:t>
      </w:r>
      <w:r w:rsidRPr="0009562F">
        <w:t xml:space="preserve"> derived isolated cell gene expression. </w:t>
      </w:r>
    </w:p>
    <w:p w14:paraId="5C52AD4D" w14:textId="613F2671" w:rsidR="00E54500" w:rsidRDefault="0009562F" w:rsidP="0009562F">
      <w:pPr>
        <w:keepNext w:val="0"/>
        <w:keepLines w:val="0"/>
        <w:spacing w:line="278" w:lineRule="auto"/>
      </w:pPr>
      <w:r w:rsidRPr="0009562F">
        <w:t xml:space="preserve">A) While most clusters showed large variation in their distribution of RNA counts centered around a single mean, some did not, such as was observed for cluster C08, or very little dispersion from the mean as was seen in the highly DWV-infected cluster C01. B) Clusters C05 through C13 all had high median </w:t>
      </w:r>
      <w:proofErr w:type="gramStart"/>
      <w:r w:rsidRPr="0009562F">
        <w:t>feature</w:t>
      </w:r>
      <w:proofErr w:type="gramEnd"/>
      <w:r w:rsidRPr="0009562F">
        <w:t xml:space="preserve"> (gene) counts but C01, C02, and C04 did not. C03 on the other hand had a uniquely bimodal distribution. C–D) G2/M and S cell cycle markers comprised a high proportion of counts in the cells of the most highly DWV-infected cells in C03 </w:t>
      </w:r>
      <w:r w:rsidRPr="0009562F">
        <w:lastRenderedPageBreak/>
        <w:t>where DWV may be co-opting genes involved in the S phase for its own replication. E) Ribosomal gene counts were uniform in proportion for clusters C01 and C05 through C13 at ~15%. C07 on the other hand represents less metabolically active cells with an exceptionally low proportion of ribosomal cell counts whereas the opposite is true for C08. F) The same was true for mitochondrial genes in that only clusters C02 and C04 showed wider distributions proportional to counts of all other RNAs, supporting the designation of plasmatocyte-like cells involved in phagocytosis of other cells</w:t>
      </w:r>
      <w:r w:rsidR="0022601F">
        <w:t>.</w:t>
      </w:r>
    </w:p>
    <w:p w14:paraId="168EAD61" w14:textId="77777777" w:rsidR="00E54500" w:rsidRDefault="00E54500">
      <w:pPr>
        <w:keepNext w:val="0"/>
        <w:keepLines w:val="0"/>
        <w:spacing w:line="278" w:lineRule="auto"/>
      </w:pPr>
      <w:r>
        <w:br w:type="page"/>
      </w:r>
    </w:p>
    <w:p w14:paraId="55E3C9A6" w14:textId="77777777" w:rsidR="00E54500" w:rsidRPr="00E54500" w:rsidRDefault="00E54500" w:rsidP="000C622D">
      <w:pPr>
        <w:keepNext w:val="0"/>
        <w:keepLines w:val="0"/>
        <w:spacing w:line="278" w:lineRule="auto"/>
        <w:jc w:val="center"/>
      </w:pPr>
      <w:r w:rsidRPr="00E54500">
        <w:lastRenderedPageBreak/>
        <w:drawing>
          <wp:inline distT="0" distB="0" distL="0" distR="0" wp14:anchorId="58C6E88F" wp14:editId="4F3B2F85">
            <wp:extent cx="4225914" cy="6543040"/>
            <wp:effectExtent l="0" t="0" r="3810" b="0"/>
            <wp:docPr id="543404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04262" name="Picture 5434042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38606" cy="6562691"/>
                    </a:xfrm>
                    <a:prstGeom prst="rect">
                      <a:avLst/>
                    </a:prstGeom>
                  </pic:spPr>
                </pic:pic>
              </a:graphicData>
            </a:graphic>
          </wp:inline>
        </w:drawing>
      </w:r>
    </w:p>
    <w:p w14:paraId="1EBBD088" w14:textId="4F7324DB" w:rsidR="00E54500" w:rsidRPr="00E54500" w:rsidRDefault="00E54500" w:rsidP="002D0008">
      <w:pPr>
        <w:pStyle w:val="Heading2"/>
      </w:pPr>
      <w:r w:rsidRPr="00E54500">
        <w:rPr>
          <w:b/>
          <w:bCs/>
        </w:rPr>
        <w:t xml:space="preserve">Supplemental Figure </w:t>
      </w:r>
      <w:r>
        <w:rPr>
          <w:b/>
          <w:bCs/>
        </w:rPr>
        <w:t>4</w:t>
      </w:r>
      <w:r w:rsidRPr="00E54500">
        <w:rPr>
          <w:b/>
          <w:bCs/>
        </w:rPr>
        <w:t xml:space="preserve">. </w:t>
      </w:r>
      <w:r w:rsidRPr="00E54500">
        <w:t xml:space="preserve">A pre-integration check visualized following non-linear dimensional reduction of four merged Seurat objects identified batch effects and predicted 23 clusters. </w:t>
      </w:r>
    </w:p>
    <w:p w14:paraId="263BA21D" w14:textId="77777777" w:rsidR="00E54500" w:rsidRPr="00E54500" w:rsidRDefault="00E54500" w:rsidP="00E54500">
      <w:pPr>
        <w:keepNext w:val="0"/>
        <w:keepLines w:val="0"/>
        <w:spacing w:line="278" w:lineRule="auto"/>
      </w:pPr>
      <w:r w:rsidRPr="00E54500">
        <w:t xml:space="preserve">Prior to integration, A) batch effects were evident for each sample based on the experiment from which they originated following linear and non-linear dimensional reduction. B) Six clusters of AmE-711 isolated cells, four clusters dominated by younger whole pre-pupal isolated cells, 10 clusters of older whole pupal isolated cells, and 5 of adult brain isolated cells using a resolution parameter of 0.7, which was halfway between those visualized by </w:t>
      </w:r>
      <w:proofErr w:type="spellStart"/>
      <w:r w:rsidRPr="00E54500">
        <w:t>Clustree</w:t>
      </w:r>
      <w:proofErr w:type="spellEnd"/>
      <w:r w:rsidRPr="00E54500">
        <w:t>.</w:t>
      </w:r>
    </w:p>
    <w:p w14:paraId="3F373069" w14:textId="77777777" w:rsidR="00B31BA3" w:rsidRDefault="0022601F" w:rsidP="00B31BA3">
      <w:pPr>
        <w:jc w:val="center"/>
        <w:rPr>
          <w:b/>
          <w:bCs/>
        </w:rPr>
      </w:pPr>
      <w:r w:rsidRPr="002D0008">
        <w:lastRenderedPageBreak/>
        <w:drawing>
          <wp:inline distT="0" distB="0" distL="0" distR="0" wp14:anchorId="3BC1034B" wp14:editId="32CDC4CB">
            <wp:extent cx="4392581" cy="5818293"/>
            <wp:effectExtent l="0" t="0" r="8255" b="0"/>
            <wp:docPr id="1524235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35704" name="Picture 15242357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48790" cy="5892745"/>
                    </a:xfrm>
                    <a:prstGeom prst="rect">
                      <a:avLst/>
                    </a:prstGeom>
                  </pic:spPr>
                </pic:pic>
              </a:graphicData>
            </a:graphic>
          </wp:inline>
        </w:drawing>
      </w:r>
    </w:p>
    <w:p w14:paraId="21937311" w14:textId="05D7B493" w:rsidR="0022601F" w:rsidRPr="002D0008" w:rsidRDefault="0022601F" w:rsidP="00CB6B17">
      <w:pPr>
        <w:pStyle w:val="Heading2"/>
      </w:pPr>
      <w:r w:rsidRPr="00CB6B17">
        <w:rPr>
          <w:b/>
          <w:bCs/>
        </w:rPr>
        <w:t xml:space="preserve">Supplemental Figure </w:t>
      </w:r>
      <w:r w:rsidR="002D0008" w:rsidRPr="00CB6B17">
        <w:rPr>
          <w:b/>
          <w:bCs/>
        </w:rPr>
        <w:t>5</w:t>
      </w:r>
      <w:r w:rsidRPr="00CB6B17">
        <w:rPr>
          <w:b/>
          <w:bCs/>
        </w:rPr>
        <w:t>.</w:t>
      </w:r>
      <w:r w:rsidRPr="002D0008">
        <w:t xml:space="preserve"> Clustering tree plot visualizing cluster membership at increasing resolutions for the AmE-711 and Integrated Tissue Comparison Seurat objects.</w:t>
      </w:r>
    </w:p>
    <w:p w14:paraId="4814A0B1" w14:textId="72B91617" w:rsidR="00645107" w:rsidRDefault="0022601F" w:rsidP="006111F4">
      <w:pPr>
        <w:keepNext w:val="0"/>
        <w:keepLines w:val="0"/>
        <w:spacing w:line="278" w:lineRule="auto"/>
      </w:pPr>
      <w:r w:rsidRPr="0022601F">
        <w:t xml:space="preserve">The </w:t>
      </w:r>
      <w:proofErr w:type="spellStart"/>
      <w:r w:rsidRPr="0022601F">
        <w:t>Clustree</w:t>
      </w:r>
      <w:proofErr w:type="spellEnd"/>
      <w:r w:rsidRPr="0022601F">
        <w:t xml:space="preserve"> package was used to visualize how cluster membership shifts with an increased resolution parameter to identify unstable clusters resulting from technical artefacts rather than biologically informative clusters capturing cell types or states. Optimizing the resolution parameter thus establishes the granularity of the downstream clustering so that cells with similar expression patterns cluster together, revealing similarities in cell type or state. A) For the 6,930 AmE-711 cells, a resolution parameter of 0.3, highlighted in red, was used to cluster the cells into nine distinct clusters. B) </w:t>
      </w:r>
      <w:r w:rsidR="00992139">
        <w:t>A</w:t>
      </w:r>
      <w:r w:rsidRPr="0022601F">
        <w:t xml:space="preserve"> resolution parameter of 1.0 </w:t>
      </w:r>
      <w:r w:rsidR="00992139">
        <w:t xml:space="preserve">was used </w:t>
      </w:r>
      <w:r w:rsidRPr="0022601F">
        <w:t xml:space="preserve">to cluster the 12,328 cells integrated from two pooled honey bee whole pupae, one adult brain, and the AmE-711 derived sample into 24 distinct clusters. </w:t>
      </w:r>
      <w:r w:rsidR="0009562F">
        <w:br w:type="page"/>
      </w:r>
    </w:p>
    <w:p w14:paraId="5C555C68" w14:textId="29B2D5CB" w:rsidR="0040372B" w:rsidRPr="0040372B" w:rsidRDefault="0040372B" w:rsidP="00CB6B17">
      <w:pPr>
        <w:spacing w:line="276" w:lineRule="auto"/>
        <w:jc w:val="center"/>
        <w:rPr>
          <w:rFonts w:eastAsia="Calibri"/>
        </w:rPr>
      </w:pPr>
      <w:r w:rsidRPr="0040372B">
        <w:rPr>
          <w:rFonts w:eastAsia="Calibri"/>
          <w:noProof/>
        </w:rPr>
        <w:lastRenderedPageBreak/>
        <w:drawing>
          <wp:inline distT="0" distB="0" distL="0" distR="0" wp14:anchorId="5777988A" wp14:editId="525D5CB1">
            <wp:extent cx="4947127" cy="5892800"/>
            <wp:effectExtent l="0" t="0" r="6350" b="0"/>
            <wp:docPr id="1731970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70006"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62042" cy="5910567"/>
                    </a:xfrm>
                    <a:prstGeom prst="rect">
                      <a:avLst/>
                    </a:prstGeom>
                  </pic:spPr>
                </pic:pic>
              </a:graphicData>
            </a:graphic>
          </wp:inline>
        </w:drawing>
      </w:r>
    </w:p>
    <w:p w14:paraId="51C6DE9E" w14:textId="5BA1AF01" w:rsidR="0040372B" w:rsidRPr="0040372B" w:rsidRDefault="0040372B" w:rsidP="00264464">
      <w:pPr>
        <w:pStyle w:val="Heading2"/>
        <w:rPr>
          <w:b/>
          <w:bCs/>
        </w:rPr>
      </w:pPr>
      <w:r w:rsidRPr="0040372B">
        <w:rPr>
          <w:b/>
          <w:bCs/>
        </w:rPr>
        <w:t xml:space="preserve">Supplemental Figure </w:t>
      </w:r>
      <w:r w:rsidR="00E54500">
        <w:rPr>
          <w:b/>
          <w:bCs/>
        </w:rPr>
        <w:t>6</w:t>
      </w:r>
      <w:r w:rsidRPr="0040372B">
        <w:rPr>
          <w:b/>
          <w:bCs/>
        </w:rPr>
        <w:t>.</w:t>
      </w:r>
      <w:r w:rsidRPr="0040372B">
        <w:t xml:space="preserve"> 24 tissue comparison clusters of cells integrated from four sample sources displayed heterogeneous distributions in each of six quality control metrics.</w:t>
      </w:r>
    </w:p>
    <w:p w14:paraId="55572F42" w14:textId="77777777" w:rsidR="0040372B" w:rsidRPr="0040372B" w:rsidRDefault="0040372B" w:rsidP="00681185">
      <w:pPr>
        <w:spacing w:line="276" w:lineRule="auto"/>
        <w:rPr>
          <w:rFonts w:eastAsia="Calibri"/>
        </w:rPr>
      </w:pPr>
      <w:r w:rsidRPr="0040372B">
        <w:rPr>
          <w:rFonts w:eastAsia="Calibri"/>
        </w:rPr>
        <w:t xml:space="preserve">A–B) Tissue comparison clusters C05-C08, C10, and C11 were distinguished by higher median RNA counts and greater gene diversity compared to all other clusters. Clusters from the integrated samples were more heterogeneous in their feature counts compared to AmE-711 clusters alone. C–D) Cluster C01, consisting of all AmE-711 cells clustered in the post-comparison C01 was again distinguished by its low RNA counts and even lower gene diversity, of which G2/M and S phase genes were overrepresented. E) A greater number of clusters in the integrated object displayed high proportions of ribosomal genes, including two clusters consisting entirely of </w:t>
      </w:r>
      <w:proofErr w:type="gramStart"/>
      <w:r w:rsidRPr="0040372B">
        <w:rPr>
          <w:rFonts w:eastAsia="Calibri"/>
        </w:rPr>
        <w:t>pupal</w:t>
      </w:r>
      <w:proofErr w:type="gramEnd"/>
      <w:r w:rsidRPr="0040372B">
        <w:rPr>
          <w:rFonts w:eastAsia="Calibri"/>
        </w:rPr>
        <w:t xml:space="preserve">-derived cells. </w:t>
      </w:r>
    </w:p>
    <w:p w14:paraId="469D45D1" w14:textId="77777777" w:rsidR="0040372B" w:rsidRPr="0040372B" w:rsidRDefault="0040372B" w:rsidP="008D20D2">
      <w:pPr>
        <w:spacing w:line="276" w:lineRule="auto"/>
        <w:jc w:val="center"/>
        <w:rPr>
          <w:rFonts w:eastAsia="Calibri"/>
        </w:rPr>
      </w:pPr>
      <w:r w:rsidRPr="0040372B">
        <w:rPr>
          <w:rFonts w:eastAsia="Calibri"/>
          <w:noProof/>
        </w:rPr>
        <w:lastRenderedPageBreak/>
        <w:drawing>
          <wp:inline distT="0" distB="0" distL="0" distR="0" wp14:anchorId="541D7BDF" wp14:editId="0A260F81">
            <wp:extent cx="5904807" cy="7484225"/>
            <wp:effectExtent l="0" t="0" r="1270" b="2540"/>
            <wp:docPr id="4274690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69008" name="Picture 4274690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04807" cy="7484225"/>
                    </a:xfrm>
                    <a:prstGeom prst="rect">
                      <a:avLst/>
                    </a:prstGeom>
                  </pic:spPr>
                </pic:pic>
              </a:graphicData>
            </a:graphic>
          </wp:inline>
        </w:drawing>
      </w:r>
    </w:p>
    <w:p w14:paraId="1A8C3B45" w14:textId="77777777" w:rsidR="0040372B" w:rsidRPr="0040372B" w:rsidRDefault="0040372B" w:rsidP="008D20D2">
      <w:pPr>
        <w:spacing w:line="276" w:lineRule="auto"/>
        <w:jc w:val="center"/>
        <w:rPr>
          <w:rFonts w:eastAsia="Calibri"/>
        </w:rPr>
      </w:pPr>
      <w:r w:rsidRPr="0040372B">
        <w:rPr>
          <w:rFonts w:eastAsia="Calibri"/>
          <w:noProof/>
        </w:rPr>
        <w:lastRenderedPageBreak/>
        <w:drawing>
          <wp:inline distT="0" distB="0" distL="0" distR="0" wp14:anchorId="712D7425" wp14:editId="77CD96B1">
            <wp:extent cx="5902036" cy="5896495"/>
            <wp:effectExtent l="0" t="0" r="3810" b="9525"/>
            <wp:docPr id="1508950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950217" name="Picture 15089502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02036" cy="5896495"/>
                    </a:xfrm>
                    <a:prstGeom prst="rect">
                      <a:avLst/>
                    </a:prstGeom>
                  </pic:spPr>
                </pic:pic>
              </a:graphicData>
            </a:graphic>
          </wp:inline>
        </w:drawing>
      </w:r>
    </w:p>
    <w:p w14:paraId="10CA7F77" w14:textId="00260E30" w:rsidR="0040372B" w:rsidRPr="0040372B" w:rsidRDefault="0040372B" w:rsidP="00AA744F">
      <w:pPr>
        <w:pStyle w:val="Heading2"/>
        <w:rPr>
          <w:b/>
          <w:bCs/>
        </w:rPr>
      </w:pPr>
      <w:r w:rsidRPr="0040372B">
        <w:rPr>
          <w:b/>
          <w:bCs/>
        </w:rPr>
        <w:t xml:space="preserve">Supplemental Figure </w:t>
      </w:r>
      <w:r w:rsidR="00AA744F">
        <w:rPr>
          <w:b/>
          <w:bCs/>
        </w:rPr>
        <w:t>7</w:t>
      </w:r>
      <w:r w:rsidRPr="0040372B">
        <w:rPr>
          <w:b/>
          <w:bCs/>
        </w:rPr>
        <w:t>.</w:t>
      </w:r>
      <w:r w:rsidRPr="0040372B">
        <w:t xml:space="preserve"> Log-normalized expression of mushroom body and Kenyon cell-specific marker genes differed in AmE-711–specific cells compared to the log-normalized expression in the integrated object. </w:t>
      </w:r>
    </w:p>
    <w:p w14:paraId="4388B0F4" w14:textId="77777777" w:rsidR="0040372B" w:rsidRPr="0040372B" w:rsidRDefault="0040372B" w:rsidP="00681185">
      <w:pPr>
        <w:spacing w:line="276" w:lineRule="auto"/>
        <w:rPr>
          <w:rFonts w:eastAsia="Calibri"/>
        </w:rPr>
      </w:pPr>
      <w:r w:rsidRPr="0040372B">
        <w:rPr>
          <w:rFonts w:eastAsia="Calibri"/>
        </w:rPr>
        <w:t>A) Some markers in the mushroom bodies (MB), B) all Kenyon cells (KCs), C) type II Kenyon cells (KC-IIs), D) small Kenyon cells (</w:t>
      </w:r>
      <w:proofErr w:type="spellStart"/>
      <w:r w:rsidRPr="0040372B">
        <w:rPr>
          <w:rFonts w:eastAsia="Calibri"/>
        </w:rPr>
        <w:t>sKCs</w:t>
      </w:r>
      <w:proofErr w:type="spellEnd"/>
      <w:r w:rsidRPr="0040372B">
        <w:rPr>
          <w:rFonts w:eastAsia="Calibri"/>
        </w:rPr>
        <w:t>), E) middle Kenyon cells (</w:t>
      </w:r>
      <w:proofErr w:type="spellStart"/>
      <w:r w:rsidRPr="0040372B">
        <w:rPr>
          <w:rFonts w:eastAsia="Calibri"/>
        </w:rPr>
        <w:t>mKCs</w:t>
      </w:r>
      <w:proofErr w:type="spellEnd"/>
      <w:r w:rsidRPr="0040372B">
        <w:rPr>
          <w:rFonts w:eastAsia="Calibri"/>
        </w:rPr>
        <w:t xml:space="preserve">), and F) large Kenyon cells were only strongly expressed in clusters composed primarily or exclusively of cells from adult or late-stage pupal nervous tissues. </w:t>
      </w:r>
      <w:proofErr w:type="gramStart"/>
      <w:r w:rsidRPr="0040372B">
        <w:rPr>
          <w:rFonts w:eastAsia="Calibri"/>
        </w:rPr>
        <w:t>Many</w:t>
      </w:r>
      <w:proofErr w:type="gramEnd"/>
      <w:r w:rsidRPr="0040372B">
        <w:rPr>
          <w:rFonts w:eastAsia="Calibri"/>
        </w:rPr>
        <w:t xml:space="preserve"> of these markers have been implicated in behavioral maturation regulation, juvenile hormone signaling, and learning and cognition in adult worker bees. </w:t>
      </w:r>
    </w:p>
    <w:p w14:paraId="6DF9475F" w14:textId="77777777" w:rsidR="0040372B" w:rsidRPr="0040372B" w:rsidRDefault="0040372B" w:rsidP="00681185">
      <w:pPr>
        <w:spacing w:line="276" w:lineRule="auto"/>
        <w:rPr>
          <w:rFonts w:eastAsia="Calibri"/>
        </w:rPr>
      </w:pPr>
      <w:r w:rsidRPr="0040372B">
        <w:rPr>
          <w:rFonts w:eastAsia="Calibri"/>
        </w:rPr>
        <w:br w:type="page"/>
      </w:r>
    </w:p>
    <w:p w14:paraId="253E8CEA" w14:textId="621BD77F" w:rsidR="0040372B" w:rsidRPr="0040372B" w:rsidRDefault="006270E0" w:rsidP="008D20D2">
      <w:pPr>
        <w:spacing w:line="276" w:lineRule="auto"/>
        <w:jc w:val="center"/>
        <w:rPr>
          <w:rFonts w:eastAsia="Calibri"/>
          <w:b/>
          <w:bCs/>
        </w:rPr>
      </w:pPr>
      <w:r w:rsidRPr="0040372B">
        <w:rPr>
          <w:rFonts w:eastAsia="Calibri"/>
          <w:noProof/>
        </w:rPr>
        <w:lastRenderedPageBreak/>
        <w:drawing>
          <wp:inline distT="0" distB="0" distL="0" distR="0" wp14:anchorId="71B4F1F3" wp14:editId="4898A1E4">
            <wp:extent cx="5943600" cy="4293235"/>
            <wp:effectExtent l="0" t="0" r="0" b="0"/>
            <wp:docPr id="336882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82813"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293235"/>
                    </a:xfrm>
                    <a:prstGeom prst="rect">
                      <a:avLst/>
                    </a:prstGeom>
                  </pic:spPr>
                </pic:pic>
              </a:graphicData>
            </a:graphic>
          </wp:inline>
        </w:drawing>
      </w:r>
    </w:p>
    <w:p w14:paraId="12F042DC" w14:textId="77777777" w:rsidR="0022601F" w:rsidRDefault="0040372B" w:rsidP="0022601F">
      <w:pPr>
        <w:pStyle w:val="Heading2"/>
      </w:pPr>
      <w:r w:rsidRPr="0040372B">
        <w:rPr>
          <w:b/>
          <w:bCs/>
        </w:rPr>
        <w:t>Supplemental Figure 8.</w:t>
      </w:r>
      <w:r w:rsidRPr="0040372B">
        <w:t xml:space="preserve"> </w:t>
      </w:r>
      <w:r w:rsidR="0022601F">
        <w:t xml:space="preserve">AmE-711 expression of extracellular matrix orthologs. </w:t>
      </w:r>
    </w:p>
    <w:p w14:paraId="7D7F29FC" w14:textId="2636DC43" w:rsidR="0040372B" w:rsidRPr="009565D4" w:rsidRDefault="0040372B" w:rsidP="009565D4">
      <w:pPr>
        <w:spacing w:line="276" w:lineRule="auto"/>
      </w:pPr>
      <w:r w:rsidRPr="0040372B">
        <w:t>In accordance with our cell-cell communication analysis, AmE-711 cells ubiquitously express extracellular matrix components that have previously been implicated in fruit fly neuron and muscle morphogenesis through their interactions with glia, neurons, and muscles.</w:t>
      </w:r>
    </w:p>
    <w:sectPr w:rsidR="0040372B" w:rsidRPr="009565D4" w:rsidSect="00651F0D">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FA"/>
    <w:rsid w:val="00004071"/>
    <w:rsid w:val="00014519"/>
    <w:rsid w:val="00087F5F"/>
    <w:rsid w:val="00094E01"/>
    <w:rsid w:val="0009562F"/>
    <w:rsid w:val="000A61E0"/>
    <w:rsid w:val="000C622D"/>
    <w:rsid w:val="000C7634"/>
    <w:rsid w:val="001010D4"/>
    <w:rsid w:val="00106181"/>
    <w:rsid w:val="00123C69"/>
    <w:rsid w:val="00185018"/>
    <w:rsid w:val="001B5678"/>
    <w:rsid w:val="001D0C39"/>
    <w:rsid w:val="001E70FF"/>
    <w:rsid w:val="001F3614"/>
    <w:rsid w:val="001F5F67"/>
    <w:rsid w:val="0022407C"/>
    <w:rsid w:val="0022601F"/>
    <w:rsid w:val="00264464"/>
    <w:rsid w:val="002D0008"/>
    <w:rsid w:val="002F15AA"/>
    <w:rsid w:val="00310CC7"/>
    <w:rsid w:val="00315CC4"/>
    <w:rsid w:val="00354BFF"/>
    <w:rsid w:val="00385EB0"/>
    <w:rsid w:val="003F5756"/>
    <w:rsid w:val="0040372B"/>
    <w:rsid w:val="004079E2"/>
    <w:rsid w:val="0042196F"/>
    <w:rsid w:val="004355FA"/>
    <w:rsid w:val="00465028"/>
    <w:rsid w:val="004865A1"/>
    <w:rsid w:val="004A3A4E"/>
    <w:rsid w:val="004B080C"/>
    <w:rsid w:val="004E6DF3"/>
    <w:rsid w:val="004F150C"/>
    <w:rsid w:val="00563DBC"/>
    <w:rsid w:val="005B28AB"/>
    <w:rsid w:val="005D3BF5"/>
    <w:rsid w:val="006111F4"/>
    <w:rsid w:val="006225E6"/>
    <w:rsid w:val="006270E0"/>
    <w:rsid w:val="00637F2E"/>
    <w:rsid w:val="00645107"/>
    <w:rsid w:val="00651F0D"/>
    <w:rsid w:val="00681185"/>
    <w:rsid w:val="006A2203"/>
    <w:rsid w:val="00706BE7"/>
    <w:rsid w:val="00742304"/>
    <w:rsid w:val="007542F5"/>
    <w:rsid w:val="00825773"/>
    <w:rsid w:val="00845BF0"/>
    <w:rsid w:val="0086791D"/>
    <w:rsid w:val="008A15D6"/>
    <w:rsid w:val="008D20D2"/>
    <w:rsid w:val="008E687D"/>
    <w:rsid w:val="008F716D"/>
    <w:rsid w:val="00900036"/>
    <w:rsid w:val="00903CB8"/>
    <w:rsid w:val="009565D4"/>
    <w:rsid w:val="00992139"/>
    <w:rsid w:val="009D6E78"/>
    <w:rsid w:val="009E27E6"/>
    <w:rsid w:val="009E2DA4"/>
    <w:rsid w:val="009F07F4"/>
    <w:rsid w:val="00A26E9E"/>
    <w:rsid w:val="00A3690A"/>
    <w:rsid w:val="00A72594"/>
    <w:rsid w:val="00AA744F"/>
    <w:rsid w:val="00AB671D"/>
    <w:rsid w:val="00AE5429"/>
    <w:rsid w:val="00B31BA3"/>
    <w:rsid w:val="00B33DEB"/>
    <w:rsid w:val="00BF12A4"/>
    <w:rsid w:val="00C16495"/>
    <w:rsid w:val="00C33255"/>
    <w:rsid w:val="00C44A37"/>
    <w:rsid w:val="00C67359"/>
    <w:rsid w:val="00CB6B17"/>
    <w:rsid w:val="00D164F1"/>
    <w:rsid w:val="00D21BBF"/>
    <w:rsid w:val="00D32850"/>
    <w:rsid w:val="00D7702F"/>
    <w:rsid w:val="00DF306C"/>
    <w:rsid w:val="00DF76BC"/>
    <w:rsid w:val="00E007BA"/>
    <w:rsid w:val="00E3161A"/>
    <w:rsid w:val="00E4741A"/>
    <w:rsid w:val="00E54500"/>
    <w:rsid w:val="00E56033"/>
    <w:rsid w:val="00E62409"/>
    <w:rsid w:val="00EC0A99"/>
    <w:rsid w:val="00F02DDB"/>
    <w:rsid w:val="00F25678"/>
    <w:rsid w:val="00F75C76"/>
    <w:rsid w:val="00F90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ACBB7E"/>
  <w15:chartTrackingRefBased/>
  <w15:docId w15:val="{AE2370DC-1846-4CAE-867E-B1256D8D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50C"/>
    <w:pPr>
      <w:keepNext/>
      <w:keepLines/>
      <w:spacing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40372B"/>
    <w:pPr>
      <w:spacing w:line="276" w:lineRule="auto"/>
      <w:outlineLvl w:val="0"/>
    </w:pPr>
    <w:rPr>
      <w:b/>
      <w:bCs/>
    </w:rPr>
  </w:style>
  <w:style w:type="paragraph" w:styleId="Heading2">
    <w:name w:val="heading 2"/>
    <w:basedOn w:val="Normal"/>
    <w:next w:val="Normal"/>
    <w:link w:val="Heading2Char"/>
    <w:uiPriority w:val="9"/>
    <w:unhideWhenUsed/>
    <w:qFormat/>
    <w:rsid w:val="00A3690A"/>
    <w:pPr>
      <w:spacing w:line="276" w:lineRule="auto"/>
      <w:outlineLvl w:val="1"/>
    </w:pPr>
  </w:style>
  <w:style w:type="paragraph" w:styleId="Heading3">
    <w:name w:val="heading 3"/>
    <w:basedOn w:val="Normal"/>
    <w:next w:val="Normal"/>
    <w:link w:val="Heading3Char"/>
    <w:uiPriority w:val="9"/>
    <w:semiHidden/>
    <w:unhideWhenUsed/>
    <w:qFormat/>
    <w:rsid w:val="004355FA"/>
    <w:p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5FA"/>
    <w:p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5FA"/>
    <w:p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5FA"/>
    <w:p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5FA"/>
    <w:p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5FA"/>
    <w:p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5FA"/>
    <w:p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72B"/>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A3690A"/>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435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5FA"/>
    <w:rPr>
      <w:rFonts w:eastAsiaTheme="majorEastAsia" w:cstheme="majorBidi"/>
      <w:color w:val="272727" w:themeColor="text1" w:themeTint="D8"/>
    </w:rPr>
  </w:style>
  <w:style w:type="paragraph" w:styleId="Title">
    <w:name w:val="Title"/>
    <w:basedOn w:val="Normal"/>
    <w:next w:val="Normal"/>
    <w:link w:val="TitleChar"/>
    <w:uiPriority w:val="10"/>
    <w:qFormat/>
    <w:rsid w:val="004355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5FA"/>
    <w:pPr>
      <w:spacing w:before="160"/>
      <w:jc w:val="center"/>
    </w:pPr>
    <w:rPr>
      <w:i/>
      <w:iCs/>
      <w:color w:val="404040" w:themeColor="text1" w:themeTint="BF"/>
    </w:rPr>
  </w:style>
  <w:style w:type="character" w:customStyle="1" w:styleId="QuoteChar">
    <w:name w:val="Quote Char"/>
    <w:basedOn w:val="DefaultParagraphFont"/>
    <w:link w:val="Quote"/>
    <w:uiPriority w:val="29"/>
    <w:rsid w:val="004355FA"/>
    <w:rPr>
      <w:i/>
      <w:iCs/>
      <w:color w:val="404040" w:themeColor="text1" w:themeTint="BF"/>
    </w:rPr>
  </w:style>
  <w:style w:type="paragraph" w:styleId="ListParagraph">
    <w:name w:val="List Paragraph"/>
    <w:basedOn w:val="Normal"/>
    <w:uiPriority w:val="34"/>
    <w:qFormat/>
    <w:rsid w:val="004355FA"/>
    <w:pPr>
      <w:ind w:left="720"/>
      <w:contextualSpacing/>
    </w:pPr>
  </w:style>
  <w:style w:type="character" w:styleId="IntenseEmphasis">
    <w:name w:val="Intense Emphasis"/>
    <w:basedOn w:val="DefaultParagraphFont"/>
    <w:uiPriority w:val="21"/>
    <w:qFormat/>
    <w:rsid w:val="004355FA"/>
    <w:rPr>
      <w:i/>
      <w:iCs/>
      <w:color w:val="0F4761" w:themeColor="accent1" w:themeShade="BF"/>
    </w:rPr>
  </w:style>
  <w:style w:type="paragraph" w:styleId="IntenseQuote">
    <w:name w:val="Intense Quote"/>
    <w:basedOn w:val="Normal"/>
    <w:next w:val="Normal"/>
    <w:link w:val="IntenseQuoteChar"/>
    <w:uiPriority w:val="30"/>
    <w:qFormat/>
    <w:rsid w:val="00435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5FA"/>
    <w:rPr>
      <w:i/>
      <w:iCs/>
      <w:color w:val="0F4761" w:themeColor="accent1" w:themeShade="BF"/>
    </w:rPr>
  </w:style>
  <w:style w:type="character" w:styleId="IntenseReference">
    <w:name w:val="Intense Reference"/>
    <w:basedOn w:val="DefaultParagraphFont"/>
    <w:uiPriority w:val="32"/>
    <w:qFormat/>
    <w:rsid w:val="004355FA"/>
    <w:rPr>
      <w:b/>
      <w:bCs/>
      <w:smallCaps/>
      <w:color w:val="0F4761" w:themeColor="accent1" w:themeShade="BF"/>
      <w:spacing w:val="5"/>
    </w:rPr>
  </w:style>
  <w:style w:type="character" w:styleId="LineNumber">
    <w:name w:val="line number"/>
    <w:basedOn w:val="DefaultParagraphFont"/>
    <w:uiPriority w:val="99"/>
    <w:semiHidden/>
    <w:unhideWhenUsed/>
    <w:rsid w:val="00651F0D"/>
  </w:style>
  <w:style w:type="paragraph" w:styleId="NoSpacing">
    <w:name w:val="No Spacing"/>
    <w:uiPriority w:val="1"/>
    <w:qFormat/>
    <w:rsid w:val="00C67359"/>
    <w:pPr>
      <w:keepNext/>
      <w:keepLines/>
      <w:spacing w:after="0" w:line="240" w:lineRule="auto"/>
      <w:outlineLvl w:val="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10</Pages>
  <Words>979</Words>
  <Characters>6154</Characters>
  <Application>Microsoft Office Word</Application>
  <DocSecurity>0</DocSecurity>
  <Lines>166</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Flores, Melissa Estela</dc:creator>
  <cp:keywords/>
  <dc:description/>
  <cp:lastModifiedBy>Flores, Melissa Estela</cp:lastModifiedBy>
  <cp:revision>5</cp:revision>
  <dcterms:created xsi:type="dcterms:W3CDTF">2026-08-14T16:27:00Z</dcterms:created>
  <dcterms:modified xsi:type="dcterms:W3CDTF">2026-08-14T21:02:00Z</dcterms:modified>
</cp:coreProperties>
</file>