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72B8" w14:textId="77777777" w:rsidR="00141805" w:rsidRDefault="00141805" w:rsidP="00141805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</w:t>
      </w:r>
      <w:r w:rsidRPr="00FD0067">
        <w:rPr>
          <w:rFonts w:ascii="Arial" w:hAnsi="Arial" w:cs="Arial"/>
          <w:b/>
          <w:bCs/>
          <w:lang w:val="en-US"/>
        </w:rPr>
        <w:t xml:space="preserve">Figure </w:t>
      </w:r>
      <w:r>
        <w:rPr>
          <w:rFonts w:ascii="Arial" w:hAnsi="Arial" w:cs="Arial"/>
          <w:b/>
          <w:bCs/>
          <w:lang w:val="en-US"/>
        </w:rPr>
        <w:t>1</w:t>
      </w:r>
      <w:r w:rsidRPr="00FD0067">
        <w:rPr>
          <w:rFonts w:ascii="Arial" w:hAnsi="Arial" w:cs="Arial"/>
          <w:lang w:val="en-US"/>
        </w:rPr>
        <w:t xml:space="preserve">. </w:t>
      </w:r>
      <w:r w:rsidRPr="00F35A60">
        <w:rPr>
          <w:rFonts w:ascii="Arial" w:hAnsi="Arial" w:cs="Arial"/>
          <w:b/>
          <w:bCs/>
          <w:lang w:val="en-US"/>
        </w:rPr>
        <w:t>Phenotypic distribution of IFN-γ</w:t>
      </w:r>
      <w:r w:rsidRPr="00F35A60">
        <w:rPr>
          <w:rFonts w:ascii="Cambria Math" w:hAnsi="Cambria Math" w:cs="Cambria Math"/>
          <w:b/>
          <w:bCs/>
          <w:lang w:val="en-US"/>
        </w:rPr>
        <w:t>⁺</w:t>
      </w:r>
      <w:r w:rsidRPr="00F35A60">
        <w:rPr>
          <w:rFonts w:ascii="Arial" w:hAnsi="Arial" w:cs="Arial"/>
          <w:b/>
          <w:bCs/>
          <w:lang w:val="en-US"/>
        </w:rPr>
        <w:t xml:space="preserve"> CD4TL following </w:t>
      </w:r>
      <w:r w:rsidRPr="00141805">
        <w:rPr>
          <w:rFonts w:ascii="Arial" w:hAnsi="Arial" w:cs="Arial"/>
          <w:b/>
          <w:bCs/>
          <w:i/>
          <w:iCs/>
          <w:lang w:val="en-US"/>
        </w:rPr>
        <w:t>Mtb</w:t>
      </w:r>
      <w:r w:rsidRPr="00F35A60">
        <w:rPr>
          <w:rFonts w:ascii="Arial" w:hAnsi="Arial" w:cs="Arial"/>
          <w:b/>
          <w:bCs/>
          <w:lang w:val="en-US"/>
        </w:rPr>
        <w:t xml:space="preserve"> stimulation in the presence or absence of DHEA</w:t>
      </w:r>
      <w:r w:rsidRPr="00BA41DE">
        <w:rPr>
          <w:rFonts w:ascii="Arial" w:hAnsi="Arial" w:cs="Arial"/>
          <w:lang w:val="en-US"/>
        </w:rPr>
        <w:t>.</w:t>
      </w:r>
    </w:p>
    <w:p w14:paraId="74DF0BCE" w14:textId="77777777" w:rsidR="00141805" w:rsidRDefault="00141805" w:rsidP="00141805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BA41D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1DDE93D5" wp14:editId="7EDA24A6">
            <wp:extent cx="4139184" cy="3822192"/>
            <wp:effectExtent l="0" t="0" r="0" b="6985"/>
            <wp:docPr id="9402257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25786" name="Imagen 9402257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184" cy="38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4CD8E" w14:textId="77777777" w:rsidR="00141805" w:rsidRPr="002150E2" w:rsidRDefault="00141805" w:rsidP="00141805">
      <w:pPr>
        <w:spacing w:before="40" w:after="40" w:line="480" w:lineRule="auto"/>
        <w:jc w:val="both"/>
        <w:rPr>
          <w:rFonts w:ascii="Arial" w:hAnsi="Arial" w:cs="Arial"/>
          <w:lang w:val="en-US"/>
        </w:rPr>
      </w:pPr>
      <w:r w:rsidRPr="002150E2">
        <w:rPr>
          <w:rFonts w:ascii="Arial" w:hAnsi="Arial" w:cs="Arial"/>
          <w:lang w:val="en-US"/>
        </w:rPr>
        <w:t xml:space="preserve">PBMCs from HIV-TB individuals (red circles) and HD (white circles) were cultured in medium alone or stimulated with γ-irradiated </w:t>
      </w:r>
      <w:r w:rsidRPr="002150E2">
        <w:rPr>
          <w:rFonts w:ascii="Arial" w:hAnsi="Arial" w:cs="Arial"/>
          <w:i/>
          <w:iCs/>
          <w:lang w:val="en-US"/>
        </w:rPr>
        <w:t>Mtb</w:t>
      </w:r>
      <w:r w:rsidRPr="002150E2">
        <w:rPr>
          <w:rFonts w:ascii="Arial" w:hAnsi="Arial" w:cs="Arial"/>
          <w:lang w:val="en-US"/>
        </w:rPr>
        <w:t xml:space="preserve"> in the presence</w:t>
      </w:r>
      <w:r>
        <w:rPr>
          <w:rFonts w:ascii="Arial" w:hAnsi="Arial" w:cs="Arial"/>
          <w:lang w:val="en-US"/>
        </w:rPr>
        <w:t xml:space="preserve"> or </w:t>
      </w:r>
      <w:proofErr w:type="spellStart"/>
      <w:r>
        <w:rPr>
          <w:rFonts w:ascii="Arial" w:hAnsi="Arial" w:cs="Arial"/>
          <w:lang w:val="en-US"/>
        </w:rPr>
        <w:t>abbsence</w:t>
      </w:r>
      <w:proofErr w:type="spellEnd"/>
      <w:r w:rsidRPr="002150E2">
        <w:rPr>
          <w:rFonts w:ascii="Arial" w:hAnsi="Arial" w:cs="Arial"/>
          <w:lang w:val="en-US"/>
        </w:rPr>
        <w:t xml:space="preserve"> of DHEA (1 × 10</w:t>
      </w:r>
      <w:r w:rsidRPr="002150E2">
        <w:rPr>
          <w:rFonts w:ascii="Cambria Math" w:hAnsi="Cambria Math" w:cs="Cambria Math"/>
          <w:lang w:val="en-US"/>
        </w:rPr>
        <w:t>⁻</w:t>
      </w:r>
      <w:r w:rsidRPr="002150E2">
        <w:rPr>
          <w:rFonts w:ascii="Arial" w:hAnsi="Arial" w:cs="Arial"/>
          <w:lang w:val="en-US"/>
        </w:rPr>
        <w:t xml:space="preserve">⁷ M) for 3 days. Cells were then stained for CD4, CD45RA, CD27, and IFN-γ and analyzed by flow cytometry. The distribution of </w:t>
      </w:r>
      <w:r w:rsidRPr="00ED5EC0">
        <w:rPr>
          <w:rFonts w:ascii="Arial" w:hAnsi="Arial" w:cs="Arial"/>
          <w:lang w:val="en-US"/>
        </w:rPr>
        <w:t>effector memory (EM)</w:t>
      </w:r>
      <w:r>
        <w:rPr>
          <w:rFonts w:ascii="Arial" w:hAnsi="Arial" w:cs="Arial"/>
          <w:lang w:val="en-US"/>
        </w:rPr>
        <w:t>,</w:t>
      </w:r>
      <w:r w:rsidRPr="00ED5EC0">
        <w:rPr>
          <w:rFonts w:ascii="Arial" w:hAnsi="Arial" w:cs="Arial"/>
          <w:lang w:val="en-US"/>
        </w:rPr>
        <w:t xml:space="preserve"> central memory (CM) and naïve (N) subsets</w:t>
      </w:r>
      <w:r w:rsidRPr="002150E2">
        <w:rPr>
          <w:rFonts w:ascii="Arial" w:hAnsi="Arial" w:cs="Arial"/>
          <w:lang w:val="en-US"/>
        </w:rPr>
        <w:t xml:space="preserve"> </w:t>
      </w:r>
      <w:proofErr w:type="gramStart"/>
      <w:r w:rsidRPr="002150E2">
        <w:rPr>
          <w:rFonts w:ascii="Arial" w:hAnsi="Arial" w:cs="Arial"/>
          <w:lang w:val="en-US"/>
        </w:rPr>
        <w:t>was</w:t>
      </w:r>
      <w:proofErr w:type="gramEnd"/>
      <w:r w:rsidRPr="002150E2">
        <w:rPr>
          <w:rFonts w:ascii="Arial" w:hAnsi="Arial" w:cs="Arial"/>
          <w:lang w:val="en-US"/>
        </w:rPr>
        <w:t xml:space="preserve"> evaluated within IFN-γ</w:t>
      </w:r>
      <w:r w:rsidRPr="002150E2">
        <w:rPr>
          <w:rFonts w:ascii="Cambria Math" w:hAnsi="Cambria Math" w:cs="Cambria Math"/>
          <w:lang w:val="en-US"/>
        </w:rPr>
        <w:t>⁺</w:t>
      </w:r>
      <w:r w:rsidRPr="002150E2">
        <w:rPr>
          <w:rFonts w:ascii="Arial" w:hAnsi="Arial" w:cs="Arial"/>
          <w:lang w:val="en-US"/>
        </w:rPr>
        <w:t xml:space="preserve"> CD4TL. Data are presented as paired individual values. Statistical analysis was performed using two-way ANOVA, followed by uncorrected Fisher's least significant difference (LSD) test for multiple comparisons. </w:t>
      </w:r>
      <w:r>
        <w:rPr>
          <w:rFonts w:ascii="Arial" w:hAnsi="Arial" w:cs="Arial"/>
          <w:lang w:val="en-US"/>
        </w:rPr>
        <w:t>*</w:t>
      </w:r>
      <w:r w:rsidRPr="002150E2">
        <w:rPr>
          <w:rFonts w:ascii="Arial" w:hAnsi="Arial" w:cs="Arial"/>
          <w:lang w:val="en-US"/>
        </w:rPr>
        <w:t>p&lt;0.05</w:t>
      </w:r>
      <w:r>
        <w:rPr>
          <w:rFonts w:ascii="Arial" w:hAnsi="Arial" w:cs="Arial"/>
          <w:lang w:val="en-US"/>
        </w:rPr>
        <w:t>.</w:t>
      </w:r>
    </w:p>
    <w:p w14:paraId="7A85F2C8" w14:textId="77777777" w:rsidR="00141805" w:rsidRDefault="00141805" w:rsidP="00141805">
      <w:pPr>
        <w:spacing w:line="480" w:lineRule="auto"/>
      </w:pPr>
    </w:p>
    <w:sectPr w:rsidR="0014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05"/>
    <w:rsid w:val="00141805"/>
    <w:rsid w:val="001E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0159"/>
  <w15:chartTrackingRefBased/>
  <w15:docId w15:val="{5C25EA99-F58D-49EB-ABC7-8F60BFE2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80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18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18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18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18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18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180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180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180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180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1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1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1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18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18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18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18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18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18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1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41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180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41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180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418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180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418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1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18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18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Belén Vecchione</dc:creator>
  <cp:keywords/>
  <dc:description/>
  <cp:lastModifiedBy>María Belén Vecchione</cp:lastModifiedBy>
  <cp:revision>1</cp:revision>
  <dcterms:created xsi:type="dcterms:W3CDTF">2026-08-13T17:05:00Z</dcterms:created>
  <dcterms:modified xsi:type="dcterms:W3CDTF">2026-08-13T17:06:00Z</dcterms:modified>
</cp:coreProperties>
</file>