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2EA" w:rsidRPr="00B91D24" w:rsidRDefault="008B32EA" w:rsidP="008B32EA">
      <w:pPr>
        <w:jc w:val="both"/>
        <w:rPr>
          <w:rFonts w:ascii="Cambria" w:hAnsi="Cambria"/>
          <w:b/>
          <w:sz w:val="24"/>
          <w:szCs w:val="24"/>
        </w:rPr>
      </w:pPr>
      <w:bookmarkStart w:id="0" w:name="_Hlk237634135"/>
      <w:r w:rsidRPr="00B91D24">
        <w:rPr>
          <w:rFonts w:ascii="Cambria" w:hAnsi="Cambria"/>
          <w:b/>
          <w:sz w:val="24"/>
          <w:szCs w:val="24"/>
        </w:rPr>
        <w:t xml:space="preserve">Beyond Hydrocarbons and Conventional Solid Minerals: A Linkage-Based Mineral </w:t>
      </w:r>
      <w:proofErr w:type="spellStart"/>
      <w:r w:rsidRPr="00B91D24">
        <w:rPr>
          <w:rFonts w:ascii="Cambria" w:hAnsi="Cambria"/>
          <w:b/>
          <w:sz w:val="24"/>
          <w:szCs w:val="24"/>
        </w:rPr>
        <w:t>Prioritisation</w:t>
      </w:r>
      <w:proofErr w:type="spellEnd"/>
      <w:r w:rsidRPr="00B91D24">
        <w:rPr>
          <w:rFonts w:ascii="Cambria" w:hAnsi="Cambria"/>
          <w:b/>
          <w:sz w:val="24"/>
          <w:szCs w:val="24"/>
        </w:rPr>
        <w:t xml:space="preserve"> Framework for Rethinking Extractives-led Inclusive Development—Evidence from Ghana's Salt Sector</w:t>
      </w:r>
    </w:p>
    <w:p w:rsidR="008B32EA" w:rsidRDefault="008B32EA" w:rsidP="008B32EA">
      <w:pPr>
        <w:jc w:val="both"/>
        <w:rPr>
          <w:rFonts w:ascii="Cambria" w:hAnsi="Cambria"/>
        </w:rPr>
      </w:pPr>
      <w:r>
        <w:rPr>
          <w:rFonts w:ascii="Cambria" w:hAnsi="Cambria"/>
        </w:rPr>
        <w:t>Alhassan Atta-Quayson (PhD), University of Education Winneba, Winneba, Ghana</w:t>
      </w:r>
    </w:p>
    <w:p w:rsidR="00033304" w:rsidRDefault="00033304" w:rsidP="008B32E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ORCID: </w:t>
      </w:r>
      <w:r w:rsidR="005D782F" w:rsidRPr="005D782F">
        <w:rPr>
          <w:rFonts w:ascii="Cambria" w:hAnsi="Cambria"/>
        </w:rPr>
        <w:t>0000-0003-2483-8484</w:t>
      </w:r>
    </w:p>
    <w:p w:rsidR="008B32EA" w:rsidRDefault="008B32EA" w:rsidP="008B32EA">
      <w:pPr>
        <w:jc w:val="both"/>
        <w:rPr>
          <w:rFonts w:ascii="Cambria" w:hAnsi="Cambria"/>
        </w:rPr>
      </w:pPr>
      <w:hyperlink r:id="rId4" w:history="1">
        <w:r w:rsidRPr="00627844">
          <w:rPr>
            <w:rStyle w:val="Hyperlink"/>
            <w:rFonts w:ascii="Cambria" w:hAnsi="Cambria"/>
          </w:rPr>
          <w:t>aaquayson@uew.edu.gh</w:t>
        </w:r>
      </w:hyperlink>
      <w:r>
        <w:rPr>
          <w:rFonts w:ascii="Cambria" w:hAnsi="Cambria"/>
        </w:rPr>
        <w:t xml:space="preserve"> </w:t>
      </w:r>
    </w:p>
    <w:p w:rsidR="008B32EA" w:rsidRDefault="008B32EA" w:rsidP="008B32EA">
      <w:pPr>
        <w:jc w:val="both"/>
        <w:rPr>
          <w:rFonts w:ascii="Cambria" w:hAnsi="Cambria"/>
        </w:rPr>
      </w:pPr>
    </w:p>
    <w:p w:rsidR="008B32EA" w:rsidRPr="00E04033" w:rsidRDefault="008B32EA" w:rsidP="008B32EA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Abstract</w:t>
      </w:r>
    </w:p>
    <w:p w:rsidR="008B32EA" w:rsidRPr="00573E12" w:rsidRDefault="008B32EA" w:rsidP="008B32EA">
      <w:pPr>
        <w:pStyle w:val="pdq2pgselectionanchorcontainer"/>
        <w:jc w:val="both"/>
        <w:rPr>
          <w:rFonts w:ascii="Cambria" w:hAnsi="Cambria"/>
        </w:rPr>
      </w:pPr>
      <w:r w:rsidRPr="00573E12">
        <w:rPr>
          <w:rFonts w:ascii="Cambria" w:hAnsi="Cambria"/>
        </w:rPr>
        <w:t xml:space="preserve">Mineral development strategies have </w:t>
      </w:r>
      <w:r>
        <w:rPr>
          <w:rFonts w:ascii="Cambria" w:hAnsi="Cambria"/>
        </w:rPr>
        <w:t>historically</w:t>
      </w:r>
      <w:r w:rsidRPr="00573E12">
        <w:rPr>
          <w:rFonts w:ascii="Cambria" w:hAnsi="Cambria"/>
        </w:rPr>
        <w:t xml:space="preserve"> </w:t>
      </w:r>
      <w:proofErr w:type="spellStart"/>
      <w:r w:rsidRPr="00573E12">
        <w:rPr>
          <w:rFonts w:ascii="Cambria" w:hAnsi="Cambria"/>
        </w:rPr>
        <w:t>prioritised</w:t>
      </w:r>
      <w:proofErr w:type="spellEnd"/>
      <w:r w:rsidRPr="00573E12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minerals based on their contributions </w:t>
      </w:r>
      <w:r w:rsidRPr="00573E12">
        <w:rPr>
          <w:rFonts w:ascii="Cambria" w:hAnsi="Cambria"/>
        </w:rPr>
        <w:t xml:space="preserve">to foreign exchange earnings and government revenues. While these indicators remain important, they </w:t>
      </w:r>
      <w:r>
        <w:rPr>
          <w:rFonts w:ascii="Cambria" w:hAnsi="Cambria"/>
        </w:rPr>
        <w:t xml:space="preserve">only </w:t>
      </w:r>
      <w:r w:rsidRPr="00573E12">
        <w:rPr>
          <w:rFonts w:ascii="Cambria" w:hAnsi="Cambria"/>
        </w:rPr>
        <w:t>provide a partial basis for assessing the developmental significance of mineral</w:t>
      </w:r>
      <w:r>
        <w:rPr>
          <w:rFonts w:ascii="Cambria" w:hAnsi="Cambria"/>
        </w:rPr>
        <w:t xml:space="preserve">s as </w:t>
      </w:r>
      <w:r w:rsidRPr="00573E12">
        <w:rPr>
          <w:rFonts w:ascii="Cambria" w:hAnsi="Cambria"/>
        </w:rPr>
        <w:t xml:space="preserve">they </w:t>
      </w:r>
      <w:r>
        <w:rPr>
          <w:rFonts w:ascii="Cambria" w:hAnsi="Cambria"/>
        </w:rPr>
        <w:t xml:space="preserve">overlook </w:t>
      </w:r>
      <w:r w:rsidRPr="00573E12">
        <w:rPr>
          <w:rFonts w:ascii="Cambria" w:hAnsi="Cambria"/>
        </w:rPr>
        <w:t xml:space="preserve">economy-wide production, income and employment linkages. This paper addresses this limitation by advancing a </w:t>
      </w:r>
      <w:r w:rsidRPr="00B91D24">
        <w:rPr>
          <w:rStyle w:val="Strong"/>
          <w:rFonts w:ascii="Cambria" w:hAnsi="Cambria"/>
          <w:b w:val="0"/>
        </w:rPr>
        <w:t xml:space="preserve">Linkage-Based Mineral </w:t>
      </w:r>
      <w:proofErr w:type="spellStart"/>
      <w:r w:rsidRPr="00B91D24">
        <w:rPr>
          <w:rStyle w:val="Strong"/>
          <w:rFonts w:ascii="Cambria" w:hAnsi="Cambria"/>
          <w:b w:val="0"/>
        </w:rPr>
        <w:t>Prioritisation</w:t>
      </w:r>
      <w:proofErr w:type="spellEnd"/>
      <w:r w:rsidRPr="00B91D24">
        <w:rPr>
          <w:rStyle w:val="Strong"/>
          <w:rFonts w:ascii="Cambria" w:hAnsi="Cambria"/>
          <w:b w:val="0"/>
        </w:rPr>
        <w:t xml:space="preserve"> Framework (LBMPF)</w:t>
      </w:r>
      <w:r w:rsidRPr="00573E12">
        <w:rPr>
          <w:rFonts w:ascii="Cambria" w:hAnsi="Cambria"/>
        </w:rPr>
        <w:t xml:space="preserve"> that complements conventional evaluation criteria. The framework is demonstrated using Ghana's salt sector, a </w:t>
      </w:r>
      <w:r>
        <w:rPr>
          <w:rFonts w:ascii="Cambria" w:hAnsi="Cambria"/>
        </w:rPr>
        <w:t xml:space="preserve">sector which has </w:t>
      </w:r>
      <w:r w:rsidRPr="00573E12">
        <w:rPr>
          <w:rFonts w:ascii="Cambria" w:hAnsi="Cambria"/>
        </w:rPr>
        <w:t xml:space="preserve">received comparatively little policy attention </w:t>
      </w:r>
      <w:r>
        <w:rPr>
          <w:rFonts w:ascii="Cambria" w:hAnsi="Cambria"/>
        </w:rPr>
        <w:t xml:space="preserve">and support </w:t>
      </w:r>
      <w:r w:rsidRPr="00573E12">
        <w:rPr>
          <w:rFonts w:ascii="Cambria" w:hAnsi="Cambria"/>
        </w:rPr>
        <w:t>despite its strategic industrial potential.</w:t>
      </w:r>
      <w:r>
        <w:rPr>
          <w:rFonts w:ascii="Cambria" w:hAnsi="Cambria"/>
        </w:rPr>
        <w:t xml:space="preserve"> </w:t>
      </w:r>
      <w:r w:rsidRPr="00573E12">
        <w:rPr>
          <w:rFonts w:ascii="Cambria" w:hAnsi="Cambria"/>
        </w:rPr>
        <w:t xml:space="preserve">The study employs a Salt Sector Extended Input–Output model to estimate backward and forward production linkages together with output, value-added, </w:t>
      </w:r>
      <w:proofErr w:type="spellStart"/>
      <w:r w:rsidRPr="00573E12">
        <w:rPr>
          <w:rFonts w:ascii="Cambria" w:hAnsi="Cambria"/>
        </w:rPr>
        <w:t>labour</w:t>
      </w:r>
      <w:proofErr w:type="spellEnd"/>
      <w:r w:rsidRPr="00573E12">
        <w:rPr>
          <w:rFonts w:ascii="Cambria" w:hAnsi="Cambria"/>
        </w:rPr>
        <w:t xml:space="preserve">-income, capital-income and employment multipliers. These indicators are used to compare the developmental characteristics of the salt, </w:t>
      </w:r>
      <w:r>
        <w:rPr>
          <w:rFonts w:ascii="Cambria" w:hAnsi="Cambria"/>
        </w:rPr>
        <w:t xml:space="preserve">hydrocarbons and conventional minerals. </w:t>
      </w:r>
    </w:p>
    <w:p w:rsidR="008B32EA" w:rsidRPr="00573E12" w:rsidRDefault="008B32EA" w:rsidP="008B32EA">
      <w:pPr>
        <w:pStyle w:val="NormalWeb"/>
        <w:jc w:val="both"/>
        <w:rPr>
          <w:rFonts w:ascii="Cambria" w:hAnsi="Cambria"/>
        </w:rPr>
      </w:pPr>
      <w:r w:rsidRPr="00573E12">
        <w:rPr>
          <w:rFonts w:ascii="Cambria" w:hAnsi="Cambria"/>
        </w:rPr>
        <w:t xml:space="preserve">The </w:t>
      </w:r>
      <w:r>
        <w:rPr>
          <w:rFonts w:ascii="Cambria" w:hAnsi="Cambria"/>
        </w:rPr>
        <w:t xml:space="preserve">findings demonstrate </w:t>
      </w:r>
      <w:r w:rsidRPr="00573E12">
        <w:rPr>
          <w:rFonts w:ascii="Cambria" w:hAnsi="Cambria"/>
        </w:rPr>
        <w:t xml:space="preserve">that Ghana's salt sector exhibits a distinctive developmental profile. Although it does not outperform conventional extractive sectors across every indicator, it generates comparatively strong domestic value-added, income and employment effects while maintaining stronger backward production linkages than the </w:t>
      </w:r>
      <w:r>
        <w:rPr>
          <w:rFonts w:ascii="Cambria" w:hAnsi="Cambria"/>
        </w:rPr>
        <w:t xml:space="preserve">conventional </w:t>
      </w:r>
      <w:r w:rsidRPr="00573E12">
        <w:rPr>
          <w:rFonts w:ascii="Cambria" w:hAnsi="Cambria"/>
        </w:rPr>
        <w:t>min</w:t>
      </w:r>
      <w:r>
        <w:rPr>
          <w:rFonts w:ascii="Cambria" w:hAnsi="Cambria"/>
        </w:rPr>
        <w:t xml:space="preserve">erals </w:t>
      </w:r>
      <w:r w:rsidRPr="00573E12">
        <w:rPr>
          <w:rFonts w:ascii="Cambria" w:hAnsi="Cambria"/>
        </w:rPr>
        <w:t xml:space="preserve">sector. Conversely, its weak forward linkages reveal substantial </w:t>
      </w:r>
      <w:proofErr w:type="spellStart"/>
      <w:r w:rsidRPr="00573E12">
        <w:rPr>
          <w:rFonts w:ascii="Cambria" w:hAnsi="Cambria"/>
        </w:rPr>
        <w:t>unrealised</w:t>
      </w:r>
      <w:proofErr w:type="spellEnd"/>
      <w:r w:rsidRPr="00573E12">
        <w:rPr>
          <w:rFonts w:ascii="Cambria" w:hAnsi="Cambria"/>
        </w:rPr>
        <w:t xml:space="preserve"> opportunities for downstream industrial development. These findings demonstrate that mineral sectors contribute to development through different channels and therefore cannot be adequately evaluated using export earnings and fiscal revenues alone.</w:t>
      </w:r>
      <w:r>
        <w:rPr>
          <w:rFonts w:ascii="Cambria" w:hAnsi="Cambria"/>
        </w:rPr>
        <w:t xml:space="preserve"> </w:t>
      </w:r>
      <w:r w:rsidRPr="00573E12">
        <w:rPr>
          <w:rFonts w:ascii="Cambria" w:hAnsi="Cambria"/>
        </w:rPr>
        <w:t xml:space="preserve">The paper contributes a transferable analytical framework for mineral-sector evaluation that aligns with the resource-based </w:t>
      </w:r>
      <w:proofErr w:type="spellStart"/>
      <w:r w:rsidRPr="00573E12">
        <w:rPr>
          <w:rFonts w:ascii="Cambria" w:hAnsi="Cambria"/>
        </w:rPr>
        <w:t>industrialisation</w:t>
      </w:r>
      <w:proofErr w:type="spellEnd"/>
      <w:r w:rsidRPr="00573E12">
        <w:rPr>
          <w:rFonts w:ascii="Cambria" w:hAnsi="Cambria"/>
        </w:rPr>
        <w:t xml:space="preserve"> objectives of the Africa Mining Vision and offers a stronger evidence base for mineral policy in Ghana and other resource-rich economies.</w:t>
      </w:r>
    </w:p>
    <w:p w:rsidR="008B32EA" w:rsidRDefault="008B32EA" w:rsidP="008B32EA">
      <w:pPr>
        <w:pStyle w:val="NormalWeb"/>
        <w:jc w:val="both"/>
        <w:rPr>
          <w:rFonts w:ascii="Cambria" w:hAnsi="Cambria"/>
        </w:rPr>
      </w:pPr>
      <w:r w:rsidRPr="00573E12">
        <w:rPr>
          <w:rStyle w:val="Strong"/>
          <w:rFonts w:ascii="Cambria" w:hAnsi="Cambria"/>
        </w:rPr>
        <w:t>Keywords:</w:t>
      </w:r>
      <w:r w:rsidRPr="00573E12">
        <w:rPr>
          <w:rFonts w:ascii="Cambria" w:hAnsi="Cambria"/>
        </w:rPr>
        <w:t xml:space="preserve"> salt sector; input–output analysis; economic linkages; resource-based </w:t>
      </w:r>
      <w:proofErr w:type="spellStart"/>
      <w:r w:rsidRPr="00573E12">
        <w:rPr>
          <w:rFonts w:ascii="Cambria" w:hAnsi="Cambria"/>
        </w:rPr>
        <w:t>industrialisation</w:t>
      </w:r>
      <w:proofErr w:type="spellEnd"/>
      <w:r w:rsidRPr="00573E12">
        <w:rPr>
          <w:rFonts w:ascii="Cambria" w:hAnsi="Cambria"/>
        </w:rPr>
        <w:t>; Africa Mining Vision; Ghana.</w:t>
      </w:r>
    </w:p>
    <w:p w:rsidR="008B32EA" w:rsidRPr="00573E12" w:rsidRDefault="008B32EA" w:rsidP="008B32EA">
      <w:pPr>
        <w:pStyle w:val="NormalWeb"/>
        <w:jc w:val="both"/>
        <w:rPr>
          <w:rFonts w:ascii="Cambria" w:hAnsi="Cambria"/>
        </w:rPr>
      </w:pPr>
    </w:p>
    <w:p w:rsidR="008B32EA" w:rsidRPr="003F00CF" w:rsidRDefault="008B32EA" w:rsidP="008B32EA">
      <w:pPr>
        <w:jc w:val="both"/>
        <w:rPr>
          <w:rFonts w:ascii="Cambria" w:hAnsi="Cambria"/>
          <w:sz w:val="24"/>
          <w:szCs w:val="24"/>
        </w:rPr>
      </w:pPr>
      <w:r w:rsidRPr="003F00CF">
        <w:rPr>
          <w:rFonts w:ascii="Cambria" w:hAnsi="Cambria"/>
          <w:b/>
          <w:sz w:val="24"/>
          <w:szCs w:val="24"/>
        </w:rPr>
        <w:t xml:space="preserve">JEL </w:t>
      </w:r>
      <w:r>
        <w:rPr>
          <w:rFonts w:ascii="Cambria" w:hAnsi="Cambria"/>
          <w:b/>
          <w:sz w:val="24"/>
          <w:szCs w:val="24"/>
        </w:rPr>
        <w:t>C</w:t>
      </w:r>
      <w:r w:rsidRPr="003F00CF">
        <w:rPr>
          <w:rFonts w:ascii="Cambria" w:hAnsi="Cambria"/>
          <w:b/>
          <w:sz w:val="24"/>
          <w:szCs w:val="24"/>
        </w:rPr>
        <w:t>lassification</w:t>
      </w:r>
      <w:r w:rsidRPr="003F00CF">
        <w:rPr>
          <w:rFonts w:ascii="Cambria" w:hAnsi="Cambria"/>
          <w:sz w:val="24"/>
          <w:szCs w:val="24"/>
        </w:rPr>
        <w:t>: O13, O14, O25, Q32, L72, C67</w:t>
      </w:r>
      <w:r>
        <w:rPr>
          <w:rFonts w:ascii="Cambria" w:hAnsi="Cambria"/>
          <w:sz w:val="24"/>
          <w:szCs w:val="24"/>
        </w:rPr>
        <w:t>.</w:t>
      </w:r>
    </w:p>
    <w:bookmarkEnd w:id="0"/>
    <w:p w:rsidR="008B32EA" w:rsidRPr="00573E12" w:rsidRDefault="008B32EA" w:rsidP="008B32EA">
      <w:pPr>
        <w:jc w:val="both"/>
        <w:rPr>
          <w:rFonts w:ascii="Cambria" w:hAnsi="Cambria"/>
        </w:rPr>
      </w:pPr>
    </w:p>
    <w:p w:rsidR="008B32EA" w:rsidRPr="008F302D" w:rsidRDefault="005D782F">
      <w:pPr>
        <w:rPr>
          <w:rFonts w:ascii="Cambria" w:hAnsi="Cambria"/>
          <w:b/>
          <w:sz w:val="28"/>
          <w:szCs w:val="28"/>
        </w:rPr>
      </w:pPr>
      <w:r w:rsidRPr="008F302D">
        <w:rPr>
          <w:rFonts w:ascii="Cambria" w:hAnsi="Cambria"/>
          <w:b/>
          <w:sz w:val="28"/>
          <w:szCs w:val="28"/>
        </w:rPr>
        <w:lastRenderedPageBreak/>
        <w:t xml:space="preserve">Statement and Declarations </w:t>
      </w:r>
    </w:p>
    <w:p w:rsidR="005D782F" w:rsidRPr="008F302D" w:rsidRDefault="005D782F">
      <w:pPr>
        <w:rPr>
          <w:rFonts w:ascii="Cambria" w:hAnsi="Cambria"/>
          <w:b/>
          <w:sz w:val="24"/>
          <w:szCs w:val="24"/>
        </w:rPr>
      </w:pPr>
      <w:r w:rsidRPr="008F302D">
        <w:rPr>
          <w:rFonts w:ascii="Cambria" w:hAnsi="Cambria"/>
          <w:b/>
          <w:sz w:val="24"/>
          <w:szCs w:val="24"/>
        </w:rPr>
        <w:t xml:space="preserve">Funding </w:t>
      </w:r>
    </w:p>
    <w:p w:rsidR="005D782F" w:rsidRDefault="008F302D" w:rsidP="008F302D">
      <w:pPr>
        <w:rPr>
          <w:rStyle w:val="Emphasis"/>
          <w:rFonts w:ascii="Cambria" w:hAnsi="Cambria"/>
          <w:i w:val="0"/>
          <w:color w:val="222222"/>
          <w:sz w:val="24"/>
          <w:szCs w:val="24"/>
          <w:shd w:val="clear" w:color="auto" w:fill="FFFFFF"/>
        </w:rPr>
      </w:pPr>
      <w:r w:rsidRPr="008F302D">
        <w:rPr>
          <w:rStyle w:val="Emphasis"/>
          <w:rFonts w:ascii="Cambria" w:hAnsi="Cambria"/>
          <w:i w:val="0"/>
          <w:color w:val="222222"/>
          <w:sz w:val="24"/>
          <w:szCs w:val="24"/>
          <w:shd w:val="clear" w:color="auto" w:fill="FFFFFF"/>
        </w:rPr>
        <w:t>The author declare</w:t>
      </w:r>
      <w:r w:rsidRPr="008F302D">
        <w:rPr>
          <w:rStyle w:val="Emphasis"/>
          <w:rFonts w:ascii="Cambria" w:hAnsi="Cambria"/>
          <w:i w:val="0"/>
          <w:color w:val="222222"/>
          <w:sz w:val="24"/>
          <w:szCs w:val="24"/>
          <w:shd w:val="clear" w:color="auto" w:fill="FFFFFF"/>
        </w:rPr>
        <w:t>s</w:t>
      </w:r>
      <w:r w:rsidRPr="008F302D">
        <w:rPr>
          <w:rStyle w:val="Emphasis"/>
          <w:rFonts w:ascii="Cambria" w:hAnsi="Cambria"/>
          <w:i w:val="0"/>
          <w:color w:val="222222"/>
          <w:sz w:val="24"/>
          <w:szCs w:val="24"/>
          <w:shd w:val="clear" w:color="auto" w:fill="FFFFFF"/>
        </w:rPr>
        <w:t xml:space="preserve"> that no funds, grants, or other support were received during the preparation of this manuscript.</w:t>
      </w:r>
    </w:p>
    <w:p w:rsidR="008F302D" w:rsidRDefault="008F302D" w:rsidP="008F302D">
      <w:pPr>
        <w:rPr>
          <w:rFonts w:ascii="Cambria" w:hAnsi="Cambria"/>
          <w:sz w:val="24"/>
          <w:szCs w:val="24"/>
        </w:rPr>
      </w:pPr>
    </w:p>
    <w:p w:rsidR="008F302D" w:rsidRDefault="008F302D" w:rsidP="008F302D">
      <w:pPr>
        <w:rPr>
          <w:rFonts w:ascii="Cambria" w:hAnsi="Cambria"/>
          <w:b/>
          <w:sz w:val="24"/>
          <w:szCs w:val="24"/>
        </w:rPr>
      </w:pPr>
      <w:r w:rsidRPr="008F302D">
        <w:rPr>
          <w:rFonts w:ascii="Cambria" w:hAnsi="Cambria"/>
          <w:b/>
          <w:sz w:val="24"/>
          <w:szCs w:val="24"/>
        </w:rPr>
        <w:t>Competing Interests</w:t>
      </w:r>
    </w:p>
    <w:p w:rsidR="008F302D" w:rsidRDefault="00B153D9" w:rsidP="008F302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Author declares no financial interest </w:t>
      </w:r>
    </w:p>
    <w:p w:rsidR="00B153D9" w:rsidRDefault="00B153D9" w:rsidP="008F302D">
      <w:pPr>
        <w:rPr>
          <w:rFonts w:ascii="Cambria" w:hAnsi="Cambria"/>
          <w:sz w:val="24"/>
          <w:szCs w:val="24"/>
        </w:rPr>
      </w:pPr>
    </w:p>
    <w:p w:rsidR="00B153D9" w:rsidRPr="008F302D" w:rsidRDefault="00B153D9" w:rsidP="008F302D">
      <w:pPr>
        <w:rPr>
          <w:rFonts w:ascii="Cambria" w:hAnsi="Cambria"/>
          <w:sz w:val="24"/>
          <w:szCs w:val="24"/>
        </w:rPr>
      </w:pPr>
      <w:bookmarkStart w:id="1" w:name="_GoBack"/>
      <w:bookmarkEnd w:id="1"/>
    </w:p>
    <w:sectPr w:rsidR="00B153D9" w:rsidRPr="008F30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EA"/>
    <w:rsid w:val="00033304"/>
    <w:rsid w:val="005D782F"/>
    <w:rsid w:val="008B32EA"/>
    <w:rsid w:val="008F302D"/>
    <w:rsid w:val="00B1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AE2AB"/>
  <w15:chartTrackingRefBased/>
  <w15:docId w15:val="{4E8F6E03-C185-4D49-A47C-D68995FC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8B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B32EA"/>
    <w:rPr>
      <w:b/>
      <w:bCs/>
    </w:rPr>
  </w:style>
  <w:style w:type="paragraph" w:styleId="NormalWeb">
    <w:name w:val="Normal (Web)"/>
    <w:basedOn w:val="Normal"/>
    <w:uiPriority w:val="99"/>
    <w:unhideWhenUsed/>
    <w:rsid w:val="008B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32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2E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F30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quayson@uew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Alhassan A Quayson</dc:creator>
  <cp:keywords/>
  <dc:description/>
  <cp:lastModifiedBy>Alhassan A Quayson</cp:lastModifiedBy>
  <cp:revision>2</cp:revision>
  <dcterms:created xsi:type="dcterms:W3CDTF">2026-08-14T21:08:00Z</dcterms:created>
  <dcterms:modified xsi:type="dcterms:W3CDTF">2026-08-14T21:19:00Z</dcterms:modified>
</cp:coreProperties>
</file>