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240" w:lineRule="auto"/>
        <w:rPr>
          <w:i w:val="1"/>
          <w:iCs w:val="1"/>
        </w:rPr>
      </w:pPr>
      <w:bookmarkStart w:colFirst="0" w:colLast="0" w:name="_k5b8c7hcp41" w:id="0"/>
      <w:bookmarkEnd w:id="0"/>
      <w:r w:rsidDel="00000000" w:rsidR="00000000" w:rsidRPr="00000000">
        <w:rPr>
          <w:b w:val="1"/>
          <w:bCs w:val="1"/>
          <w:sz w:val="28"/>
          <w:szCs w:val="28"/>
          <w:rtl w:val="0"/>
        </w:rPr>
        <w:t xml:space="preserve">Supplementary Information</w:t>
      </w:r>
      <w:r w:rsidDel="00000000" w:rsidR="00000000" w:rsidRPr="00000000">
        <w:rPr>
          <w:rtl w:val="0"/>
        </w:rPr>
      </w:r>
    </w:p>
    <w:p w:rsidR="00000000" w:rsidDel="00000000" w:rsidP="00000000" w:rsidRDefault="00000000" w:rsidRPr="00000000" w14:paraId="00000002">
      <w:pPr>
        <w:pStyle w:val="Heading1"/>
        <w:keepNext w:val="0"/>
        <w:keepLines w:val="0"/>
        <w:spacing w:after="240" w:before="240" w:lineRule="auto"/>
        <w:rPr>
          <w:b w:val="1"/>
          <w:bCs w:val="1"/>
          <w:sz w:val="28"/>
          <w:szCs w:val="28"/>
        </w:rPr>
      </w:pPr>
      <w:bookmarkStart w:colFirst="0" w:colLast="0" w:name="_hawstv4ox4le" w:id="1"/>
      <w:bookmarkEnd w:id="1"/>
      <w:r w:rsidDel="00000000" w:rsidR="00000000" w:rsidRPr="00000000">
        <w:rPr>
          <w:b w:val="1"/>
          <w:bCs w:val="1"/>
          <w:sz w:val="28"/>
          <w:szCs w:val="28"/>
          <w:rtl w:val="0"/>
        </w:rPr>
        <w:t xml:space="preserve">Supplementary Note 1. NEON site representativeness vs. global upland ecosystems</w:t>
      </w:r>
    </w:p>
    <w:p w:rsidR="00000000" w:rsidDel="00000000" w:rsidP="00000000" w:rsidRDefault="00000000" w:rsidRPr="00000000" w14:paraId="00000003">
      <w:pPr>
        <w:jc w:val="both"/>
        <w:rPr/>
      </w:pPr>
      <w:r w:rsidDel="00000000" w:rsidR="00000000" w:rsidRPr="00000000">
        <w:rPr>
          <w:rtl w:val="0"/>
        </w:rPr>
        <w:t xml:space="preserve">To evaluate how well the NEON CH</w:t>
      </w:r>
      <w:r w:rsidDel="00000000" w:rsidR="00000000" w:rsidRPr="00000000">
        <w:rPr>
          <w:vertAlign w:val="subscript"/>
          <w:rtl w:val="0"/>
        </w:rPr>
        <w:t xml:space="preserve">4</w:t>
      </w:r>
      <w:r w:rsidDel="00000000" w:rsidR="00000000" w:rsidRPr="00000000">
        <w:rPr>
          <w:rtl w:val="0"/>
        </w:rPr>
        <w:t xml:space="preserve"> flux-gradient network represents the range of</w:t>
      </w:r>
    </w:p>
    <w:p w:rsidR="00000000" w:rsidDel="00000000" w:rsidP="00000000" w:rsidRDefault="00000000" w:rsidRPr="00000000" w14:paraId="00000004">
      <w:pPr>
        <w:jc w:val="both"/>
        <w:rPr/>
      </w:pPr>
      <w:r w:rsidDel="00000000" w:rsidR="00000000" w:rsidRPr="00000000">
        <w:rPr>
          <w:rtl w:val="0"/>
        </w:rPr>
        <w:t xml:space="preserve">environmental conditions of uplands globally, we computed an Area of Applicability (AOA) and a Dissimilarity Index (DI) following Meyer &amp; Pebesma (2021)</w:t>
      </w:r>
      <w:hyperlink r:id="rId6">
        <w:r w:rsidDel="00000000" w:rsidR="00000000" w:rsidRPr="00000000">
          <w:rPr>
            <w:color w:val="1155cc"/>
            <w:vertAlign w:val="superscript"/>
            <w:rtl w:val="0"/>
          </w:rPr>
          <w:t xml:space="preserve">132</w:t>
        </w:r>
      </w:hyperlink>
      <w:r w:rsidDel="00000000" w:rsidR="00000000" w:rsidRPr="00000000">
        <w:rPr>
          <w:rtl w:val="0"/>
        </w:rPr>
        <w:t xml:space="preserve">. The AOA is the environmental space (i.e., the conditions) within which a predictive model can reliably make predictions. This analysis identifies the exact conditions under which a model has enough training data to understand patterns. We used Euclidean distance in the predictor space, standardized to the NEON training data and weighted by each predictor's combined variable importance (source-probability + magnitude model). We calculated the DI within each ecosystem type using Tukey’s outlier rule,  flagging mild outliers past 1.5 times the interquartile range as outside the AOA.</w:t>
      </w:r>
    </w:p>
    <w:p w:rsidR="00000000" w:rsidDel="00000000" w:rsidP="00000000" w:rsidRDefault="00000000" w:rsidRPr="00000000" w14:paraId="00000005">
      <w:pPr>
        <w:jc w:val="both"/>
        <w:rPr/>
      </w:pPr>
      <w:r w:rsidDel="00000000" w:rsidR="00000000" w:rsidRPr="00000000">
        <w:rPr>
          <w:rtl w:val="0"/>
        </w:rPr>
        <w:t xml:space="preserve">Global multivariate representativeness was low for NEON sites. Of the 10466 Mha of global upland area (45304 grid cells, representative year 2025), 4.5% fell within the AOA of the NEON sites (1968 site-months across forest, grassland, shrubland, and arid ecosystems) and was therefore considered climatically well represented by the training data (Extended Data Fig. 1). The remaining 95.5% fell outside the AOA within an ecosystem type, and 0% had no NEON analog for that ecosystem type.</w:t>
      </w:r>
    </w:p>
    <w:p w:rsidR="00000000" w:rsidDel="00000000" w:rsidP="00000000" w:rsidRDefault="00000000" w:rsidRPr="00000000" w14:paraId="00000006">
      <w:pPr>
        <w:jc w:val="both"/>
        <w:rPr/>
      </w:pPr>
      <w:r w:rsidDel="00000000" w:rsidR="00000000" w:rsidRPr="00000000">
        <w:rPr>
          <w:rtl w:val="0"/>
        </w:rPr>
        <w:t xml:space="preserve">Representativeness varied by ecosystem type. Forest was best represented (8.7% of its</w:t>
      </w:r>
    </w:p>
    <w:p w:rsidR="00000000" w:rsidDel="00000000" w:rsidP="00000000" w:rsidRDefault="00000000" w:rsidRPr="00000000" w14:paraId="00000007">
      <w:pPr>
        <w:jc w:val="both"/>
        <w:rPr/>
      </w:pPr>
      <w:r w:rsidDel="00000000" w:rsidR="00000000" w:rsidRPr="00000000">
        <w:rPr>
          <w:rtl w:val="0"/>
        </w:rPr>
        <w:t xml:space="preserve">2164 Mha within the AOA, n = 28 NEON sites), while shrubland was least represented (2.0%</w:t>
      </w:r>
    </w:p>
    <w:p w:rsidR="00000000" w:rsidDel="00000000" w:rsidP="00000000" w:rsidRDefault="00000000" w:rsidRPr="00000000" w14:paraId="00000008">
      <w:pPr>
        <w:jc w:val="both"/>
        <w:rPr/>
      </w:pPr>
      <w:r w:rsidDel="00000000" w:rsidR="00000000" w:rsidRPr="00000000">
        <w:rPr>
          <w:rtl w:val="0"/>
        </w:rPr>
        <w:t xml:space="preserve">of its 484 Mha within the AOA, n = 3 NEON sites). Despite this multivariate representativeness gap, individual predictors showed much higher marginal coverage in isolation. Air temperature (°C), the highest-weighted continuous predictor (weight = 0.26), had 100% of the global upland area falling within NEON's univariate range. This gap between high univariate coverage and low multivariate representativeness was the reason a per-variable range check was not a substitute for the AOA analysis, and indicated that global upscaled predictions should be interpreted with the greatest caution in regions and combinations of conditions falling outside the AOA, even where any one driver individually resembled a NEON site.</w:t>
      </w:r>
    </w:p>
    <w:p w:rsidR="00000000" w:rsidDel="00000000" w:rsidP="00000000" w:rsidRDefault="00000000" w:rsidRPr="00000000" w14:paraId="00000009">
      <w:pPr>
        <w:pStyle w:val="Heading1"/>
        <w:keepNext w:val="0"/>
        <w:keepLines w:val="0"/>
        <w:spacing w:after="240" w:before="240" w:lineRule="auto"/>
        <w:rPr>
          <w:b w:val="1"/>
          <w:bCs w:val="1"/>
          <w:sz w:val="28"/>
          <w:szCs w:val="28"/>
        </w:rPr>
      </w:pPr>
      <w:bookmarkStart w:colFirst="0" w:colLast="0" w:name="_eufkk37xvnxq" w:id="2"/>
      <w:bookmarkEnd w:id="2"/>
      <w:r w:rsidDel="00000000" w:rsidR="00000000" w:rsidRPr="00000000">
        <w:rPr>
          <w:b w:val="1"/>
          <w:bCs w:val="1"/>
          <w:sz w:val="28"/>
          <w:szCs w:val="28"/>
          <w:rtl w:val="0"/>
        </w:rPr>
        <w:t xml:space="preserve">Supplementary Note 2. Justification of Flux-Gradient Methodology and Gap-Fill Approach</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yr32d3240huv" w:id="3"/>
      <w:bookmarkEnd w:id="3"/>
      <w:r w:rsidDel="00000000" w:rsidR="00000000" w:rsidRPr="00000000">
        <w:rPr>
          <w:b w:val="1"/>
          <w:bCs w:val="1"/>
          <w:color w:val="000000"/>
          <w:sz w:val="26"/>
          <w:szCs w:val="26"/>
          <w:rtl w:val="0"/>
        </w:rPr>
        <w:t xml:space="preserve">Flux-Gradient Methodology: Within-canopy CH₄ storage and lateral mixing</w:t>
      </w:r>
    </w:p>
    <w:p w:rsidR="00000000" w:rsidDel="00000000" w:rsidP="00000000" w:rsidRDefault="00000000" w:rsidRPr="00000000" w14:paraId="0000000B">
      <w:pPr>
        <w:spacing w:after="240" w:before="240" w:lineRule="auto"/>
        <w:rPr/>
      </w:pPr>
      <w:r w:rsidDel="00000000" w:rsidR="00000000" w:rsidRPr="00000000">
        <w:rPr>
          <w:rtl w:val="0"/>
        </w:rPr>
        <w:t xml:space="preserve">The gradient-flux (GF) method derives the net surface-atmosphere CH₄ exchange from the vertical concentration gradient between two measurement heights. A common concern for forest deployments is that within-canopy accumulation (the "storage term") may inflate apparent surface fluxes and that lateral transport from nearby wet microsites may introduce a systematic positive bias unrelated to true soil-atmosphere exchange. We quantified the storage term for each NEON site as the change in column-integrated CH₄ between consecutive 30-minute intervals</w:t>
      </w:r>
      <w:hyperlink r:id="rId7">
        <w:r w:rsidDel="00000000" w:rsidR="00000000" w:rsidRPr="00000000">
          <w:rPr>
            <w:color w:val="1155cc"/>
            <w:vertAlign w:val="superscript"/>
            <w:rtl w:val="0"/>
          </w:rPr>
          <w:t xml:space="preserve">133</w:t>
        </w:r>
      </w:hyperlink>
      <w:r w:rsidDel="00000000" w:rsidR="00000000" w:rsidRPr="00000000">
        <w:rPr>
          <w:rtl w:val="0"/>
        </w:rPr>
        <w:t xml:space="preserve">. The storage fraction, defined as the absolute storage term divided by the absolute total flux, was consistently small: the network median was 1.4%, and the maximum across all sites was 15.7% (UNDE; mixed temperate forest). The relationship between storage fraction and canopy height was weak and did not reach conventional significance (R² = 0.08, p = 0.053; Extended Data Fig. 2A), providing little support for the expectation that tall-canopy forest sites can experience disproportionate storage bias. Even WREF (53 m canopy) had a storage fraction of only 0.5%.</w:t>
      </w:r>
    </w:p>
    <w:p w:rsidR="00000000" w:rsidDel="00000000" w:rsidP="00000000" w:rsidRDefault="00000000" w:rsidRPr="00000000" w14:paraId="0000000C">
      <w:pPr>
        <w:spacing w:after="240" w:before="240" w:lineRule="auto"/>
        <w:rPr/>
      </w:pPr>
      <w:r w:rsidDel="00000000" w:rsidR="00000000" w:rsidRPr="00000000">
        <w:rPr>
          <w:rtl w:val="0"/>
        </w:rPr>
        <w:t xml:space="preserve">To directly test whether including the storage correction altered ecosystem-level conclusions, we compared site-mean total flux (gradient + storage) with site-mean gradient-only flux across all sites. The two quantities were nearly identical (Pearson r &gt; 0.99; Extended Data Fig. 2B), and the annual source/sink exchange class remained unchanged across all sites, whether we added or removed the storage correction. These results indicate that within-canopy storage was a negligible contributor to network-wide CH₄ budget conclusions at NEON tower sites.</w:t>
      </w:r>
    </w:p>
    <w:p w:rsidR="00000000" w:rsidDel="00000000" w:rsidP="00000000" w:rsidRDefault="00000000" w:rsidRPr="00000000" w14:paraId="0000000D">
      <w:pPr>
        <w:spacing w:after="240" w:before="240" w:lineRule="auto"/>
        <w:rPr/>
      </w:pPr>
      <w:r w:rsidDel="00000000" w:rsidR="00000000" w:rsidRPr="00000000">
        <w:rPr>
          <w:rtl w:val="0"/>
        </w:rPr>
        <w:t xml:space="preserve">Regarding lateral inputs from wet microhabitats: NEON tower placement followed standardized criteria designed to capture the dominant ecosystem, with tower footprints extending hundreds of meters. If persistent lateral CH₄ inputs from riparian zones or wet depressions were inflating the GF signal, we would expect total flux to systematically exceed gradient flux, a pattern not observed in the data (Extended Data Fig. 2B). The high correlation between total and gradient flux (r &gt; 0.99) confirms that lateral inputs at any site do not dominate the GF gradient.</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wqeyed4hpx85" w:id="4"/>
      <w:bookmarkEnd w:id="4"/>
      <w:r w:rsidDel="00000000" w:rsidR="00000000" w:rsidRPr="00000000">
        <w:rPr>
          <w:b w:val="1"/>
          <w:bCs w:val="1"/>
          <w:color w:val="000000"/>
          <w:sz w:val="26"/>
          <w:szCs w:val="26"/>
          <w:rtl w:val="0"/>
        </w:rPr>
        <w:t xml:space="preserve">ERA5- RF gap-fill: variance compression and annual bias</w:t>
      </w:r>
    </w:p>
    <w:p w:rsidR="00000000" w:rsidDel="00000000" w:rsidP="00000000" w:rsidRDefault="00000000" w:rsidRPr="00000000" w14:paraId="0000000F">
      <w:pPr>
        <w:spacing w:after="240" w:before="240" w:lineRule="auto"/>
        <w:rPr/>
      </w:pPr>
      <w:r w:rsidDel="00000000" w:rsidR="00000000" w:rsidRPr="00000000">
        <w:rPr>
          <w:rtl w:val="0"/>
        </w:rPr>
        <w:t xml:space="preserve">The ERA5-RF gap-fill models predict 30-minute CH₄ flux from covariates derived from the ERA5-Land reanalysis using random forest regression. We calculated annual flux budgets by summing the gap-filled daily fluxes within each site-year. We summarized site-level annual flux values as the mean annual budget across available years and reported them in g C m⁻² yr⁻¹. We then used these annual categories as the common grouping variable for all final visual summaries, including the 30-min, daily, annual, diel, and map figures. Across all site-date half-hour slots used in the daily product, 14.3% were observed directly, 73.4% were filled from site-month-hour means, 8.5% from site-season-hour means, 2.2% from site-biseason-hour means, 1.0% from site-annual-hour means, and 0.5% from site-annual-mean values (Extended Data Fig. 3)</w:t>
      </w:r>
    </w:p>
    <w:p w:rsidR="00000000" w:rsidDel="00000000" w:rsidP="00000000" w:rsidRDefault="00000000" w:rsidRPr="00000000" w14:paraId="00000010">
      <w:pPr>
        <w:spacing w:after="240" w:before="240" w:lineRule="auto"/>
        <w:rPr/>
      </w:pPr>
      <w:r w:rsidDel="00000000" w:rsidR="00000000" w:rsidRPr="00000000">
        <w:rPr>
          <w:rtl w:val="0"/>
        </w:rPr>
        <w:t xml:space="preserve">All ensemble regression methods are known to compress variance relative to observed values, the "regression-to-mean" effect. We explored whether the compression was symmetric or preferentially dampened extreme sink fluxes. We assessed the OOB predicted vs. observed quantiles for all 136,497 training half-hours (Extended Data Fig. 2C). The quantile-quantile plot revealed the characteristic S-shaped compression of ensemble regression: extreme sinks (p5: observed = -0.20 mg C m⁻² 30min⁻¹; predicted = -0.14 mg C m⁻² 30min⁻¹) and extreme sources (p95: observed = +0.25 mg C m⁻² 30min⁻¹; predicted = +0.17 mg C m⁻² 30min⁻¹) were both damped toward zero by similar proportions. The mean bias was +0.000225 mg C m⁻² 30min⁻¹, confirming that the compression was symmetric rather than direction-dependent. Overall OOB sign accuracy was 73.8%, consistent with the inherent unpredictability of individual 30-minute fluxes from meteorological predictors alone.</w:t>
      </w:r>
    </w:p>
    <w:p w:rsidR="00000000" w:rsidDel="00000000" w:rsidP="00000000" w:rsidRDefault="00000000" w:rsidRPr="00000000" w14:paraId="00000011">
      <w:pPr>
        <w:spacing w:after="240" w:before="240" w:lineRule="auto"/>
        <w:rPr/>
      </w:pPr>
      <w:r w:rsidDel="00000000" w:rsidR="00000000" w:rsidRPr="00000000">
        <w:rPr>
          <w:rFonts w:ascii="Arial Unicode MS" w:cs="Arial Unicode MS" w:eastAsia="Arial Unicode MS" w:hAnsi="Arial Unicode MS"/>
          <w:rtl w:val="0"/>
        </w:rPr>
        <w:t xml:space="preserve">Importantly, variance compression at the 30-minute scale did not translate into annual-scale bias. Over a full annual cycle (≈ 17,520 half-hours), the random errors associated with individual predictions canceled in expectation when integrated, because the RF residuals had a near-zero mean. To verify this, we performed a bootstrap sensitivity analysis by resampling the predictions with replacement to propagate prediction uncertainty into annual budgets. The annual source/sink sign was stable for 44 of 46 sites ( Extended Data Fig. 2D); only 2 sites had sign-uncertain annual budgets. This confirms that the annual net CH₄ exchange classifications and regional upscaling results were robust to gap-fill uncertainty.</w:t>
      </w:r>
    </w:p>
    <w:p w:rsidR="00000000" w:rsidDel="00000000" w:rsidP="00000000" w:rsidRDefault="00000000" w:rsidRPr="00000000" w14:paraId="00000012">
      <w:pPr>
        <w:spacing w:after="240" w:before="240" w:lineRule="auto"/>
        <w:rPr/>
      </w:pPr>
      <w:r w:rsidDel="00000000" w:rsidR="00000000" w:rsidRPr="00000000">
        <w:rPr>
          <w:rtl w:val="0"/>
        </w:rPr>
        <w:t xml:space="preserve">We cross-validated by comparing annually scaled fluxes at each site with the ERA5-derived budget, using two fully independent gap-filling strategies applied to the same NEON observations (Extended Data Fig. 4). If they agree, it would support the conclusion that the annual CH₄ budget estimate was robust to methodological choices. Sites farther from the line where the two approaches yield contradictory conclusions about whether the ecosystem was a net CH₄ source or sink would warrant the greatest interpretive caution. The methods showed strong agreement with a Spearman's ρ of 0.76 and an RMSE of 0.38 g C m⁻² yr⁻¹. Sign agreement was maintained at 40 out of 46 sites.</w:t>
      </w:r>
    </w:p>
    <w:p w:rsidR="00000000" w:rsidDel="00000000" w:rsidP="00000000" w:rsidRDefault="00000000" w:rsidRPr="00000000" w14:paraId="00000013">
      <w:pPr>
        <w:pStyle w:val="Heading1"/>
        <w:keepNext w:val="0"/>
        <w:keepLines w:val="0"/>
        <w:spacing w:after="240" w:before="240" w:lineRule="auto"/>
        <w:rPr>
          <w:b w:val="1"/>
          <w:bCs w:val="1"/>
          <w:sz w:val="28"/>
          <w:szCs w:val="28"/>
        </w:rPr>
      </w:pPr>
      <w:bookmarkStart w:colFirst="0" w:colLast="0" w:name="_edmviotvh1az" w:id="5"/>
      <w:bookmarkEnd w:id="5"/>
      <w:r w:rsidDel="00000000" w:rsidR="00000000" w:rsidRPr="00000000">
        <w:rPr>
          <w:b w:val="1"/>
          <w:bCs w:val="1"/>
          <w:sz w:val="28"/>
          <w:szCs w:val="28"/>
          <w:rtl w:val="0"/>
        </w:rPr>
        <w:t xml:space="preserve">Supplementary Note 3. Validation of Flux-Gradient CH₄ Estimates Against Eddy Covariance</w:t>
      </w:r>
    </w:p>
    <w:p w:rsidR="00000000" w:rsidDel="00000000" w:rsidP="00000000" w:rsidRDefault="00000000" w:rsidRPr="00000000" w14:paraId="00000014">
      <w:pPr>
        <w:jc w:val="both"/>
        <w:rPr/>
      </w:pPr>
      <w:r w:rsidDel="00000000" w:rsidR="00000000" w:rsidRPr="00000000">
        <w:rPr>
          <w:rtl w:val="0"/>
        </w:rPr>
        <w:t xml:space="preserve">We explored a comparison of GF CH₄ estimates with EC measurements at three validation towers spanning a range of ecosystem types and canopy structures (Extended Data Fig. 5). The goal was to characterize the conditions under which GF estimates were reliable at validation towers, to assess performance related to measurement configuration and canopy height, and to draw implications for the quality of GF estimates. However, sites were not designed for the GF assessment. Three flux towers with co-located EC and multi-level CH₄ concentration measurements were used for validation: SE-Sto, a subarctic peat mire in northern Sweden experiencing rapid permafrost degradation; SE-Svb, a boreal mixed coniferous forest in northern Sweden equipped with a 150-m tall tower capable of landscape-scale EC measurements; and US-Uaf, a boreal black spruce forest on discontinuous permafrost in interior Alaska. These sites spanned the canopy structures represented in the NEON CH₄ flux-gradient dataset, from open mires to tall closed-canopy forests (Extended Data Table 1, Extended Data Fig. 5). However, measurement heights varied widely.</w:t>
      </w:r>
    </w:p>
    <w:p w:rsidR="00000000" w:rsidDel="00000000" w:rsidP="00000000" w:rsidRDefault="00000000" w:rsidRPr="00000000" w14:paraId="00000015">
      <w:pPr>
        <w:rPr>
          <w:sz w:val="18"/>
          <w:szCs w:val="18"/>
        </w:rPr>
      </w:pPr>
      <w:r w:rsidDel="00000000" w:rsidR="00000000" w:rsidRPr="00000000">
        <w:rPr>
          <w:sz w:val="18"/>
          <w:szCs w:val="18"/>
          <w:rtl w:val="0"/>
        </w:rPr>
        <w:t xml:space="preserve"> </w:t>
      </w:r>
    </w:p>
    <w:p w:rsidR="00000000" w:rsidDel="00000000" w:rsidP="00000000" w:rsidRDefault="00000000" w:rsidRPr="00000000" w14:paraId="00000016">
      <w:pPr>
        <w:rPr/>
      </w:pPr>
      <w:r w:rsidDel="00000000" w:rsidR="00000000" w:rsidRPr="00000000">
        <w:rPr>
          <w:rtl w:val="0"/>
        </w:rPr>
        <w:t xml:space="preserve">The three sites differ substantially in both infrastructure and the number of CH₄ measurement levels available for flux-gradient analysis. SE-Sto had 5 sensor levels (0.43-3.0 m), all contributing usable CH₄ data, spanning from within to above the low peat vegetation. SE-Svb had 16 atmospheric sampling levels (1-150 m), but CH₄ concentration measurements with sufficient temporal coverage were only available at 2 heights—35 m and 85 m—both above the canopy (h</w:t>
      </w:r>
      <w:r w:rsidDel="00000000" w:rsidR="00000000" w:rsidRPr="00000000">
        <w:rPr>
          <w:vertAlign w:val="subscript"/>
          <w:rtl w:val="0"/>
        </w:rPr>
        <w:t xml:space="preserve">c</w:t>
      </w:r>
      <w:r w:rsidDel="00000000" w:rsidR="00000000" w:rsidRPr="00000000">
        <w:rPr>
          <w:rtl w:val="0"/>
        </w:rPr>
        <w:t xml:space="preserve"> = 23.5 m). This is a critical distinction: the tall tower infrastructure at SE-Svb was designed primarily for atmospheric concentration measurements rather than gradient flux estimates. For that reason, CH₄ sensors were deployed only at distinct tower levels to measure atmospheric background concentration. As a result, the only available flux-gradient pair (13_8; 85/35 m) is in an above-above (AA) configuration, which is theoretically sub-optimal for forests</w:t>
      </w:r>
      <w:hyperlink r:id="rId8">
        <w:r w:rsidDel="00000000" w:rsidR="00000000" w:rsidRPr="00000000">
          <w:rPr>
            <w:vertAlign w:val="superscript"/>
            <w:rtl w:val="0"/>
          </w:rPr>
          <w:t xml:space="preserve">60</w:t>
        </w:r>
      </w:hyperlink>
      <w:r w:rsidDel="00000000" w:rsidR="00000000" w:rsidRPr="00000000">
        <w:rPr>
          <w:rtl w:val="0"/>
        </w:rPr>
        <w:t xml:space="preserve">. US-Uaf has 4 sensor levels (1, 2, 4, 8 m), of which 3 contribute usable CH₄ flux-gradient pairs, spanning from within to above the black spruce canopy.</w:t>
      </w:r>
    </w:p>
    <w:p w:rsidR="00000000" w:rsidDel="00000000" w:rsidP="00000000" w:rsidRDefault="00000000" w:rsidRPr="00000000" w14:paraId="00000017">
      <w:pPr>
        <w:rPr/>
      </w:pP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t xml:space="preserve">Before applying the concordance-based reliable sampling height pair (RSHP) filter, we restricted candidate height pairs to those consistent with optimal configurations derived from network-wide empirical analysis</w:t>
      </w:r>
      <w:hyperlink r:id="rId9">
        <w:r w:rsidDel="00000000" w:rsidR="00000000" w:rsidRPr="00000000">
          <w:rPr>
            <w:vertAlign w:val="superscript"/>
            <w:rtl w:val="0"/>
          </w:rPr>
          <w:t xml:space="preserve">60</w:t>
        </w:r>
      </w:hyperlink>
      <w:r w:rsidDel="00000000" w:rsidR="00000000" w:rsidRPr="00000000">
        <w:rPr>
          <w:rtl w:val="0"/>
        </w:rPr>
        <w:t xml:space="preserve">. For short canopies (h</w:t>
      </w:r>
      <w:r w:rsidDel="00000000" w:rsidR="00000000" w:rsidRPr="00000000">
        <w:rPr>
          <w:vertAlign w:val="subscript"/>
          <w:rtl w:val="0"/>
        </w:rPr>
        <w:t xml:space="preserve">c</w:t>
      </w:r>
      <w:r w:rsidDel="00000000" w:rsidR="00000000" w:rsidRPr="00000000">
        <w:rPr>
          <w:rFonts w:ascii="Arial Unicode MS" w:cs="Arial Unicode MS" w:eastAsia="Arial Unicode MS" w:hAnsi="Arial Unicode MS"/>
          <w:rtl w:val="0"/>
        </w:rPr>
        <w:t xml:space="preserve"> ≤ 5 m), the lower sensor should be near the canopy top (±2 m) and the upper sensor 5-10 m higher, capturing the constant-flux layer gradient. For tall canopies (h</w:t>
      </w:r>
      <w:r w:rsidDel="00000000" w:rsidR="00000000" w:rsidRPr="00000000">
        <w:rPr>
          <w:vertAlign w:val="subscript"/>
          <w:rtl w:val="0"/>
        </w:rPr>
        <w:t xml:space="preserve">c</w:t>
      </w:r>
      <w:r w:rsidDel="00000000" w:rsidR="00000000" w:rsidRPr="00000000">
        <w:rPr>
          <w:rFonts w:ascii="Arial Unicode MS" w:cs="Arial Unicode MS" w:eastAsia="Arial Unicode MS" w:hAnsi="Arial Unicode MS"/>
          <w:rtl w:val="0"/>
        </w:rPr>
        <w:t xml:space="preserve"> ≥ 15 m), an above-within (AW) configuration with the lower sensor in the trunk space and the upper sensor 10-15 m above the canopy yields the strongest concordance. At SE-Sto, the canopy-structure criterion retained all AW and AA pairs, since the tower height prevents meeting the 5-10 m separation requirement. At SE-Svb, the only pair with CH₄ data (13_8; 85/35 m; both above-canopy) was retained despite not meeting the ideal AW criterion—no within-canopy concentration measurements existed. At US-Uaf, the filter restricted candidates to pairs with level 4 (8 m) as the upper sensor, yielding separations of 4- 7 m.</w:t>
      </w:r>
    </w:p>
    <w:p w:rsidR="00000000" w:rsidDel="00000000" w:rsidP="00000000" w:rsidRDefault="00000000" w:rsidRPr="00000000" w14:paraId="00000019">
      <w:pPr>
        <w:pStyle w:val="Heading1"/>
        <w:keepNext w:val="0"/>
        <w:keepLines w:val="0"/>
        <w:spacing w:after="0" w:before="0" w:lineRule="auto"/>
        <w:rPr>
          <w:b w:val="1"/>
          <w:bCs w:val="1"/>
          <w:sz w:val="28"/>
          <w:szCs w:val="28"/>
        </w:rPr>
      </w:pPr>
      <w:bookmarkStart w:colFirst="0" w:colLast="0" w:name="_4kgnjlui4m6s" w:id="6"/>
      <w:bookmarkEnd w:id="6"/>
      <w:r w:rsidDel="00000000" w:rsidR="00000000" w:rsidRPr="00000000">
        <w:rPr>
          <w:b w:val="1"/>
          <w:bCs w:val="1"/>
          <w:sz w:val="28"/>
          <w:szCs w:val="28"/>
          <w:rtl w:val="0"/>
        </w:rPr>
        <w:t xml:space="preserve"> </w:t>
      </w:r>
    </w:p>
    <w:p w:rsidR="00000000" w:rsidDel="00000000" w:rsidP="00000000" w:rsidRDefault="00000000" w:rsidRPr="00000000" w14:paraId="0000001A">
      <w:pPr>
        <w:spacing w:after="160" w:lineRule="auto"/>
        <w:rPr>
          <w:b w:val="1"/>
          <w:bCs w:val="1"/>
          <w:i w:val="1"/>
          <w:iCs w:val="1"/>
          <w:color w:val="555555"/>
          <w:sz w:val="20"/>
          <w:szCs w:val="20"/>
        </w:rPr>
      </w:pPr>
      <w:r w:rsidDel="00000000" w:rsidR="00000000" w:rsidRPr="00000000">
        <w:rPr>
          <w:rFonts w:ascii="Arial Unicode MS" w:cs="Arial Unicode MS" w:eastAsia="Arial Unicode MS" w:hAnsi="Arial Unicode MS"/>
          <w:rtl w:val="0"/>
        </w:rPr>
        <w:t xml:space="preserve">Within the canopy-structure-approved set, we selected height pairs using a three-tier CCC criterion applied per site × approach × season (Extended Data Fig. 6): Tier 1 (standard), CCC &gt; 0.1, used when available. Tier 2 (best_avail): 0 &lt; CCC ≤ 0.1. Used only when no Tier-1 pair exists in that season. Tier 3 (unreliable): highest CCC even if ≤ 0. Flagged; estimates should be interpreted with caution. SE-Sto achieves Tier-1 in every season for the AE approach, and in the two seasons with WP data (Spring, Summer), it also reaches Tier-1 (CCC 0.11-0.33; Summer peak). SE-Svb reaches only Tier-3 in three seasons (CCC &lt; 0) and Tier-2 in Summer (CCC = 0.003). US-Uaf achieves Tier-1 in Summer (AE CCC = 0.22, WP CCC = 0.13) and Tier-2 in Spring and Autumn (Extended Data Table 2).</w:t>
      </w:r>
      <w:r w:rsidDel="00000000" w:rsidR="00000000" w:rsidRPr="00000000">
        <w:rPr>
          <w:rtl w:val="0"/>
        </w:rPr>
      </w:r>
    </w:p>
    <w:p w:rsidR="00000000" w:rsidDel="00000000" w:rsidP="00000000" w:rsidRDefault="00000000" w:rsidRPr="00000000" w14:paraId="0000001B">
      <w:pPr>
        <w:pStyle w:val="Heading3"/>
        <w:keepNext w:val="0"/>
        <w:keepLines w:val="0"/>
        <w:spacing w:after="0" w:before="0" w:lineRule="auto"/>
        <w:rPr>
          <w:b w:val="1"/>
          <w:bCs w:val="1"/>
          <w:color w:val="000000"/>
          <w:sz w:val="26"/>
          <w:szCs w:val="26"/>
        </w:rPr>
      </w:pPr>
      <w:bookmarkStart w:colFirst="0" w:colLast="0" w:name="_l3bcvbbvtv3g" w:id="7"/>
      <w:bookmarkEnd w:id="7"/>
      <w:r w:rsidDel="00000000" w:rsidR="00000000" w:rsidRPr="00000000">
        <w:rPr>
          <w:b w:val="1"/>
          <w:bCs w:val="1"/>
          <w:color w:val="000000"/>
          <w:sz w:val="26"/>
          <w:szCs w:val="26"/>
          <w:rtl w:val="0"/>
        </w:rPr>
        <w:t xml:space="preserve">Gradient-flux vs Eddy Covariance Performance</w:t>
      </w:r>
    </w:p>
    <w:p w:rsidR="00000000" w:rsidDel="00000000" w:rsidP="00000000" w:rsidRDefault="00000000" w:rsidRPr="00000000" w14:paraId="0000001C">
      <w:pPr>
        <w:rPr/>
      </w:pPr>
      <w:r w:rsidDel="00000000" w:rsidR="00000000" w:rsidRPr="00000000">
        <w:rPr>
          <w:rtl w:val="0"/>
        </w:rPr>
        <w:t xml:space="preserve"> </w:t>
      </w:r>
    </w:p>
    <w:p w:rsidR="00000000" w:rsidDel="00000000" w:rsidP="00000000" w:rsidRDefault="00000000" w:rsidRPr="00000000" w14:paraId="0000001D">
      <w:pPr>
        <w:spacing w:after="160" w:lineRule="auto"/>
        <w:rPr>
          <w:b w:val="1"/>
          <w:bCs w:val="1"/>
          <w:sz w:val="28"/>
          <w:szCs w:val="28"/>
        </w:rPr>
      </w:pPr>
      <w:r w:rsidDel="00000000" w:rsidR="00000000" w:rsidRPr="00000000">
        <w:rPr>
          <w:rtl w:val="0"/>
        </w:rPr>
        <w:t xml:space="preserve">We paired GF and EC fluxes at each 30-min timestamp where both were available (Extended Data Table 3; Extended Data Fig. 7). SE-Sto had 38,874 matched pairs (r = 0.385, r² = 0.148, slope = 1.28). SE-Svb had only 2,742 pairs with near-zero correlation (r = -0.005, slope = -0.025), confirming that the above-canopy pair did not capture the landscape CH₄ gradient measured by the 85-m EC system. US-Uaf had 6,521 pairs (r = 0.228, r² = 0.052, slope = 0.52). Concordance was strongly seasonal at all sites. At SE-Sto, Summer showed the best agreement (r = 0.490, GF/EC = 1.25); Winter and Spring showed the largest overestimates (GF/EC = 2.23 and 2.43). These high cold-season ratios likely reflect weak gradients during low-emission periods, which were amplified by limited sensor separation. At SE-Svb, no season showed a meaningful positive correlation. At US-Uaf, Summer was best (r = 0.288, GF/EC = 2.83); Autumn showed a near-unity mean ratio (GF/EC = 0.99); Spring was slightly below unity (GF/EC = 0.45). No Winter data were available at US-Uaf. Scaled-annual CH₄ budgets were: SE-Sto GF = 16.0, EC = 10.4 mgC m⁻² yr⁻¹ (ratio 1.54); SE-Svb GF = 4,929, EC = 850 mgC m⁻² yr⁻¹ (ratio 5.80); US-Uaf GF = 4,810, EC = 2,748 mgC m⁻² yr⁻¹ (ratio 1.75).</w:t>
      </w:r>
      <w:r w:rsidDel="00000000" w:rsidR="00000000" w:rsidRPr="00000000">
        <w:rPr>
          <w:b w:val="1"/>
          <w:bCs w:val="1"/>
          <w:sz w:val="28"/>
          <w:szCs w:val="28"/>
          <w:rtl w:val="0"/>
        </w:rPr>
        <w:t xml:space="preserve"> </w:t>
      </w:r>
    </w:p>
    <w:p w:rsidR="00000000" w:rsidDel="00000000" w:rsidP="00000000" w:rsidRDefault="00000000" w:rsidRPr="00000000" w14:paraId="0000001E">
      <w:pPr>
        <w:spacing w:after="160" w:lineRule="auto"/>
        <w:rPr/>
      </w:pPr>
      <w:r w:rsidDel="00000000" w:rsidR="00000000" w:rsidRPr="00000000">
        <w:rPr>
          <w:rtl w:val="0"/>
        </w:rPr>
        <w:t xml:space="preserve">SE-Sto showed the strongest and most consistent concordance (Extended Data Fig. 8). The AW configuration, where sensors span the peat surface and overlying boundary layer, effectively captured the CH₄ source gradient. The systematic ~1.5× GF overestimate was consistent with diffusivity parameterization errors common under the stable stratification prevalent at subarctic mires. Performance was weakest in Winter and Spring when emission-driven concentration gradients were weak relative to instrument noise. The 3 m tower height remained the primary hardware constraint: all available pairs were within 2.6 m of each other, and a taller tower would substantially improve performance in Winter and Spring. Despite this, SE-Sto provided the strongest evidence that GF can track temporal CH₄ dynamics at the ecosystem scale.</w:t>
      </w:r>
    </w:p>
    <w:p w:rsidR="00000000" w:rsidDel="00000000" w:rsidP="00000000" w:rsidRDefault="00000000" w:rsidRPr="00000000" w14:paraId="0000001F">
      <w:pPr>
        <w:spacing w:after="160" w:lineRule="auto"/>
        <w:rPr/>
      </w:pPr>
      <w:r w:rsidDel="00000000" w:rsidR="00000000" w:rsidRPr="00000000">
        <w:rPr>
          <w:rtl w:val="0"/>
        </w:rPr>
        <w:t xml:space="preserve">SE-Svb illustrates the consequence of inadequate measurement coverage rather than a fundamental limitation of the GF method in forests. With only 2 of its 16 atmospheric levels having CH₄ concentration data and both above the 23.5 m canopy, the only available pair (13_8; 85/35 m) was in an above-above (AA) configuration. Both sensors sampled the well-mixed column above the canopy, where the CH₄ gradient driven by surface sources had been dissipated, rather than the steeper gradient within and just above the canopy. Consequently, CCC was near zero or negative across all seasons, and GF overestimated the landscape EC flux by a factor of 5.8 overall (19× in Winter). Critically, this poor performance was a consequence of data availability—the absence of within-canopy CH₄ concentration measurements—not an inherent limitation of the GF method in forests. Had CH₄ sensors been deployed at levels 2-3 (4-10 m; within the trunk space) alongside the existing 35 m level, an AW pair would have been available, and the method would be expected to perform substantially better. SE-Svb was retained in the validation dataset to show what happens when measurement-height placement does not meet the method's requirements, not as evidence that GF fails in forested ecosystems generally.</w:t>
      </w:r>
    </w:p>
    <w:p w:rsidR="00000000" w:rsidDel="00000000" w:rsidP="00000000" w:rsidRDefault="00000000" w:rsidRPr="00000000" w14:paraId="00000020">
      <w:pPr>
        <w:spacing w:after="160" w:lineRule="auto"/>
        <w:rPr/>
      </w:pPr>
      <w:r w:rsidDel="00000000" w:rsidR="00000000" w:rsidRPr="00000000">
        <w:rPr>
          <w:rtl w:val="0"/>
        </w:rPr>
        <w:t xml:space="preserve">US-Uaf showed intermediate, strongly seasonal performance. After the canopy-structure filter, pairs in which level 4 (8 m) was the upper sensor were retained, yielding 4-7 m separations across the 5 m canopy. Summer performance was best (r = 0.288, Tier-1 CCC up to 0.22), corresponding to peak permafrost CH₄ emissions and the strongest gradients. Spring and Autumn fell to Tier-2 (CCC &lt; 0.1). The 1.75× annual overestimate and low 30-min slope (0.52) suggest that, while GF captures temporal variability, it overestimated absolute flux magnitude, possibly because the sensor separation was small relative to the mixed-source footprint of upland spruce and peatland hollows. The absence of Winter data reflects a logistical gap common to sites with frozen instrumentation periods.</w:t>
      </w:r>
    </w:p>
    <w:p w:rsidR="00000000" w:rsidDel="00000000" w:rsidP="00000000" w:rsidRDefault="00000000" w:rsidRPr="00000000" w14:paraId="00000021">
      <w:pPr>
        <w:pStyle w:val="Heading3"/>
        <w:keepNext w:val="0"/>
        <w:keepLines w:val="0"/>
        <w:spacing w:after="160" w:before="280" w:lineRule="auto"/>
        <w:rPr>
          <w:b w:val="1"/>
          <w:bCs w:val="1"/>
          <w:color w:val="000000"/>
          <w:sz w:val="26"/>
          <w:szCs w:val="26"/>
        </w:rPr>
      </w:pPr>
      <w:bookmarkStart w:colFirst="0" w:colLast="0" w:name="_zenccc3w368m" w:id="8"/>
      <w:bookmarkEnd w:id="8"/>
      <w:r w:rsidDel="00000000" w:rsidR="00000000" w:rsidRPr="00000000">
        <w:rPr>
          <w:b w:val="1"/>
          <w:bCs w:val="1"/>
          <w:color w:val="000000"/>
          <w:sz w:val="26"/>
          <w:szCs w:val="26"/>
          <w:rtl w:val="0"/>
        </w:rPr>
        <w:t xml:space="preserve">Implications for NEON Network Flux-Gradient Estimates</w:t>
      </w:r>
    </w:p>
    <w:p w:rsidR="00000000" w:rsidDel="00000000" w:rsidP="00000000" w:rsidRDefault="00000000" w:rsidRPr="00000000" w14:paraId="00000022">
      <w:pPr>
        <w:spacing w:after="160" w:lineRule="auto"/>
        <w:rPr/>
      </w:pPr>
      <w:r w:rsidDel="00000000" w:rsidR="00000000" w:rsidRPr="00000000">
        <w:rPr>
          <w:rtl w:val="0"/>
        </w:rPr>
        <w:t xml:space="preserve">The validation results indicate that GF reliability is controlled by three factors: (1) appropriate measurement configuration (AW pairs, or well-separated AA pairs); (2) adequate signal-to-noise in the CH₄ concentration gradient; and (3) seasonal emission dynamics. A key distinction between the validation towers and the NEON network is measurement density. All NEON sites were equipped with CH₄ concentration sensors at multiple heights, including within-canopy levels, ensuring that AW pairs were available at every site regardless of canopy height. This places NEON in a fundamentally more favorable position than SE-Svb, and makes the tiered RSHP filter the primary quality-control mechanism rather than data availability.</w:t>
      </w:r>
    </w:p>
    <w:p w:rsidR="00000000" w:rsidDel="00000000" w:rsidP="00000000" w:rsidRDefault="00000000" w:rsidRPr="00000000" w14:paraId="00000023">
      <w:pPr>
        <w:spacing w:after="160" w:lineRule="auto"/>
        <w:rPr/>
      </w:pPr>
      <w:r w:rsidDel="00000000" w:rsidR="00000000" w:rsidRPr="00000000">
        <w:rPr>
          <w:rtl w:val="0"/>
        </w:rPr>
        <w:t xml:space="preserve">NEON sites with canopy heights below ~5 m most closely match SE-Sto. These sites are expected to show moderate-to-good GF performance (r &gt; 0.35) when sensor separations span from within to above the canopy. Growing-season estimates should be considered reliable for tracking temporal patterns and relative variability, with an absolute uncertainty of approximately ±50% on annual budgets. The SE-Sto validation provides direct ecosystem-type support for the flux-gradient approach.</w:t>
      </w:r>
    </w:p>
    <w:p w:rsidR="00000000" w:rsidDel="00000000" w:rsidP="00000000" w:rsidRDefault="00000000" w:rsidRPr="00000000" w14:paraId="00000024">
      <w:pPr>
        <w:spacing w:after="160" w:lineRule="auto"/>
        <w:rPr/>
      </w:pPr>
      <w:r w:rsidDel="00000000" w:rsidR="00000000" w:rsidRPr="00000000">
        <w:rPr>
          <w:rtl w:val="0"/>
        </w:rPr>
        <w:t xml:space="preserve">Unlike SE-Svb, NEON forested sites are equipped with CH₄ concentration sensors at multiple heights, including levels within the canopy, so AW pairs were available at all forested NEON sites. The SE-Svb poor performance should therefore not be interpreted as evidence that GF is unreliable in forests in general; it reflects what happens when only above-canopy measurements were available far above the canopy height, a situation that does not apply to NEON. A GF calculated at such heights also operates on very different spatial scales across approaches. With AW pairs available and the RSHP filter selecting height pairs based on measured concordance, NEON forested sites are expected to perform comparably to the short-canopy case. The CCC-based RSHP tier will naturally be lower at sites where canopy structure or emission dynamics reduce gradient strength, and those estimates will be flagged accordingly. The primary residual uncertainty at NEON forested sites was the seasonal dependence of concordance observed at US-Uaf: Summer estimates were most reliable, and growing-season budgets should be used as the basis for annual extrapolation.</w:t>
      </w:r>
    </w:p>
    <w:p w:rsidR="00000000" w:rsidDel="00000000" w:rsidP="00000000" w:rsidRDefault="00000000" w:rsidRPr="00000000" w14:paraId="00000025">
      <w:pPr>
        <w:spacing w:after="160" w:lineRule="auto"/>
        <w:rPr/>
      </w:pPr>
      <w:r w:rsidDel="00000000" w:rsidR="00000000" w:rsidRPr="00000000">
        <w:rPr>
          <w:rtl w:val="0"/>
        </w:rPr>
        <w:t xml:space="preserve">Sites analogous to US-Uaf, short boreal or tundra vegetation with multi-level towers, were expected to show intermediate and seasonally variable performance. Summer GF estimates with RSHP Tier-1 or Tier-2 status should be considered moderately reliable. Report annual budgets with the observed ~1.75× bias range, or correct them using the EC-derived scaling factor where a co-located EC record is available.</w:t>
      </w:r>
    </w:p>
    <w:p w:rsidR="00000000" w:rsidDel="00000000" w:rsidP="00000000" w:rsidRDefault="00000000" w:rsidRPr="00000000" w14:paraId="00000026">
      <w:pPr>
        <w:spacing w:after="160" w:lineRule="auto"/>
        <w:rPr/>
      </w:pPr>
      <w:r w:rsidDel="00000000" w:rsidR="00000000" w:rsidRPr="00000000">
        <w:rPr>
          <w:rtl w:val="0"/>
        </w:rPr>
        <w:t xml:space="preserve">The validation supports using RSHP-filtered GF estimates as proxies for ecosystem CH₄ exchange across the full range of NEON sites. The critical determinant of reliability is whether RSHP-selected pairs achieved Tier-1 or Tier-2 CCC status, not canopy height per se—because all NEON sites have within-canopy CH₄ measurements enabling AW pairs. SE-Svb yields the worst-case outcome when AW pairs are unavailable; it sets a ceiling on potential error rather than reflecting the typical expectation for forested sites. The RSHP tier classification provided a transparent, site- and season-specific quality flag that downstream users can apply to select estimates appropriate for their analysis objectives.</w:t>
      </w:r>
    </w:p>
    <w:p w:rsidR="00000000" w:rsidDel="00000000" w:rsidP="00000000" w:rsidRDefault="00000000" w:rsidRPr="00000000" w14:paraId="00000027">
      <w:pPr>
        <w:pStyle w:val="Heading1"/>
        <w:keepNext w:val="0"/>
        <w:keepLines w:val="0"/>
        <w:spacing w:after="240" w:before="240" w:lineRule="auto"/>
        <w:rPr>
          <w:b w:val="1"/>
          <w:bCs w:val="1"/>
          <w:sz w:val="28"/>
          <w:szCs w:val="28"/>
        </w:rPr>
      </w:pPr>
      <w:bookmarkStart w:colFirst="0" w:colLast="0" w:name="_nnudndx1eqju" w:id="9"/>
      <w:bookmarkEnd w:id="9"/>
      <w:r w:rsidDel="00000000" w:rsidR="00000000" w:rsidRPr="00000000">
        <w:rPr>
          <w:b w:val="1"/>
          <w:bCs w:val="1"/>
          <w:sz w:val="28"/>
          <w:szCs w:val="28"/>
          <w:rtl w:val="0"/>
        </w:rPr>
        <w:t xml:space="preserve">Supplementary Note 4. Methodological uncertainty in ecosystem-scale methane flux measurements</w:t>
      </w:r>
    </w:p>
    <w:p w:rsidR="00000000" w:rsidDel="00000000" w:rsidP="00000000" w:rsidRDefault="00000000" w:rsidRPr="00000000" w14:paraId="00000028">
      <w:pPr>
        <w:spacing w:after="240" w:before="240" w:lineRule="auto"/>
        <w:rPr/>
      </w:pPr>
      <w:r w:rsidDel="00000000" w:rsidR="00000000" w:rsidRPr="00000000">
        <w:rPr>
          <w:rtl w:val="0"/>
        </w:rPr>
        <w:t xml:space="preserve">It is important to understand the potential for discrepancies between ecosystem-scale observations. Specifically, we need to know if the eddy covariance (EC) or gradient-flux (GF) methods introduce systematic measurement biases. Like all observational approaches, ecosystem-scale methane flux measurements face methodological limitations. EC measurements of methane over upland ecosystems are particularly challenging because fluxes are often small and approach the instrumental detection limit, resulting in relatively large random uncertainties for individual averaging periods</w:t>
      </w:r>
      <w:hyperlink r:id="rId10">
        <w:r w:rsidDel="00000000" w:rsidR="00000000" w:rsidRPr="00000000">
          <w:rPr>
            <w:vertAlign w:val="superscript"/>
            <w:rtl w:val="0"/>
          </w:rPr>
          <w:t xml:space="preserve">135</w:t>
        </w:r>
      </w:hyperlink>
      <w:r w:rsidDel="00000000" w:rsidR="00000000" w:rsidRPr="00000000">
        <w:rPr>
          <w:rtl w:val="0"/>
        </w:rPr>
        <w:t xml:space="preserve">. Additional uncertainties arise from periods of weak turbulence, storage below the measurement height, horizontal advection, footprint heterogeneity, and gap-filling procedures, all of which can influence annual methane budgets</w:t>
      </w:r>
      <w:hyperlink r:id="rId11">
        <w:r w:rsidDel="00000000" w:rsidR="00000000" w:rsidRPr="00000000">
          <w:rPr>
            <w:vertAlign w:val="superscript"/>
            <w:rtl w:val="0"/>
          </w:rPr>
          <w:t xml:space="preserve">136</w:t>
        </w:r>
      </w:hyperlink>
      <w:r w:rsidDel="00000000" w:rsidR="00000000" w:rsidRPr="00000000">
        <w:rPr>
          <w:rtl w:val="0"/>
        </w:rPr>
        <w:t xml:space="preserve">. Similarly, GF approaches depend on accurate estimates of turbulent diffusivity and on resolving small vertical concentration gradients, thereby introducing additional uncertainty under stable atmospheric conditions</w:t>
      </w:r>
      <w:hyperlink r:id="rId12">
        <w:r w:rsidDel="00000000" w:rsidR="00000000" w:rsidRPr="00000000">
          <w:rPr>
            <w:vertAlign w:val="superscript"/>
            <w:rtl w:val="0"/>
          </w:rPr>
          <w:t xml:space="preserve">137</w:t>
        </w:r>
      </w:hyperlink>
      <w:r w:rsidDel="00000000" w:rsidR="00000000" w:rsidRPr="00000000">
        <w:rPr>
          <w:rtl w:val="0"/>
        </w:rPr>
        <w:t xml:space="preserve">.</w:t>
      </w:r>
    </w:p>
    <w:p w:rsidR="00000000" w:rsidDel="00000000" w:rsidP="00000000" w:rsidRDefault="00000000" w:rsidRPr="00000000" w14:paraId="00000029">
      <w:pPr>
        <w:spacing w:after="240" w:before="240" w:lineRule="auto"/>
        <w:rPr/>
      </w:pPr>
      <w:r w:rsidDel="00000000" w:rsidR="00000000" w:rsidRPr="00000000">
        <w:rPr>
          <w:rtl w:val="0"/>
        </w:rPr>
        <w:t xml:space="preserve">Importantly, these uncertainties primarily affect the precision of ecosystem-scale methane flux estimates rather than introducing a consistent directional bias toward methane uptake or methane emission. Comparisons between open-path and closed-path EC systems demonstrate that, after standard processing and frequency-response corrections, annual methane budgets agree within their estimated uncertainties despite differences in instrumentation and correction procedures</w:t>
      </w:r>
      <w:hyperlink r:id="rId13">
        <w:r w:rsidDel="00000000" w:rsidR="00000000" w:rsidRPr="00000000">
          <w:rPr>
            <w:vertAlign w:val="superscript"/>
            <w:rtl w:val="0"/>
          </w:rPr>
          <w:t xml:space="preserve">58</w:t>
        </w:r>
      </w:hyperlink>
      <w:r w:rsidDel="00000000" w:rsidR="00000000" w:rsidRPr="00000000">
        <w:rPr>
          <w:rtl w:val="0"/>
        </w:rPr>
        <w:t xml:space="preserve">. Likewise, most known EC biases—including reduced turbulence, storage effects, and high-frequency attenuation—tend to dampen measured flux magnitudes rather than systematically convert sinks into sources or vice versa</w:t>
      </w:r>
      <w:hyperlink r:id="rId14">
        <w:r w:rsidDel="00000000" w:rsidR="00000000" w:rsidRPr="00000000">
          <w:rPr>
            <w:vertAlign w:val="superscript"/>
            <w:rtl w:val="0"/>
          </w:rPr>
          <w:t xml:space="preserve">138</w:t>
        </w:r>
      </w:hyperlink>
      <w:r w:rsidDel="00000000" w:rsidR="00000000" w:rsidRPr="00000000">
        <w:rPr>
          <w:rtl w:val="0"/>
        </w:rPr>
        <w:t xml:space="preserve">. Consequently, while ecosystem-scale methane measurements should always be interpreted with appropriate uncertainty estimates, little evidence shows that methodological limitations alone can explain persistent discrepancies between chamber-derived soil methane uptake and ecosystem-scale observations. Existing evidence suggests that although ecosystem-scale methods are associated with well-characterized sources of uncertainty, these uncertainties primarily affect measurement precision rather than introducing consistent directional biases toward either uptake or emission</w:t>
      </w:r>
      <w:hyperlink r:id="rId15">
        <w:r w:rsidDel="00000000" w:rsidR="00000000" w:rsidRPr="00000000">
          <w:rPr>
            <w:vertAlign w:val="superscript"/>
            <w:rtl w:val="0"/>
          </w:rPr>
          <w:t xml:space="preserve">58,139,140</w:t>
        </w:r>
      </w:hyperlink>
      <w:r w:rsidDel="00000000" w:rsidR="00000000" w:rsidRPr="00000000">
        <w:rPr>
          <w:rtl w:val="0"/>
        </w:rPr>
        <w:t xml:space="preserve">.</w:t>
      </w:r>
    </w:p>
    <w:p w:rsidR="00000000" w:rsidDel="00000000" w:rsidP="00000000" w:rsidRDefault="00000000" w:rsidRPr="00000000" w14:paraId="0000002A">
      <w:pPr>
        <w:spacing w:after="240" w:before="240" w:lineRule="auto"/>
        <w:rPr/>
      </w:pPr>
      <w:r w:rsidDel="00000000" w:rsidR="00000000" w:rsidRPr="00000000">
        <w:rPr>
          <w:rtl w:val="0"/>
        </w:rPr>
        <w:t xml:space="preserve">Methane EC measurements are performed using either open-path or closed-path laser spectrometers</w:t>
      </w:r>
      <w:hyperlink r:id="rId16">
        <w:r w:rsidDel="00000000" w:rsidR="00000000" w:rsidRPr="00000000">
          <w:rPr>
            <w:vertAlign w:val="superscript"/>
            <w:rtl w:val="0"/>
          </w:rPr>
          <w:t xml:space="preserve">58,139,140</w:t>
        </w:r>
      </w:hyperlink>
      <w:r w:rsidDel="00000000" w:rsidR="00000000" w:rsidRPr="00000000">
        <w:rPr>
          <w:rtl w:val="0"/>
        </w:rPr>
        <w:t xml:space="preserve">. The two systems differ in instrumentation and post-processing requirements. Open-path analyzers are susceptible to air-density fluctuations, spectroscopic effects associated with humidity and temperature, precipitation, and flow distortion around the instrument. Closed-path analyzers largely eliminate density-related corrections but introduce tube attenuation, frequency losses, synchronization errors, and residence-time effects associated with air sampling through intake tubing. Despite these contrasting sources of uncertainty, direct intercomparisons consistently show that both approaches yield statistically similar methane fluxes after applying standard corrections</w:t>
      </w:r>
      <w:hyperlink r:id="rId17">
        <w:r w:rsidDel="00000000" w:rsidR="00000000" w:rsidRPr="00000000">
          <w:rPr>
            <w:vertAlign w:val="superscript"/>
            <w:rtl w:val="0"/>
          </w:rPr>
          <w:t xml:space="preserve">58,139</w:t>
        </w:r>
      </w:hyperlink>
      <w:r w:rsidDel="00000000" w:rsidR="00000000" w:rsidRPr="00000000">
        <w:rPr>
          <w:rtl w:val="0"/>
        </w:rPr>
        <w:t xml:space="preserve">. Rather than producing systematic differences in the sign of methane exchange, the main differences between systems stem from data availability, random uncertainty, and the magnitude of correction factors applied during processing.</w:t>
      </w:r>
    </w:p>
    <w:p w:rsidR="00000000" w:rsidDel="00000000" w:rsidP="00000000" w:rsidRDefault="00000000" w:rsidRPr="00000000" w14:paraId="0000002B">
      <w:pPr>
        <w:spacing w:after="240" w:before="240" w:lineRule="auto"/>
        <w:rPr/>
      </w:pPr>
      <w:r w:rsidDel="00000000" w:rsidR="00000000" w:rsidRPr="00000000">
        <w:rPr>
          <w:rtl w:val="0"/>
        </w:rPr>
        <w:t xml:space="preserve">Long-term comparisons further demonstrate that instrumentation accounts for only a relatively small fraction of the total uncertainty in ecosystem methane budgets. In a 3.5-year comparison of simultaneous open-path and closed-path EC measurements over a boreal wetland, Deventer et al. 2019 found that annual methane budgets differed by less than 0.6 g CH₄ m⁻² yr⁻¹ between analyzer types, with total annual uncertainty estimated at only 7- 17%</w:t>
      </w:r>
      <w:hyperlink r:id="rId18">
        <w:r w:rsidDel="00000000" w:rsidR="00000000" w:rsidRPr="00000000">
          <w:rPr>
            <w:vertAlign w:val="superscript"/>
            <w:rtl w:val="0"/>
          </w:rPr>
          <w:t xml:space="preserve">58</w:t>
        </w:r>
      </w:hyperlink>
      <w:r w:rsidDel="00000000" w:rsidR="00000000" w:rsidRPr="00000000">
        <w:rPr>
          <w:rtl w:val="0"/>
        </w:rPr>
        <w:t xml:space="preserve">. Importantly, the dominant sources of uncertainty were not instrument-related but instead arose from atmospheric turbulence, footprint heterogeneity, random sampling error, and gap filling. High-frequency attenuation corrections contributed negligibly to annual methane budgets, showing that modern EC systems do not measurably overstate either emissions or uptake.</w:t>
      </w:r>
    </w:p>
    <w:p w:rsidR="00000000" w:rsidDel="00000000" w:rsidP="00000000" w:rsidRDefault="00000000" w:rsidRPr="00000000" w14:paraId="0000002C">
      <w:pPr>
        <w:spacing w:after="240" w:before="240" w:lineRule="auto"/>
        <w:rPr/>
      </w:pPr>
      <w:r w:rsidDel="00000000" w:rsidR="00000000" w:rsidRPr="00000000">
        <w:rPr>
          <w:rtl w:val="0"/>
        </w:rPr>
        <w:t xml:space="preserve">The GF method relies on a different physical framework from EC, estimating CH</w:t>
      </w:r>
      <w:r w:rsidDel="00000000" w:rsidR="00000000" w:rsidRPr="00000000">
        <w:rPr>
          <w:vertAlign w:val="subscript"/>
          <w:rtl w:val="0"/>
        </w:rPr>
        <w:t xml:space="preserve">4</w:t>
      </w:r>
      <w:r w:rsidDel="00000000" w:rsidR="00000000" w:rsidRPr="00000000">
        <w:rPr>
          <w:rtl w:val="0"/>
        </w:rPr>
        <w:t xml:space="preserve"> exchange from vertical concentration gradients combined with estimates of turbulent diffusivity</w:t>
      </w:r>
      <w:hyperlink r:id="rId19">
        <w:r w:rsidDel="00000000" w:rsidR="00000000" w:rsidRPr="00000000">
          <w:rPr>
            <w:vertAlign w:val="superscript"/>
            <w:rtl w:val="0"/>
          </w:rPr>
          <w:t xml:space="preserve">141</w:t>
        </w:r>
      </w:hyperlink>
      <w:r w:rsidDel="00000000" w:rsidR="00000000" w:rsidRPr="00000000">
        <w:rPr>
          <w:rtl w:val="0"/>
        </w:rPr>
        <w:t xml:space="preserve">. Their primary uncertainties arise from estimating eddy diffusivity, resolving very small concentration gradients, and representing atmospheric stability</w:t>
      </w:r>
      <w:hyperlink r:id="rId20">
        <w:r w:rsidDel="00000000" w:rsidR="00000000" w:rsidRPr="00000000">
          <w:rPr>
            <w:vertAlign w:val="superscript"/>
            <w:rtl w:val="0"/>
          </w:rPr>
          <w:t xml:space="preserve">141</w:t>
        </w:r>
      </w:hyperlink>
      <w:r w:rsidDel="00000000" w:rsidR="00000000" w:rsidRPr="00000000">
        <w:rPr>
          <w:rtl w:val="0"/>
        </w:rPr>
        <w:t xml:space="preserve">. These uncertainties can increase confidence intervals under stable atmospheric conditions or during periods of weak turbulence, but they do not inherently favor positive or negative methane fluxes. Because EC and GF rely on fundamentally different measurement principles yet often produce comparable ecosystem-scale methane estimates</w:t>
      </w:r>
      <w:hyperlink r:id="rId21">
        <w:r w:rsidDel="00000000" w:rsidR="00000000" w:rsidRPr="00000000">
          <w:rPr>
            <w:vertAlign w:val="superscript"/>
            <w:rtl w:val="0"/>
          </w:rPr>
          <w:t xml:space="preserve">76,118,142,143</w:t>
        </w:r>
      </w:hyperlink>
      <w:r w:rsidDel="00000000" w:rsidR="00000000" w:rsidRPr="00000000">
        <w:rPr>
          <w:rtl w:val="0"/>
        </w:rPr>
        <w:t xml:space="preserve">, methodological agreement between these independent techniques provides strong evidence that observed ecosystem fluxes reflect real ecosystem behavior rather than artifacts of a particular measurement system.</w:t>
      </w:r>
    </w:p>
    <w:p w:rsidR="00000000" w:rsidDel="00000000" w:rsidP="00000000" w:rsidRDefault="00000000" w:rsidRPr="00000000" w14:paraId="0000002D">
      <w:pPr>
        <w:spacing w:after="240" w:before="240" w:lineRule="auto"/>
        <w:rPr/>
      </w:pPr>
      <w:r w:rsidDel="00000000" w:rsidR="00000000" w:rsidRPr="00000000">
        <w:rPr>
          <w:rtl w:val="0"/>
        </w:rPr>
        <w:t xml:space="preserve">Weak methane sinks present an additional observational challenge because their magnitude often approaches the instrumental detection limits of ecosystem-scale measurements. Consequently, EC measurements over upland ecosystems generally exhibit larger relative random errors than measurements over strong methane-emitting wetlands. This limitation, however, tends to reduce the statistical detectability of weak uptake rather than creating artificial methane emissions. Likewise, under low-turbulence conditions, storage below the measurement height, intermittent turbulence, and horizontal advection can cause EC measurements to underestimate episodic methane emissions. Both classes of uncertainty therefore tend to dampen observed flux magnitudes rather than systematically reversing the sign of ecosystem exchange.</w:t>
      </w:r>
    </w:p>
    <w:p w:rsidR="00000000" w:rsidDel="00000000" w:rsidP="00000000" w:rsidRDefault="00000000" w:rsidRPr="00000000" w14:paraId="0000002E">
      <w:pPr>
        <w:spacing w:after="240" w:before="240" w:lineRule="auto"/>
        <w:rPr/>
      </w:pPr>
      <w:r w:rsidDel="00000000" w:rsidR="00000000" w:rsidRPr="00000000">
        <w:rPr>
          <w:rtl w:val="0"/>
        </w:rPr>
        <w:t xml:space="preserve">The distinction between chamber and ecosystem measurements is therefore fundamentally conceptual rather than instrumental. Chambers quantify methane exchange across a small soil surface, typically encompassing only tens to hundreds of square centimeters, and intentionally isolate soil-atmosphere exchange. Ecosystem-scale methods integrate all methane exchanged between the atmosphere and the landscape within their footprint, including soil uptake, plant-mediated transport, stem emissions, aquatic surfaces, small depressions, ephemeral saturation zones, drainage features, animal emissions, and other spatially distributed pathways. As measurement scale increases, these additional processes become progressively more important, and their combined contribution cannot be inferred from soil chambers alone.</w:t>
      </w:r>
    </w:p>
    <w:p w:rsidR="00000000" w:rsidDel="00000000" w:rsidP="00000000" w:rsidRDefault="00000000" w:rsidRPr="00000000" w14:paraId="0000002F">
      <w:pPr>
        <w:spacing w:after="240" w:before="240" w:lineRule="auto"/>
        <w:rPr/>
      </w:pPr>
      <w:r w:rsidDel="00000000" w:rsidR="00000000" w:rsidRPr="00000000">
        <w:rPr>
          <w:rtl w:val="0"/>
        </w:rPr>
        <w:t xml:space="preserve">This distinction has important implications for interpreting differences among observational approaches. If EC and GF methods possessed systematic measurement biases toward methane sources, disagreement with chamber observations could plausibly be attributed to instrumentation. However, decades of methodological evaluation have found no evidence for such directional biases. Instead, the dominant uncertainties in ecosystem-scale methods affect measurement variance and detection limits rather than flux direction. Consequently, persistent differences between chamber-derived soil methane uptake and ecosystem-scale observations are more parsimoniously explained by the emergence of additional methane production and transport pathways that become integrated at larger spatial scales. In this framework, disagreement among measurement approaches represents not a failure of ecosystem-scale instrumentation but evidence that soil methane oxidation alone does not fully constrain net ecosystem methane exchange.</w:t>
      </w:r>
    </w:p>
    <w:p w:rsidR="00000000" w:rsidDel="00000000" w:rsidP="00000000" w:rsidRDefault="00000000" w:rsidRPr="00000000" w14:paraId="00000030">
      <w:pPr>
        <w:pStyle w:val="Heading1"/>
        <w:keepNext w:val="0"/>
        <w:keepLines w:val="0"/>
        <w:spacing w:after="240" w:before="240" w:lineRule="auto"/>
        <w:rPr>
          <w:b w:val="1"/>
          <w:bCs w:val="1"/>
          <w:sz w:val="28"/>
          <w:szCs w:val="28"/>
        </w:rPr>
      </w:pPr>
      <w:bookmarkStart w:colFirst="0" w:colLast="0" w:name="_jeo8qsmsvden" w:id="10"/>
      <w:bookmarkEnd w:id="10"/>
      <w:r w:rsidDel="00000000" w:rsidR="00000000" w:rsidRPr="00000000">
        <w:rPr>
          <w:b w:val="1"/>
          <w:bCs w:val="1"/>
          <w:sz w:val="28"/>
          <w:szCs w:val="28"/>
          <w:rtl w:val="0"/>
        </w:rPr>
        <w:t xml:space="preserve">Supplementary Note 5. Uncertainty in NEON GF Estimates</w:t>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We explored the impact of gradient flux magnitude in a sensitivity analysis (Extended Data Fig. 9). At the baseline scaling (1.0×), 38 of 46 NEON sites (83%) were classified as weak-sources based on their ERA5 gap-filled annual CH</w:t>
      </w:r>
      <w:r w:rsidDel="00000000" w:rsidR="00000000" w:rsidRPr="00000000">
        <w:rPr>
          <w:vertAlign w:val="subscript"/>
          <w:rtl w:val="0"/>
        </w:rPr>
        <w:t xml:space="preserve">4</w:t>
      </w:r>
      <w:r w:rsidDel="00000000" w:rsidR="00000000" w:rsidRPr="00000000">
        <w:rPr>
          <w:rtl w:val="0"/>
        </w:rPr>
        <w:t xml:space="preserve"> budget. To evaluate whether this continental-scale conclusion is sensitive to potential systematic bias in flux-gradient estimates, we scaled all gap-filled half-hourly fluxes by factors ranging from 0.5× to 2.0× and recomputed monthly and annual budgets for each site. Even under the most conservative scenario, 38 sites remained Weak-source, and all sites retained their source classification. The network-median annual budget declined from 0.3 g C m</w:t>
      </w:r>
      <w:r w:rsidDel="00000000" w:rsidR="00000000" w:rsidRPr="00000000">
        <w:rPr>
          <w:vertAlign w:val="superscript"/>
          <w:rtl w:val="0"/>
        </w:rPr>
        <w:t xml:space="preserve">-2</w:t>
      </w:r>
      <w:r w:rsidDel="00000000" w:rsidR="00000000" w:rsidRPr="00000000">
        <w:rPr>
          <w:rtl w:val="0"/>
        </w:rPr>
        <w:t xml:space="preserve"> yr</w:t>
      </w:r>
      <w:r w:rsidDel="00000000" w:rsidR="00000000" w:rsidRPr="00000000">
        <w:rPr>
          <w:vertAlign w:val="superscript"/>
          <w:rtl w:val="0"/>
        </w:rPr>
        <w:t xml:space="preserve">-1</w:t>
      </w:r>
      <w:r w:rsidDel="00000000" w:rsidR="00000000" w:rsidRPr="00000000">
        <w:rPr>
          <w:rtl w:val="0"/>
        </w:rPr>
        <w:t xml:space="preserve"> at 1.0× to 0.2 g C m</w:t>
      </w:r>
      <w:r w:rsidDel="00000000" w:rsidR="00000000" w:rsidRPr="00000000">
        <w:rPr>
          <w:vertAlign w:val="superscript"/>
          <w:rtl w:val="0"/>
        </w:rPr>
        <w:t xml:space="preserve">-2</w:t>
      </w:r>
      <w:r w:rsidDel="00000000" w:rsidR="00000000" w:rsidRPr="00000000">
        <w:rPr>
          <w:rtl w:val="0"/>
        </w:rPr>
        <w:t xml:space="preserve"> yr</w:t>
      </w:r>
      <w:r w:rsidDel="00000000" w:rsidR="00000000" w:rsidRPr="00000000">
        <w:rPr>
          <w:vertAlign w:val="superscript"/>
          <w:rtl w:val="0"/>
        </w:rPr>
        <w:t xml:space="preserve">-1</w:t>
      </w:r>
      <w:r w:rsidDel="00000000" w:rsidR="00000000" w:rsidRPr="00000000">
        <w:rPr>
          <w:rtl w:val="0"/>
        </w:rPr>
        <w:t xml:space="preserve"> at 0.5×. Still, it remained positive, indicating that the continental-scale conclusion of a predominantly CH</w:t>
      </w:r>
      <w:r w:rsidDel="00000000" w:rsidR="00000000" w:rsidRPr="00000000">
        <w:rPr>
          <w:vertAlign w:val="subscript"/>
          <w:rtl w:val="0"/>
        </w:rPr>
        <w:t xml:space="preserve">4</w:t>
      </w:r>
      <w:r w:rsidDel="00000000" w:rsidR="00000000" w:rsidRPr="00000000">
        <w:rPr>
          <w:rtl w:val="0"/>
        </w:rPr>
        <w:t xml:space="preserve">-emitting NEON land surface was robust to magnitude uncertainty of at least a factor of two. These results suggest that even substantial overestimation of GF fluxes would not reverse the dominant source signal</w:t>
      </w:r>
    </w:p>
    <w:p w:rsidR="00000000" w:rsidDel="00000000" w:rsidP="00000000" w:rsidRDefault="00000000" w:rsidRPr="00000000" w14:paraId="00000033">
      <w:pPr>
        <w:rPr>
          <w:color w:val="444746"/>
          <w:sz w:val="21"/>
          <w:szCs w:val="21"/>
        </w:rPr>
      </w:pPr>
      <w:r w:rsidDel="00000000" w:rsidR="00000000" w:rsidRPr="00000000">
        <w:rPr>
          <w:rtl w:val="0"/>
        </w:rPr>
        <w:t xml:space="preserve">across the network.</w:t>
      </w:r>
      <w:r w:rsidDel="00000000" w:rsidR="00000000" w:rsidRPr="00000000">
        <w:rPr>
          <w:rtl w:val="0"/>
        </w:rPr>
      </w:r>
    </w:p>
    <w:p w:rsidR="00000000" w:rsidDel="00000000" w:rsidP="00000000" w:rsidRDefault="00000000" w:rsidRPr="00000000" w14:paraId="00000034">
      <w:pPr>
        <w:pStyle w:val="Heading1"/>
        <w:keepNext w:val="0"/>
        <w:keepLines w:val="0"/>
        <w:spacing w:after="240" w:before="240" w:lineRule="auto"/>
        <w:rPr>
          <w:b w:val="1"/>
          <w:bCs w:val="1"/>
          <w:sz w:val="28"/>
          <w:szCs w:val="28"/>
        </w:rPr>
      </w:pPr>
      <w:bookmarkStart w:colFirst="0" w:colLast="0" w:name="_ufs16xe6w7qc" w:id="11"/>
      <w:bookmarkEnd w:id="11"/>
      <w:r w:rsidDel="00000000" w:rsidR="00000000" w:rsidRPr="00000000">
        <w:rPr>
          <w:b w:val="1"/>
          <w:bCs w:val="1"/>
          <w:sz w:val="28"/>
          <w:szCs w:val="28"/>
          <w:rtl w:val="0"/>
        </w:rPr>
        <w:t xml:space="preserve">Supplementary Note 6. Sensitivity of the terrestrial methane budget to methodological assumptions</w:t>
      </w:r>
    </w:p>
    <w:p w:rsidR="00000000" w:rsidDel="00000000" w:rsidP="00000000" w:rsidRDefault="00000000" w:rsidRPr="00000000" w14:paraId="00000035">
      <w:pPr>
        <w:rPr/>
      </w:pPr>
      <w:r w:rsidDel="00000000" w:rsidR="00000000" w:rsidRPr="00000000">
        <w:rPr>
          <w:rtl w:val="0"/>
        </w:rPr>
        <w:t xml:space="preserve">We explored the sensitivity of the global upland terrestrial CH₄ budget to GF magnitude bias (Extended Data Fig. 10). To evaluate the potential impact of a systematic bias in flux-gradient (GF) magnitude estimates on the budget, we applied multiplicative corrections ranging from ±50% uniformly to all ERA5 spatially upscaled annual budgets across three modeling approaches (Continuous, Dichotomous, and All-Sink). At baseline (0% correction), the Continuous approach produced a mean annual budget of 45.4 Tg CH₄ yr⁻¹, and the All-Sink approach produced -16.3 Tg CH₄ yr⁻¹. Under the most conservative scenario (-50%), the Continuous budget shifted to 22.7 Tg CH₄ yr⁻¹, remaining net positive in 100% of years, and the All-Sink budget shifted to -8.2 Tg CH₄ yr⁻¹. The sign and broad magnitude of the upscaled source estimate are therefore insensitive to systematic GF biases within the tested range, and the conclusion that upland NEON terrestrial ecosystems constitute a net CH₄ source is robust to flux-magnitude uncertainty on this scale.</w:t>
      </w:r>
    </w:p>
    <w:p w:rsidR="00000000" w:rsidDel="00000000" w:rsidP="00000000" w:rsidRDefault="00000000" w:rsidRPr="00000000" w14:paraId="00000036">
      <w:pPr>
        <w:spacing w:after="240" w:before="240" w:lineRule="auto"/>
        <w:jc w:val="both"/>
        <w:rPr/>
      </w:pPr>
      <w:r w:rsidDel="00000000" w:rsidR="00000000" w:rsidRPr="00000000">
        <w:rPr>
          <w:rtl w:val="0"/>
        </w:rPr>
        <w:t xml:space="preserve">We recognize that ecosystem fluxes in this study were not an ideal stratified random sample of the global upland terrestrial area because most NEON towers were deliberately placed in ecologically interesting locations, thereby skewing the sample toward productive, mesic ecosystems, and chamber data were not available from NEON sites (Supplementary Note 1). Dryland and semi-arid ecosystems, which make up a large fraction of global upland area and were likely net sinks, were present, though underrepresented in both datasets. To address this information gap, our estimates incorporate built-in assumptions based on the aridity index and the weak-sink model for arid regions, which may have led to an overestimation of global sink strength. Ecosystem upland CH</w:t>
      </w:r>
      <w:r w:rsidDel="00000000" w:rsidR="00000000" w:rsidRPr="00000000">
        <w:rPr>
          <w:vertAlign w:val="subscript"/>
          <w:rtl w:val="0"/>
        </w:rPr>
        <w:t xml:space="preserve">4</w:t>
      </w:r>
      <w:r w:rsidDel="00000000" w:rsidR="00000000" w:rsidRPr="00000000">
        <w:rPr>
          <w:rtl w:val="0"/>
        </w:rPr>
        <w:t xml:space="preserve"> estimates in this comparison were drawn from far fewer aggregated observations than the corresponding chamber literature, reflecting how few eddy-covariance or gradient towers report quality-controlled, ecosystem-scale CH</w:t>
      </w:r>
      <w:r w:rsidDel="00000000" w:rsidR="00000000" w:rsidRPr="00000000">
        <w:rPr>
          <w:vertAlign w:val="subscript"/>
          <w:rtl w:val="0"/>
        </w:rPr>
        <w:t xml:space="preserve">4</w:t>
      </w:r>
      <w:r w:rsidDel="00000000" w:rsidR="00000000" w:rsidRPr="00000000">
        <w:rPr>
          <w:rtl w:val="0"/>
        </w:rPr>
        <w:t xml:space="preserve"> exchange outside wetland settings. Where tower data does exist, upland CH</w:t>
      </w:r>
      <w:r w:rsidDel="00000000" w:rsidR="00000000" w:rsidRPr="00000000">
        <w:rPr>
          <w:vertAlign w:val="subscript"/>
          <w:rtl w:val="0"/>
        </w:rPr>
        <w:t xml:space="preserve">4</w:t>
      </w:r>
      <w:r w:rsidDel="00000000" w:rsidR="00000000" w:rsidRPr="00000000">
        <w:rPr>
          <w:rtl w:val="0"/>
        </w:rPr>
        <w:t xml:space="preserve"> fluxes were often small enough to approach the detection limit underlying the method: at the NEON Puʻu Makaʻala (PUUM) site, for example, 56- 98% of half-hourly windows across all three gradient approaches evaluated here (wind-profile, aerodynamic, and modified Bowen-ratio) failed signal-to-noise or interaction quality-control flags, and the site could not produce a valid site-level flux estimate as a result. This pattern is consistent with the broader methodological literature on CH</w:t>
      </w:r>
      <w:r w:rsidDel="00000000" w:rsidR="00000000" w:rsidRPr="00000000">
        <w:rPr>
          <w:vertAlign w:val="subscript"/>
          <w:rtl w:val="0"/>
        </w:rPr>
        <w:t xml:space="preserve">4</w:t>
      </w:r>
      <w:r w:rsidDel="00000000" w:rsidR="00000000" w:rsidRPr="00000000">
        <w:rPr>
          <w:rtl w:val="0"/>
        </w:rPr>
        <w:t xml:space="preserve"> flux measurement uncertainty, which identifies detection limits and low-flux magnitude effects as persistent sources of bias and missing data in upland CH</w:t>
      </w:r>
      <w:r w:rsidDel="00000000" w:rsidR="00000000" w:rsidRPr="00000000">
        <w:rPr>
          <w:vertAlign w:val="subscript"/>
          <w:rtl w:val="0"/>
        </w:rPr>
        <w:t xml:space="preserve">4</w:t>
      </w:r>
      <w:r w:rsidDel="00000000" w:rsidR="00000000" w:rsidRPr="00000000">
        <w:rPr>
          <w:rtl w:val="0"/>
        </w:rPr>
        <w:t xml:space="preserve"> sink estimates</w:t>
      </w:r>
      <w:hyperlink r:id="rId22">
        <w:r w:rsidDel="00000000" w:rsidR="00000000" w:rsidRPr="00000000">
          <w:rPr>
            <w:vertAlign w:val="superscript"/>
            <w:rtl w:val="0"/>
          </w:rPr>
          <w:t xml:space="preserve">58</w:t>
        </w:r>
      </w:hyperlink>
      <w:r w:rsidDel="00000000" w:rsidR="00000000" w:rsidRPr="00000000">
        <w:rPr>
          <w:rtl w:val="0"/>
        </w:rPr>
        <w:t xml:space="preserve">. Together, these factors mean upland CH</w:t>
      </w:r>
      <w:r w:rsidDel="00000000" w:rsidR="00000000" w:rsidRPr="00000000">
        <w:rPr>
          <w:vertAlign w:val="subscript"/>
          <w:rtl w:val="0"/>
        </w:rPr>
        <w:t xml:space="preserve">4</w:t>
      </w:r>
      <w:r w:rsidDel="00000000" w:rsidR="00000000" w:rsidRPr="00000000">
        <w:rPr>
          <w:rtl w:val="0"/>
        </w:rPr>
        <w:t xml:space="preserve"> uptake estimates are both sparser and individually less certain than source-side wetland flux estimates. Developing approaches to express zero or very small fluxes will be necessary to constrain the global upland terrestrial budget using current infrastructure.</w:t>
      </w:r>
    </w:p>
    <w:p w:rsidR="00000000" w:rsidDel="00000000" w:rsidP="00000000" w:rsidRDefault="00000000" w:rsidRPr="00000000" w14:paraId="00000037">
      <w:pPr>
        <w:pStyle w:val="Heading1"/>
        <w:keepNext w:val="0"/>
        <w:keepLines w:val="0"/>
        <w:spacing w:after="240" w:before="240" w:lineRule="auto"/>
        <w:jc w:val="both"/>
        <w:rPr>
          <w:b w:val="1"/>
          <w:bCs w:val="1"/>
          <w:sz w:val="28"/>
          <w:szCs w:val="28"/>
        </w:rPr>
      </w:pPr>
      <w:bookmarkStart w:colFirst="0" w:colLast="0" w:name="_nf0g7l26k7p7" w:id="12"/>
      <w:bookmarkEnd w:id="12"/>
      <w:r w:rsidDel="00000000" w:rsidR="00000000" w:rsidRPr="00000000">
        <w:rPr>
          <w:b w:val="1"/>
          <w:bCs w:val="1"/>
          <w:sz w:val="28"/>
          <w:szCs w:val="28"/>
          <w:rtl w:val="0"/>
        </w:rPr>
        <w:t xml:space="preserve">Supplementary Note 7. Are the NEON flux-gradient sites representative uplands? An inundation assessment</w:t>
      </w:r>
    </w:p>
    <w:p w:rsidR="00000000" w:rsidDel="00000000" w:rsidP="00000000" w:rsidRDefault="00000000" w:rsidRPr="00000000" w14:paraId="00000038">
      <w:pPr>
        <w:spacing w:after="200" w:lineRule="auto"/>
        <w:jc w:val="both"/>
        <w:rPr/>
      </w:pPr>
      <w:r w:rsidDel="00000000" w:rsidR="00000000" w:rsidRPr="00000000">
        <w:rPr>
          <w:rtl w:val="0"/>
        </w:rPr>
        <w:t xml:space="preserve">The upland CH₄ source/sink models are trained and applied only on non-wetland sites. A concern with that framing is temporal: even a site correctly classified as upland could become transiently inundated. At that point, its methane exchange would no longer reflect that of a well-drained upland soil. We therefore quantify this for the NEON sites with WAD2M coverage. We retained the upland source/sink network, plus two cropland sites and one wetland-classified site (TOOL), for context. We explored how wet the surrounding 0.5° grid cell becomes over the 2000–2020 record, and whether wetter sites shift toward methane emission. Inundated area fraction (Fw) was taken from the WAD2M v2.0 monthly product (0.5°, 252 months) at each site’s cell; annual CH₄ flux is the ERA5 gap-filled mean (positive = source, negative = sink).</w:t>
      </w:r>
    </w:p>
    <w:p w:rsidR="00000000" w:rsidDel="00000000" w:rsidP="00000000" w:rsidRDefault="00000000" w:rsidRPr="00000000" w14:paraId="00000039">
      <w:pPr>
        <w:pStyle w:val="Heading2"/>
        <w:keepNext w:val="0"/>
        <w:keepLines w:val="0"/>
        <w:spacing w:after="100" w:lineRule="auto"/>
        <w:jc w:val="both"/>
        <w:rPr>
          <w:b w:val="1"/>
          <w:bCs w:val="1"/>
          <w:sz w:val="22"/>
          <w:szCs w:val="22"/>
        </w:rPr>
      </w:pPr>
      <w:bookmarkStart w:colFirst="0" w:colLast="0" w:name="_kfrs7y3jejr3" w:id="13"/>
      <w:bookmarkEnd w:id="13"/>
      <w:r w:rsidDel="00000000" w:rsidR="00000000" w:rsidRPr="00000000">
        <w:rPr>
          <w:b w:val="1"/>
          <w:bCs w:val="1"/>
          <w:sz w:val="22"/>
          <w:szCs w:val="22"/>
          <w:rtl w:val="0"/>
        </w:rPr>
        <w:t xml:space="preserve">Mean inundation fraction does not drive CH</w:t>
      </w:r>
      <w:r w:rsidDel="00000000" w:rsidR="00000000" w:rsidRPr="00000000">
        <w:rPr>
          <w:b w:val="1"/>
          <w:bCs w:val="1"/>
          <w:sz w:val="22"/>
          <w:szCs w:val="22"/>
          <w:vertAlign w:val="subscript"/>
          <w:rtl w:val="0"/>
        </w:rPr>
        <w:t xml:space="preserve">4 </w:t>
      </w:r>
      <w:r w:rsidDel="00000000" w:rsidR="00000000" w:rsidRPr="00000000">
        <w:rPr>
          <w:b w:val="1"/>
          <w:bCs w:val="1"/>
          <w:sz w:val="22"/>
          <w:szCs w:val="22"/>
          <w:rtl w:val="0"/>
        </w:rPr>
        <w:t xml:space="preserve">emissions.</w:t>
      </w:r>
    </w:p>
    <w:p w:rsidR="00000000" w:rsidDel="00000000" w:rsidP="00000000" w:rsidRDefault="00000000" w:rsidRPr="00000000" w14:paraId="0000003A">
      <w:pPr>
        <w:rPr/>
      </w:pPr>
      <w:r w:rsidDel="00000000" w:rsidR="00000000" w:rsidRPr="00000000">
        <w:rPr>
          <w:rFonts w:ascii="Arial Unicode MS" w:cs="Arial Unicode MS" w:eastAsia="Arial Unicode MS" w:hAnsi="Arial Unicode MS"/>
          <w:rtl w:val="0"/>
        </w:rPr>
        <w:t xml:space="preserve">Across all 43 sites, the long-term mean inundated fraction was low (site mean = 2.2%; all sites &lt; 15%). Mean inundation showed no positive association with annual CH₄ flux. The trend was slightly negative and non-significant (Pearson r = −0.13, p = 0.39; Spearman ρ = −0.11). If periodic flooding were pushing these cells toward wetland-like behavior, wetter sites would trend positive; instead, the wettest cells (UNDE, STEI, HARV) were near-zero or net sinks (Extended Data Fig. 11). </w:t>
      </w:r>
    </w:p>
    <w:p w:rsidR="00000000" w:rsidDel="00000000" w:rsidP="00000000" w:rsidRDefault="00000000" w:rsidRPr="00000000" w14:paraId="0000003B">
      <w:pPr>
        <w:spacing w:after="160" w:lineRule="auto"/>
        <w:jc w:val="both"/>
        <w:rPr>
          <w:i w:val="1"/>
          <w:iCs w:val="1"/>
          <w:sz w:val="19"/>
          <w:szCs w:val="19"/>
        </w:rPr>
      </w:pPr>
      <w:r w:rsidDel="00000000" w:rsidR="00000000" w:rsidRPr="00000000">
        <w:rPr>
          <w:rFonts w:ascii="Arial Unicode MS" w:cs="Arial Unicode MS" w:eastAsia="Arial Unicode MS" w:hAnsi="Arial Unicode MS"/>
          <w:rtl w:val="0"/>
        </w:rPr>
        <w:t xml:space="preserve">The mean can hide sites that occasionally flood, so we also examined the maximum and the 90th percentile of monthly Fw to assess the likelihood that a site will become inundated. Even at their peak, wetter sites did not become methane sources: neither the maximum (r = −0.20, p = 0.20) nor the 90th-percentile inundation (r = −0.16, p = 0.29) was positively related to flux (Extended Data Fig. 12). The three sites that reached the highest peak inundation, HARV (33%), UNDE (24%), and STEI (20%), were a net sink, a near-zero source, and a near-zero sink, respectively.</w:t>
      </w:r>
      <w:r w:rsidDel="00000000" w:rsidR="00000000" w:rsidRPr="00000000">
        <w:rPr>
          <w:rtl w:val="0"/>
        </w:rPr>
      </w:r>
    </w:p>
    <w:p w:rsidR="00000000" w:rsidDel="00000000" w:rsidP="00000000" w:rsidRDefault="00000000" w:rsidRPr="00000000" w14:paraId="0000003C">
      <w:pPr>
        <w:spacing w:after="160" w:lineRule="auto"/>
        <w:jc w:val="both"/>
        <w:rPr>
          <w:i w:val="1"/>
          <w:iCs w:val="1"/>
          <w:sz w:val="19"/>
          <w:szCs w:val="19"/>
        </w:rPr>
      </w:pPr>
      <w:r w:rsidDel="00000000" w:rsidR="00000000" w:rsidRPr="00000000">
        <w:rPr>
          <w:rtl w:val="0"/>
        </w:rPr>
        <w:t xml:space="preserve">Framed as a frequency, the share of the 21-year monthly record in which the cell exceeds 10% inundated area, the network was overwhelmingly dry (Extended Data Fig. 13). Of 43 sites, 24 never exceeded 5% inundation in any month, and only three (UNDE, STEI, HARV) spent a meaningful fraction of the record above 10% inundated. The likelihood of genuine inundation was negligible for most sites and concentrated in a short, identifiable tail.</w:t>
      </w:r>
      <w:r w:rsidDel="00000000" w:rsidR="00000000" w:rsidRPr="00000000">
        <w:rPr>
          <w:rtl w:val="0"/>
        </w:rPr>
      </w:r>
    </w:p>
    <w:p w:rsidR="00000000" w:rsidDel="00000000" w:rsidP="00000000" w:rsidRDefault="00000000" w:rsidRPr="00000000" w14:paraId="0000003D">
      <w:pPr>
        <w:pStyle w:val="Heading2"/>
        <w:keepNext w:val="0"/>
        <w:keepLines w:val="0"/>
        <w:spacing w:after="100" w:lineRule="auto"/>
        <w:jc w:val="both"/>
        <w:rPr>
          <w:b w:val="1"/>
          <w:bCs w:val="1"/>
          <w:sz w:val="22"/>
          <w:szCs w:val="22"/>
        </w:rPr>
      </w:pPr>
      <w:bookmarkStart w:colFirst="0" w:colLast="0" w:name="_q0b508js1d3f" w:id="14"/>
      <w:bookmarkEnd w:id="14"/>
      <w:r w:rsidDel="00000000" w:rsidR="00000000" w:rsidRPr="00000000">
        <w:rPr>
          <w:b w:val="1"/>
          <w:bCs w:val="1"/>
          <w:sz w:val="22"/>
          <w:szCs w:val="22"/>
          <w:rtl w:val="0"/>
        </w:rPr>
        <w:t xml:space="preserve">Grid inundation vs. in-situ soil wetness</w:t>
      </w:r>
    </w:p>
    <w:p w:rsidR="00000000" w:rsidDel="00000000" w:rsidP="00000000" w:rsidRDefault="00000000" w:rsidRPr="00000000" w14:paraId="0000003E">
      <w:pPr>
        <w:spacing w:after="160" w:lineRule="auto"/>
        <w:jc w:val="both"/>
        <w:rPr>
          <w:i w:val="1"/>
          <w:iCs w:val="1"/>
          <w:sz w:val="19"/>
          <w:szCs w:val="19"/>
        </w:rPr>
      </w:pPr>
      <w:r w:rsidDel="00000000" w:rsidR="00000000" w:rsidRPr="00000000">
        <w:rPr>
          <w:rFonts w:ascii="Arial Unicode MS" w:cs="Arial Unicode MS" w:eastAsia="Arial Unicode MS" w:hAnsi="Arial Unicode MS"/>
          <w:rtl w:val="0"/>
        </w:rPr>
        <w:t xml:space="preserve">A final check explored how well the coarse WAD2M inundation signal tracked wetness at the tower. Inundation fraction was weakly negatively related to ERA5 surface soil moisture (ρ = −0.36, p = 0.01) and unrelated to observed NEON volumetric soil water content (ρ = +0.08, p = 0.59; Extended Data Fig. 14). The 0.5° cell registered some inundated area even when the footprint soil was not saturated, further arguing that the low inundation values were not masking a hidden wetland flux signal at the sites themselves.</w:t>
      </w:r>
      <w:r w:rsidDel="00000000" w:rsidR="00000000" w:rsidRPr="00000000">
        <w:rPr>
          <w:rtl w:val="0"/>
        </w:rPr>
      </w:r>
    </w:p>
    <w:p w:rsidR="00000000" w:rsidDel="00000000" w:rsidP="00000000" w:rsidRDefault="00000000" w:rsidRPr="00000000" w14:paraId="0000003F">
      <w:pPr>
        <w:spacing w:after="120" w:lineRule="auto"/>
        <w:jc w:val="both"/>
        <w:rPr/>
      </w:pPr>
      <w:r w:rsidDel="00000000" w:rsidR="00000000" w:rsidRPr="00000000">
        <w:rPr>
          <w:rtl w:val="0"/>
        </w:rPr>
        <w:t xml:space="preserve">Across mean, peak, and frequency-based measures, WAD2M inundation at the NEON gradient-flux sites was low, rarely exceeded, decoupled from in-situ soil wetness, and never associated with a shift toward methane emission. The likelihood that these sites become inundated to a degree that compromises their status as uplands is therefore small and confined to a few identifiable forest sites (UNDE, STEI, HARV). This supports treating the network as a representative upland sample for the CH₄ source/sink analysis, while flagging the wettest-tail sites for sensitivity testing (Extended Data Table 4).</w:t>
      </w:r>
    </w:p>
    <w:sectPr>
      <w:pgSz w:h="15840" w:w="12240" w:orient="portrait"/>
      <w:pgMar w:bottom="1440" w:top="1440" w:left="1440"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aperpile.com/c/1YCkVD5C/m1B8x" TargetMode="External"/><Relationship Id="rId11" Type="http://schemas.openxmlformats.org/officeDocument/2006/relationships/hyperlink" Target="https://paperpile.com/c/1YCkVD5C/GHla5" TargetMode="External"/><Relationship Id="rId22" Type="http://schemas.openxmlformats.org/officeDocument/2006/relationships/hyperlink" Target="https://paperpile.com/c/1YCkVD5C/aTWf" TargetMode="External"/><Relationship Id="rId10" Type="http://schemas.openxmlformats.org/officeDocument/2006/relationships/hyperlink" Target="https://paperpile.com/c/1YCkVD5C/0ZkZ" TargetMode="External"/><Relationship Id="rId21" Type="http://schemas.openxmlformats.org/officeDocument/2006/relationships/hyperlink" Target="https://paperpile.com/c/1YCkVD5C/SHyl5+DsiGi+kmg5r+T0a9u" TargetMode="External"/><Relationship Id="rId13" Type="http://schemas.openxmlformats.org/officeDocument/2006/relationships/hyperlink" Target="https://paperpile.com/c/1YCkVD5C/aTWf" TargetMode="External"/><Relationship Id="rId12" Type="http://schemas.openxmlformats.org/officeDocument/2006/relationships/hyperlink" Target="https://paperpile.com/c/1YCkVD5C/TUyf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1YCkVD5C/aBN2" TargetMode="External"/><Relationship Id="rId15" Type="http://schemas.openxmlformats.org/officeDocument/2006/relationships/hyperlink" Target="https://paperpile.com/c/1YCkVD5C/aTWf+HxHb+pJoA" TargetMode="External"/><Relationship Id="rId14" Type="http://schemas.openxmlformats.org/officeDocument/2006/relationships/hyperlink" Target="https://paperpile.com/c/1YCkVD5C/K3bz" TargetMode="External"/><Relationship Id="rId17" Type="http://schemas.openxmlformats.org/officeDocument/2006/relationships/hyperlink" Target="https://paperpile.com/c/1YCkVD5C/aTWf+HxHb" TargetMode="External"/><Relationship Id="rId16" Type="http://schemas.openxmlformats.org/officeDocument/2006/relationships/hyperlink" Target="https://paperpile.com/c/1YCkVD5C/aTWf+HxHb+pJoA" TargetMode="External"/><Relationship Id="rId5" Type="http://schemas.openxmlformats.org/officeDocument/2006/relationships/styles" Target="styles.xml"/><Relationship Id="rId19" Type="http://schemas.openxmlformats.org/officeDocument/2006/relationships/hyperlink" Target="https://paperpile.com/c/1YCkVD5C/m1B8x" TargetMode="External"/><Relationship Id="rId6" Type="http://schemas.openxmlformats.org/officeDocument/2006/relationships/hyperlink" Target="https://paperpile.com/c/1YCkVD5C/vQt5" TargetMode="External"/><Relationship Id="rId18" Type="http://schemas.openxmlformats.org/officeDocument/2006/relationships/hyperlink" Target="https://paperpile.com/c/1YCkVD5C/aTWf" TargetMode="External"/><Relationship Id="rId7" Type="http://schemas.openxmlformats.org/officeDocument/2006/relationships/hyperlink" Target="https://paperpile.com/c/1YCkVD5C/QoTI" TargetMode="External"/><Relationship Id="rId8" Type="http://schemas.openxmlformats.org/officeDocument/2006/relationships/hyperlink" Target="https://paperpile.com/c/1YCkVD5C/aB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