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734" w:rsidRPr="00BC3654" w:rsidRDefault="00323734">
      <w:pPr>
        <w:spacing w:after="60"/>
        <w:rPr>
          <w:b/>
          <w:bCs/>
          <w:sz w:val="26"/>
          <w:szCs w:val="26"/>
        </w:rPr>
      </w:pPr>
    </w:p>
    <w:p w:rsidR="000E058E" w:rsidRPr="00BC3654" w:rsidRDefault="006637E0">
      <w:pPr>
        <w:spacing w:after="60"/>
      </w:pPr>
      <w:r w:rsidRPr="00BC3654">
        <w:rPr>
          <w:b/>
          <w:bCs/>
          <w:sz w:val="26"/>
          <w:szCs w:val="26"/>
        </w:rPr>
        <w:t>Supplementary File 1</w:t>
      </w:r>
    </w:p>
    <w:p w:rsidR="000E058E" w:rsidRDefault="006637E0">
      <w:pPr>
        <w:spacing w:after="40"/>
      </w:pPr>
      <w:r w:rsidRPr="00BC3654">
        <w:rPr>
          <w:b/>
          <w:bCs/>
          <w:sz w:val="22"/>
          <w:szCs w:val="22"/>
        </w:rPr>
        <w:t>STROBE Statement — checklist of items for reports of cross-sectional studies</w:t>
      </w:r>
    </w:p>
    <w:p w:rsidR="000E058E" w:rsidRDefault="006637E0">
      <w:pPr>
        <w:spacing w:after="160"/>
      </w:pPr>
      <w:r>
        <w:rPr>
          <w:i/>
          <w:iCs/>
        </w:rPr>
        <w:t>Manuscript: “Timing of antenatal care initiation, contact frequency, and adverse maternal and perinatal outcomes at a district hospital in Zanzibar, Tanzania: an analytical cross-sectional study” (N=271).</w:t>
      </w:r>
    </w:p>
    <w:tbl>
      <w:tblPr>
        <w:tblW w:w="90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3" w:space="0" w:color="CCCCCC"/>
          <w:insideV w:val="single" w:sz="3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"/>
        <w:gridCol w:w="4020"/>
        <w:gridCol w:w="3000"/>
        <w:gridCol w:w="1200"/>
      </w:tblGrid>
      <w:tr w:rsidR="000E058E">
        <w:trPr>
          <w:tblHeader/>
        </w:trPr>
        <w:tc>
          <w:tcPr>
            <w:tcW w:w="78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rPr>
                <w:b/>
                <w:bCs/>
              </w:rPr>
              <w:t>Item</w:t>
            </w:r>
          </w:p>
        </w:tc>
        <w:tc>
          <w:tcPr>
            <w:tcW w:w="402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rPr>
                <w:b/>
                <w:bCs/>
              </w:rPr>
              <w:t>Recommendation (STROBE, cross-sectional)</w:t>
            </w:r>
          </w:p>
        </w:tc>
        <w:tc>
          <w:tcPr>
            <w:tcW w:w="300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rPr>
                <w:b/>
                <w:bCs/>
              </w:rPr>
              <w:t>Where addressed in the manuscript</w:t>
            </w:r>
          </w:p>
        </w:tc>
        <w:tc>
          <w:tcPr>
            <w:tcW w:w="120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rPr>
                <w:b/>
                <w:bCs/>
              </w:rPr>
              <w:t>Page</w:t>
            </w:r>
          </w:p>
        </w:tc>
      </w:tr>
      <w:tr w:rsidR="000E058E">
        <w:tc>
          <w:tcPr>
            <w:tcW w:w="9000" w:type="dxa"/>
            <w:gridSpan w:val="4"/>
            <w:shd w:val="clear" w:color="auto" w:fill="1F3864"/>
            <w:tcMar>
              <w:top w:w="50" w:type="dxa"/>
              <w:left w:w="90" w:type="dxa"/>
              <w:bottom w:w="50" w:type="dxa"/>
              <w:right w:w="90" w:type="dxa"/>
            </w:tcMar>
          </w:tcPr>
          <w:p w:rsidR="000E058E" w:rsidRDefault="006637E0">
            <w:pPr>
              <w:spacing w:after="30"/>
            </w:pPr>
            <w:r>
              <w:rPr>
                <w:b/>
                <w:bCs/>
                <w:color w:val="FFFFFF"/>
                <w:sz w:val="19"/>
                <w:szCs w:val="19"/>
              </w:rPr>
              <w:t>Title and abstract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1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(a) Indicate the study's design with a commonly used term in the title or abstract.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Title (“analytical cross-sectional study”); Abstract, Methods.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6637E0">
            <w:pPr>
              <w:spacing w:after="30"/>
              <w:jc w:val="center"/>
            </w:pPr>
            <w:r>
              <w:rPr>
                <w:b/>
                <w:bCs/>
              </w:rPr>
              <w:t>[p. …1]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0E058E">
            <w:pPr>
              <w:spacing w:after="20" w:line="235" w:lineRule="auto"/>
              <w:jc w:val="center"/>
            </w:pP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 xml:space="preserve">(b) Provide an informative and balanced summary of what </w:t>
            </w:r>
            <w:proofErr w:type="gramStart"/>
            <w:r>
              <w:t>was done and found</w:t>
            </w:r>
            <w:proofErr w:type="gramEnd"/>
            <w:r>
              <w:t>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Structured Abstract (Background, Methods, Results, Conclusion).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6637E0">
            <w:pPr>
              <w:spacing w:after="30"/>
              <w:jc w:val="center"/>
            </w:pPr>
            <w:r>
              <w:rPr>
                <w:b/>
                <w:bCs/>
              </w:rPr>
              <w:t>[p. …1]</w:t>
            </w:r>
          </w:p>
        </w:tc>
      </w:tr>
      <w:tr w:rsidR="000E058E">
        <w:tc>
          <w:tcPr>
            <w:tcW w:w="9000" w:type="dxa"/>
            <w:gridSpan w:val="4"/>
            <w:shd w:val="clear" w:color="auto" w:fill="1F3864"/>
            <w:tcMar>
              <w:top w:w="50" w:type="dxa"/>
              <w:left w:w="90" w:type="dxa"/>
              <w:bottom w:w="50" w:type="dxa"/>
              <w:right w:w="90" w:type="dxa"/>
            </w:tcMar>
          </w:tcPr>
          <w:p w:rsidR="000E058E" w:rsidRPr="00693793" w:rsidRDefault="006637E0">
            <w:pPr>
              <w:spacing w:after="30"/>
            </w:pPr>
            <w:r>
              <w:rPr>
                <w:b/>
                <w:bCs/>
                <w:sz w:val="19"/>
                <w:szCs w:val="19"/>
              </w:rPr>
              <w:t>Introduction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2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Background/rationale: explain the scientific background and rationale.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Introduction (paragraphs 1–3).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6637E0" w:rsidP="003A3D14">
            <w:pPr>
              <w:spacing w:after="30"/>
              <w:jc w:val="center"/>
            </w:pPr>
            <w:r>
              <w:rPr>
                <w:b/>
                <w:bCs/>
              </w:rPr>
              <w:t>[p. 2]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3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 xml:space="preserve">Objectives: state specific objectives, including any </w:t>
            </w:r>
            <w:proofErr w:type="spellStart"/>
            <w:r>
              <w:t>prespecified</w:t>
            </w:r>
            <w:proofErr w:type="spellEnd"/>
            <w:r>
              <w:t xml:space="preserve"> hypotheses.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Introduction (final paragraph)</w:t>
            </w:r>
            <w:proofErr w:type="gramStart"/>
            <w:r>
              <w:t>;</w:t>
            </w:r>
            <w:proofErr w:type="gramEnd"/>
            <w:r>
              <w:t xml:space="preserve"> composite outcomes and the sensitivity analysis were pre-specified.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6637E0">
            <w:pPr>
              <w:spacing w:after="30"/>
              <w:jc w:val="center"/>
            </w:pPr>
            <w:r>
              <w:rPr>
                <w:b/>
                <w:bCs/>
              </w:rPr>
              <w:t>[p. …2]</w:t>
            </w:r>
          </w:p>
        </w:tc>
      </w:tr>
      <w:tr w:rsidR="000E058E">
        <w:tc>
          <w:tcPr>
            <w:tcW w:w="9000" w:type="dxa"/>
            <w:gridSpan w:val="4"/>
            <w:shd w:val="clear" w:color="auto" w:fill="1F3864"/>
            <w:tcMar>
              <w:top w:w="50" w:type="dxa"/>
              <w:left w:w="90" w:type="dxa"/>
              <w:bottom w:w="50" w:type="dxa"/>
              <w:right w:w="90" w:type="dxa"/>
            </w:tcMar>
          </w:tcPr>
          <w:p w:rsidR="000E058E" w:rsidRPr="00693793" w:rsidRDefault="006637E0">
            <w:pPr>
              <w:spacing w:after="30"/>
            </w:pPr>
            <w:r>
              <w:rPr>
                <w:b/>
                <w:bCs/>
                <w:sz w:val="19"/>
                <w:szCs w:val="19"/>
              </w:rPr>
              <w:t>Methods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4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Study design: present key elements of the design early in the paper.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Methods – Study design and setting.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CD489E">
            <w:pPr>
              <w:spacing w:after="30"/>
              <w:jc w:val="center"/>
            </w:pPr>
            <w:r>
              <w:rPr>
                <w:b/>
                <w:bCs/>
              </w:rPr>
              <w:t>[p. 2]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5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Setting: describe setting, locations, and relevant dates.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Methods – Study design and setting (</w:t>
            </w:r>
            <w:proofErr w:type="spellStart"/>
            <w:r>
              <w:t>Kivunge</w:t>
            </w:r>
            <w:proofErr w:type="spellEnd"/>
            <w:r>
              <w:t xml:space="preserve"> District Hospital; February–May 2026).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CD489E">
            <w:pPr>
              <w:spacing w:after="30"/>
              <w:jc w:val="center"/>
            </w:pPr>
            <w:r>
              <w:rPr>
                <w:b/>
                <w:bCs/>
              </w:rPr>
              <w:t>[p. 2]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6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BC3654" w:rsidRDefault="006637E0">
            <w:pPr>
              <w:spacing w:after="20" w:line="235" w:lineRule="auto"/>
            </w:pPr>
            <w:r w:rsidRPr="00BC3654">
              <w:t>(a) Eligibility criteria, and the sources and methods of selection of participants.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BC3654" w:rsidRDefault="006637E0">
            <w:pPr>
              <w:spacing w:after="30"/>
            </w:pPr>
            <w:r w:rsidRPr="00BC3654">
              <w:rPr>
                <w:bCs/>
              </w:rPr>
              <w:t>Methods – Participants (consecutive recruitment; inclusion and exclusion criteria).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CD489E">
            <w:pPr>
              <w:spacing w:after="30"/>
              <w:jc w:val="center"/>
            </w:pPr>
            <w:r>
              <w:rPr>
                <w:b/>
                <w:bCs/>
              </w:rPr>
              <w:t>[p. 2]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7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Variables: clearly define outcomes, exposures, predictors, confounders</w:t>
            </w:r>
            <w:proofErr w:type="gramStart"/>
            <w:r>
              <w:t>;</w:t>
            </w:r>
            <w:proofErr w:type="gramEnd"/>
            <w:r>
              <w:t xml:space="preserve"> diagnostic criteria.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Methods – Variables and definitions; Operational definitions.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CD489E">
            <w:pPr>
              <w:spacing w:after="30"/>
              <w:jc w:val="center"/>
            </w:pPr>
            <w:r>
              <w:rPr>
                <w:b/>
                <w:bCs/>
              </w:rPr>
              <w:t>[p. 3]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8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Data sources / measurement: for each variable, sources of data and methods of assessment.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Methods – Data collection (questionnaire; ANC cards, registers, delivery and postnatal records; medical record authoritative).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CD489E">
            <w:pPr>
              <w:spacing w:after="30"/>
              <w:jc w:val="center"/>
            </w:pPr>
            <w:r>
              <w:rPr>
                <w:b/>
                <w:bCs/>
              </w:rPr>
              <w:t>[p. 3]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9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Bias: describe any efforts to address potential sources of bias.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Methods – Data collection (record verification); Discussion – Strengths and limitations.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CD489E">
            <w:pPr>
              <w:spacing w:after="30"/>
              <w:jc w:val="center"/>
            </w:pPr>
            <w:r>
              <w:rPr>
                <w:b/>
                <w:bCs/>
              </w:rPr>
              <w:t>[p. 9,10]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10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 xml:space="preserve">Study size: explain how the study size </w:t>
            </w:r>
            <w:proofErr w:type="gramStart"/>
            <w:r>
              <w:t>was arrived at</w:t>
            </w:r>
            <w:proofErr w:type="gramEnd"/>
            <w:r>
              <w:t>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BC3654" w:rsidRDefault="006637E0">
            <w:pPr>
              <w:spacing w:after="30"/>
            </w:pPr>
            <w:r w:rsidRPr="00BC3654">
              <w:rPr>
                <w:bCs/>
              </w:rPr>
              <w:t>Methods – Sample size (Cochran single-proportion; minimum 271; 271 participants recruited).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CD489E">
            <w:pPr>
              <w:spacing w:after="30"/>
              <w:jc w:val="center"/>
            </w:pPr>
            <w:r>
              <w:rPr>
                <w:b/>
                <w:bCs/>
              </w:rPr>
              <w:t>[p. 3]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11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Quantitative variables: how handled</w:t>
            </w:r>
            <w:proofErr w:type="gramStart"/>
            <w:r>
              <w:t>;</w:t>
            </w:r>
            <w:proofErr w:type="gramEnd"/>
            <w:r>
              <w:t xml:space="preserve"> groupings chosen and why.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Methods – Variables (three-category trimester retained rather than collapsed, given the non-linear pattern; contacts &lt;4 / 4–7 / ≥8).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6637E0">
            <w:pPr>
              <w:spacing w:after="30"/>
              <w:jc w:val="center"/>
            </w:pPr>
            <w:r>
              <w:rPr>
                <w:b/>
                <w:bCs/>
              </w:rPr>
              <w:t>[p. …3]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12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(a) Statistical methods, including control for confounding.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 xml:space="preserve">Methods – Statistical analysis (χ²; multivariable logistic regression; Firth </w:t>
            </w:r>
            <w:proofErr w:type="spellStart"/>
            <w:r>
              <w:t>penalised</w:t>
            </w:r>
            <w:proofErr w:type="spellEnd"/>
            <w:r>
              <w:t xml:space="preserve"> likelihood with profile CIs for the fetal model; VIF assessment).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CD489E">
            <w:pPr>
              <w:spacing w:after="30"/>
              <w:jc w:val="center"/>
            </w:pPr>
            <w:r>
              <w:rPr>
                <w:b/>
                <w:bCs/>
              </w:rPr>
              <w:t>[p. 3]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0E058E">
            <w:pPr>
              <w:spacing w:after="20" w:line="235" w:lineRule="auto"/>
              <w:jc w:val="center"/>
            </w:pP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(b) Methods to examine subgroups and interactions.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Bivariate analyses by booking trimester (Table 3) and contact frequency (Table 4); ordinal trend tests.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CD489E">
            <w:pPr>
              <w:spacing w:after="30"/>
              <w:jc w:val="center"/>
            </w:pPr>
            <w:r>
              <w:rPr>
                <w:b/>
                <w:bCs/>
              </w:rPr>
              <w:t>[p. 3,4]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0E058E">
            <w:pPr>
              <w:spacing w:after="20" w:line="235" w:lineRule="auto"/>
              <w:jc w:val="center"/>
            </w:pP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 xml:space="preserve">(c) How missing data </w:t>
            </w:r>
            <w:proofErr w:type="gramStart"/>
            <w:r>
              <w:t>were addressed</w:t>
            </w:r>
            <w:proofErr w:type="gramEnd"/>
            <w:r>
              <w:t>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 w:rsidP="00CD489E">
            <w:pPr>
              <w:spacing w:after="30"/>
            </w:pPr>
            <w:r>
              <w:t>Methods – Statistical analysis (complete-case analysis; 15 without ANC timing, 1 with invalid travel time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6637E0">
            <w:pPr>
              <w:spacing w:after="30"/>
              <w:jc w:val="center"/>
            </w:pPr>
            <w:r>
              <w:rPr>
                <w:b/>
                <w:bCs/>
              </w:rPr>
              <w:t>[p. …3]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0E058E">
            <w:pPr>
              <w:spacing w:after="20" w:line="235" w:lineRule="auto"/>
              <w:jc w:val="center"/>
            </w:pP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(d) If applicable, analytical methods accounting for sampling strategy.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Not applicable (consecutive recruitment of facility deliveries).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6637E0">
            <w:pPr>
              <w:spacing w:after="30"/>
              <w:jc w:val="center"/>
            </w:pPr>
            <w:r>
              <w:rPr>
                <w:b/>
                <w:bCs/>
              </w:rPr>
              <w:t>[</w:t>
            </w:r>
            <w:proofErr w:type="gramStart"/>
            <w:r>
              <w:rPr>
                <w:b/>
                <w:bCs/>
              </w:rPr>
              <w:t>p</w:t>
            </w:r>
            <w:proofErr w:type="gramEnd"/>
            <w:r>
              <w:rPr>
                <w:b/>
                <w:bCs/>
              </w:rPr>
              <w:t>. …]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0E058E">
            <w:pPr>
              <w:spacing w:after="20" w:line="235" w:lineRule="auto"/>
              <w:jc w:val="center"/>
            </w:pP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(e) Any sensitivity analyses.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 xml:space="preserve">Methods – Statistical analysis; Results – Sensitivity analysis (maternal composite refitted excluding caesarean delivery; maternal model refitted with Firth </w:t>
            </w:r>
            <w:proofErr w:type="spellStart"/>
            <w:r>
              <w:t>penalisation</w:t>
            </w:r>
            <w:proofErr w:type="spellEnd"/>
            <w:r>
              <w:t>).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CD489E">
            <w:pPr>
              <w:spacing w:after="30"/>
              <w:jc w:val="center"/>
            </w:pPr>
            <w:r>
              <w:rPr>
                <w:b/>
                <w:bCs/>
              </w:rPr>
              <w:t>[p. 3]</w:t>
            </w:r>
          </w:p>
        </w:tc>
      </w:tr>
      <w:tr w:rsidR="000E058E">
        <w:tc>
          <w:tcPr>
            <w:tcW w:w="9000" w:type="dxa"/>
            <w:gridSpan w:val="4"/>
            <w:shd w:val="clear" w:color="auto" w:fill="1F3864"/>
            <w:tcMar>
              <w:top w:w="50" w:type="dxa"/>
              <w:left w:w="90" w:type="dxa"/>
              <w:bottom w:w="50" w:type="dxa"/>
              <w:right w:w="90" w:type="dxa"/>
            </w:tcMar>
          </w:tcPr>
          <w:p w:rsidR="000E058E" w:rsidRPr="00693793" w:rsidRDefault="006637E0">
            <w:pPr>
              <w:spacing w:after="30"/>
            </w:pPr>
            <w:r>
              <w:rPr>
                <w:b/>
                <w:bCs/>
                <w:sz w:val="19"/>
                <w:szCs w:val="19"/>
              </w:rPr>
              <w:t>Results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13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 xml:space="preserve">(a) Numbers of individuals at each stage (eligible, examined, included, </w:t>
            </w:r>
            <w:proofErr w:type="spellStart"/>
            <w:r>
              <w:t>analysed</w:t>
            </w:r>
            <w:proofErr w:type="spellEnd"/>
            <w:r>
              <w:t>).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BC3654" w:rsidRDefault="006637E0" w:rsidP="0012118A">
            <w:pPr>
              <w:spacing w:after="30"/>
            </w:pPr>
            <w:r w:rsidRPr="00BC3654">
              <w:rPr>
                <w:bCs/>
              </w:rPr>
              <w:t>Methods – Participants; Results (271 recruited; 256 attended ANC; 15 none; 255 complete cases in regression models).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6637E0">
            <w:pPr>
              <w:spacing w:after="30"/>
              <w:jc w:val="center"/>
            </w:pPr>
            <w:r>
              <w:rPr>
                <w:b/>
                <w:bCs/>
              </w:rPr>
              <w:t>[p. .3]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0E058E">
            <w:pPr>
              <w:spacing w:after="20" w:line="235" w:lineRule="auto"/>
              <w:jc w:val="center"/>
            </w:pP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(b) Reasons for non-participation at each stage.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12118A" w:rsidRDefault="006637E0" w:rsidP="0012118A">
            <w:pPr>
              <w:spacing w:after="30"/>
            </w:pPr>
            <w:r>
              <w:t>Methods – Participants 271(1 incomplete data)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6637E0">
            <w:pPr>
              <w:spacing w:after="30"/>
              <w:jc w:val="center"/>
            </w:pPr>
            <w:r>
              <w:rPr>
                <w:b/>
                <w:bCs/>
              </w:rPr>
              <w:t>[p. …3]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0E058E">
            <w:pPr>
              <w:spacing w:after="20" w:line="235" w:lineRule="auto"/>
              <w:jc w:val="center"/>
            </w:pP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(c) Consider use of a flow diagram.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BC3654" w:rsidRDefault="006637E0">
            <w:pPr>
              <w:spacing w:after="30"/>
            </w:pPr>
            <w:r w:rsidRPr="00BC3654">
              <w:rPr>
                <w:bCs/>
              </w:rPr>
              <w:t>Supplementary File 2, Figure S1 (271 recruited → 256 attended ANC / 15 attended none → 255 complete cases in the multivariable models).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CD489E">
            <w:pPr>
              <w:spacing w:after="3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[p. 3]</w:t>
            </w:r>
          </w:p>
          <w:p w:rsidR="00CD489E" w:rsidRPr="00693793" w:rsidRDefault="00CD489E">
            <w:pPr>
              <w:spacing w:after="30"/>
              <w:jc w:val="center"/>
            </w:pPr>
            <w:r>
              <w:rPr>
                <w:b/>
                <w:bCs/>
              </w:rPr>
              <w:t>Supplement1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14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(a) Characteristics of participants and information on exposures and potential confounders.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Results – Participant characteristics; Table 1.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CD489E">
            <w:pPr>
              <w:spacing w:after="30"/>
              <w:jc w:val="center"/>
            </w:pPr>
            <w:r>
              <w:rPr>
                <w:b/>
                <w:bCs/>
              </w:rPr>
              <w:t>[p. 4]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0E058E">
            <w:pPr>
              <w:spacing w:after="20" w:line="235" w:lineRule="auto"/>
              <w:jc w:val="center"/>
            </w:pP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(b) Number of participants with missing data for each variable of interest.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 w:rsidP="0012118A">
            <w:pPr>
              <w:spacing w:after="30"/>
            </w:pPr>
            <w:r>
              <w:t>Table 1 footnote (travel time, n=1)</w:t>
            </w:r>
            <w:proofErr w:type="gramStart"/>
            <w:r>
              <w:t>;</w:t>
            </w:r>
            <w:proofErr w:type="gramEnd"/>
            <w:r>
              <w:t xml:space="preserve"> Results (ANC timing/frequency, n=15). 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CD489E">
            <w:pPr>
              <w:spacing w:after="30"/>
              <w:jc w:val="center"/>
            </w:pPr>
            <w:r>
              <w:rPr>
                <w:b/>
                <w:bCs/>
              </w:rPr>
              <w:t>[p. 4]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15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Report numbers of outcome events or summary measures.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Results – Outcomes (Table 2, with component-level counts); Tables 3–4.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CD489E">
            <w:pPr>
              <w:spacing w:after="30"/>
              <w:jc w:val="center"/>
            </w:pPr>
            <w:r>
              <w:rPr>
                <w:b/>
                <w:bCs/>
              </w:rPr>
              <w:t>[p. 5]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16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(a) Unadjusted and confounder-adjusted estimates with precision (95% CI)</w:t>
            </w:r>
            <w:proofErr w:type="gramStart"/>
            <w:r>
              <w:t>;</w:t>
            </w:r>
            <w:proofErr w:type="gramEnd"/>
            <w:r>
              <w:t xml:space="preserve"> state confounders and why.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Results – Multivariable analysis; Tables 5–6 (crude and adjusted OR with 95% CI).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CD489E">
            <w:pPr>
              <w:spacing w:after="30"/>
              <w:jc w:val="center"/>
            </w:pPr>
            <w:r>
              <w:rPr>
                <w:b/>
                <w:bCs/>
              </w:rPr>
              <w:t>[p. 8]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0E058E">
            <w:pPr>
              <w:spacing w:after="20" w:line="235" w:lineRule="auto"/>
              <w:jc w:val="center"/>
            </w:pP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 xml:space="preserve">(b) Report category boundaries when continuous variables </w:t>
            </w:r>
            <w:proofErr w:type="gramStart"/>
            <w:r>
              <w:t>were categorized</w:t>
            </w:r>
            <w:proofErr w:type="gramEnd"/>
            <w:r>
              <w:t>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Methods – Variables (trimester week boundaries; contact-frequency bands); Table 1 footnote.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CD489E">
            <w:pPr>
              <w:spacing w:after="30"/>
              <w:jc w:val="center"/>
            </w:pPr>
            <w:r>
              <w:rPr>
                <w:b/>
                <w:bCs/>
              </w:rPr>
              <w:t>[p. 5]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0E058E">
            <w:pPr>
              <w:spacing w:after="20" w:line="235" w:lineRule="auto"/>
              <w:jc w:val="center"/>
            </w:pP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(c) If relevant, translate relative risk into absolute risk.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Absolute event proportions reported per exposure category (Tables 3–4; Figures52–3).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CD489E">
            <w:pPr>
              <w:spacing w:after="30"/>
              <w:jc w:val="center"/>
            </w:pPr>
            <w:r>
              <w:rPr>
                <w:b/>
                <w:bCs/>
              </w:rPr>
              <w:t>[p. 8,9]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17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 xml:space="preserve">Report other analyses (subgroups, interactions, </w:t>
            </w:r>
            <w:proofErr w:type="gramStart"/>
            <w:r>
              <w:t>sensitivity</w:t>
            </w:r>
            <w:proofErr w:type="gramEnd"/>
            <w:r>
              <w:t xml:space="preserve"> analyses).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Results – Sensitivity analysis; ordinal trend tests; women attending no ANC described separately.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D32ECA">
            <w:pPr>
              <w:spacing w:after="30"/>
              <w:jc w:val="center"/>
            </w:pPr>
            <w:r>
              <w:rPr>
                <w:b/>
                <w:bCs/>
              </w:rPr>
              <w:t>[p. 6]</w:t>
            </w:r>
          </w:p>
        </w:tc>
      </w:tr>
      <w:tr w:rsidR="000E058E">
        <w:tc>
          <w:tcPr>
            <w:tcW w:w="9000" w:type="dxa"/>
            <w:gridSpan w:val="4"/>
            <w:shd w:val="clear" w:color="auto" w:fill="1F3864"/>
            <w:tcMar>
              <w:top w:w="50" w:type="dxa"/>
              <w:left w:w="90" w:type="dxa"/>
              <w:bottom w:w="50" w:type="dxa"/>
              <w:right w:w="90" w:type="dxa"/>
            </w:tcMar>
          </w:tcPr>
          <w:p w:rsidR="000E058E" w:rsidRPr="00693793" w:rsidRDefault="006637E0">
            <w:pPr>
              <w:spacing w:after="30"/>
            </w:pPr>
            <w:r>
              <w:rPr>
                <w:b/>
                <w:bCs/>
                <w:sz w:val="19"/>
                <w:szCs w:val="19"/>
              </w:rPr>
              <w:t>Discussion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18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 xml:space="preserve">Key results: </w:t>
            </w:r>
            <w:proofErr w:type="spellStart"/>
            <w:r>
              <w:t>summarise</w:t>
            </w:r>
            <w:proofErr w:type="spellEnd"/>
            <w:r>
              <w:t xml:space="preserve"> with reference to study objectives.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Discussion (opening two paragraphs).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D32ECA">
            <w:pPr>
              <w:spacing w:after="30"/>
              <w:jc w:val="center"/>
            </w:pPr>
            <w:r>
              <w:rPr>
                <w:b/>
                <w:bCs/>
              </w:rPr>
              <w:t>[p. 8]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19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Limitations: discuss bias/imprecision, including direction and magnitude.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Discussion – Strengths and limitations (design; facility-based restriction; dating misclassification; small ≥8-contact stratum; entanglement of timing and frequency; excluded outcome-only records).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CD489E">
            <w:pPr>
              <w:spacing w:after="30"/>
              <w:jc w:val="center"/>
            </w:pPr>
            <w:r>
              <w:rPr>
                <w:b/>
                <w:bCs/>
              </w:rPr>
              <w:t>[p. 11]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20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r>
              <w:t>Interpretation: cautious overall interpretation considering limitations and other evidence.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Discussion – Booking timing in regional context (Table 7); Contact frequency; Maternal outcomes and other predictors; Conclusion.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D32ECA">
            <w:pPr>
              <w:spacing w:after="30"/>
              <w:jc w:val="center"/>
            </w:pPr>
            <w:r>
              <w:rPr>
                <w:b/>
                <w:bCs/>
              </w:rPr>
              <w:t>[p. 11]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lastRenderedPageBreak/>
              <w:t>21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proofErr w:type="spellStart"/>
            <w:r>
              <w:t>Generalisability</w:t>
            </w:r>
            <w:proofErr w:type="spellEnd"/>
            <w:r>
              <w:t xml:space="preserve"> (external validity).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30"/>
            </w:pPr>
            <w:r>
              <w:t>Discussion – Strengths and limitations (single facility; facility-based deliveries only).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D32ECA">
            <w:pPr>
              <w:spacing w:after="30"/>
              <w:jc w:val="center"/>
            </w:pPr>
            <w:r>
              <w:rPr>
                <w:b/>
                <w:bCs/>
              </w:rPr>
              <w:t>[p. 11]</w:t>
            </w:r>
          </w:p>
        </w:tc>
      </w:tr>
      <w:tr w:rsidR="000E058E">
        <w:tc>
          <w:tcPr>
            <w:tcW w:w="9000" w:type="dxa"/>
            <w:gridSpan w:val="4"/>
            <w:shd w:val="clear" w:color="auto" w:fill="1F3864"/>
            <w:tcMar>
              <w:top w:w="50" w:type="dxa"/>
              <w:left w:w="90" w:type="dxa"/>
              <w:bottom w:w="50" w:type="dxa"/>
              <w:right w:w="90" w:type="dxa"/>
            </w:tcMar>
          </w:tcPr>
          <w:p w:rsidR="000E058E" w:rsidRPr="00693793" w:rsidRDefault="006637E0">
            <w:pPr>
              <w:spacing w:after="30"/>
            </w:pPr>
            <w:r>
              <w:rPr>
                <w:b/>
                <w:bCs/>
                <w:sz w:val="19"/>
                <w:szCs w:val="19"/>
              </w:rPr>
              <w:t>Other information11</w:t>
            </w:r>
          </w:p>
        </w:tc>
      </w:tr>
      <w:tr w:rsidR="000E058E">
        <w:tc>
          <w:tcPr>
            <w:tcW w:w="7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  <w:jc w:val="center"/>
            </w:pPr>
            <w:r>
              <w:t>22</w:t>
            </w:r>
          </w:p>
        </w:tc>
        <w:tc>
          <w:tcPr>
            <w:tcW w:w="4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Default="006637E0">
            <w:pPr>
              <w:spacing w:after="20" w:line="235" w:lineRule="auto"/>
            </w:pPr>
            <w:proofErr w:type="gramStart"/>
            <w:r>
              <w:t>Funding:</w:t>
            </w:r>
            <w:proofErr w:type="gramEnd"/>
            <w:r>
              <w:t xml:space="preserve"> source of funding and role of funders for the study.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12118A" w:rsidRDefault="0012118A">
            <w:pPr>
              <w:spacing w:after="30"/>
            </w:pPr>
            <w:r>
              <w:rPr>
                <w:bCs/>
              </w:rPr>
              <w:t>“none”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0E058E" w:rsidRPr="00693793" w:rsidRDefault="00D32ECA">
            <w:pPr>
              <w:spacing w:after="30"/>
              <w:jc w:val="center"/>
            </w:pPr>
            <w:r>
              <w:rPr>
                <w:b/>
                <w:bCs/>
              </w:rPr>
              <w:t>[p.12]</w:t>
            </w:r>
          </w:p>
        </w:tc>
      </w:tr>
    </w:tbl>
    <w:p w:rsidR="000E058E" w:rsidRDefault="006637E0">
      <w:pPr>
        <w:spacing w:before="160" w:after="60"/>
      </w:pPr>
      <w:r>
        <w:rPr>
          <w:b/>
          <w:bCs/>
        </w:rPr>
        <w:t>Notes.</w:t>
      </w:r>
      <w:r>
        <w:t xml:space="preserve">  Page numbers ([p. …]) </w:t>
      </w:r>
      <w:proofErr w:type="gramStart"/>
      <w:r>
        <w:t>should be completed</w:t>
      </w:r>
      <w:proofErr w:type="gramEnd"/>
      <w:r>
        <w:t xml:space="preserve"> against the final typeset manuscript before submission. Items marked in red require author input. The STROBE checklist is available from https://www.strobe-statement.org and the EQUATOR Network.</w:t>
      </w:r>
    </w:p>
    <w:p w:rsidR="003A3D14" w:rsidRDefault="003A3D14">
      <w:pPr>
        <w:spacing w:before="160" w:after="60"/>
      </w:pPr>
    </w:p>
    <w:p w:rsidR="003A3D14" w:rsidRDefault="003A3D14">
      <w:pPr>
        <w:spacing w:before="160" w:after="60"/>
      </w:pPr>
    </w:p>
    <w:p w:rsidR="003A3D14" w:rsidRDefault="003A3D14">
      <w:pPr>
        <w:spacing w:before="160" w:after="60"/>
      </w:pPr>
    </w:p>
    <w:p w:rsidR="003A3D14" w:rsidRDefault="003A3D14">
      <w:pPr>
        <w:spacing w:before="160" w:after="60"/>
      </w:pPr>
      <w:bookmarkStart w:id="0" w:name="_GoBack"/>
      <w:bookmarkEnd w:id="0"/>
    </w:p>
    <w:sectPr w:rsidR="003A3D14">
      <w:foot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B7A" w:rsidRDefault="00A76B7A">
      <w:r>
        <w:separator/>
      </w:r>
    </w:p>
  </w:endnote>
  <w:endnote w:type="continuationSeparator" w:id="0">
    <w:p w:rsidR="00A76B7A" w:rsidRDefault="00A76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58E" w:rsidRDefault="006637E0">
    <w:pPr>
      <w:jc w:val="cen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BC3654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B7A" w:rsidRDefault="00A76B7A">
      <w:r>
        <w:separator/>
      </w:r>
    </w:p>
  </w:footnote>
  <w:footnote w:type="continuationSeparator" w:id="0">
    <w:p w:rsidR="00A76B7A" w:rsidRDefault="00A76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F6D59"/>
    <w:multiLevelType w:val="hybridMultilevel"/>
    <w:tmpl w:val="663C7FCA"/>
    <w:lvl w:ilvl="0" w:tplc="DB365C34">
      <w:start w:val="1"/>
      <w:numFmt w:val="bullet"/>
      <w:lvlText w:val="●"/>
      <w:lvlJc w:val="left"/>
      <w:pPr>
        <w:ind w:left="720" w:hanging="360"/>
      </w:pPr>
    </w:lvl>
    <w:lvl w:ilvl="1" w:tplc="B6824F44">
      <w:start w:val="1"/>
      <w:numFmt w:val="bullet"/>
      <w:lvlText w:val="○"/>
      <w:lvlJc w:val="left"/>
      <w:pPr>
        <w:ind w:left="1440" w:hanging="360"/>
      </w:pPr>
    </w:lvl>
    <w:lvl w:ilvl="2" w:tplc="6FA23BF2">
      <w:start w:val="1"/>
      <w:numFmt w:val="bullet"/>
      <w:lvlText w:val="■"/>
      <w:lvlJc w:val="left"/>
      <w:pPr>
        <w:ind w:left="2160" w:hanging="360"/>
      </w:pPr>
    </w:lvl>
    <w:lvl w:ilvl="3" w:tplc="4128FD7E">
      <w:start w:val="1"/>
      <w:numFmt w:val="bullet"/>
      <w:lvlText w:val="●"/>
      <w:lvlJc w:val="left"/>
      <w:pPr>
        <w:ind w:left="2880" w:hanging="360"/>
      </w:pPr>
    </w:lvl>
    <w:lvl w:ilvl="4" w:tplc="6FE28DC8">
      <w:start w:val="1"/>
      <w:numFmt w:val="bullet"/>
      <w:lvlText w:val="○"/>
      <w:lvlJc w:val="left"/>
      <w:pPr>
        <w:ind w:left="3600" w:hanging="360"/>
      </w:pPr>
    </w:lvl>
    <w:lvl w:ilvl="5" w:tplc="CD9EB162">
      <w:start w:val="1"/>
      <w:numFmt w:val="bullet"/>
      <w:lvlText w:val="■"/>
      <w:lvlJc w:val="left"/>
      <w:pPr>
        <w:ind w:left="4320" w:hanging="360"/>
      </w:pPr>
    </w:lvl>
    <w:lvl w:ilvl="6" w:tplc="A9B65406">
      <w:start w:val="1"/>
      <w:numFmt w:val="bullet"/>
      <w:lvlText w:val="●"/>
      <w:lvlJc w:val="left"/>
      <w:pPr>
        <w:ind w:left="5040" w:hanging="360"/>
      </w:pPr>
    </w:lvl>
    <w:lvl w:ilvl="7" w:tplc="F2402BC8">
      <w:start w:val="1"/>
      <w:numFmt w:val="bullet"/>
      <w:lvlText w:val="●"/>
      <w:lvlJc w:val="left"/>
      <w:pPr>
        <w:ind w:left="5760" w:hanging="360"/>
      </w:pPr>
    </w:lvl>
    <w:lvl w:ilvl="8" w:tplc="0570112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58E"/>
    <w:rsid w:val="0009205B"/>
    <w:rsid w:val="000E058E"/>
    <w:rsid w:val="0012118A"/>
    <w:rsid w:val="00323734"/>
    <w:rsid w:val="003A3D14"/>
    <w:rsid w:val="006637E0"/>
    <w:rsid w:val="00693793"/>
    <w:rsid w:val="007B7873"/>
    <w:rsid w:val="00A76B7A"/>
    <w:rsid w:val="00BC3654"/>
    <w:rsid w:val="00C630D5"/>
    <w:rsid w:val="00CD489E"/>
    <w:rsid w:val="00D3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FBDB2A-DBDF-4928-A2A3-7E7867E8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builder</dc:creator>
  <cp:lastModifiedBy>Awadh Salalimana</cp:lastModifiedBy>
  <cp:revision>3</cp:revision>
  <dcterms:created xsi:type="dcterms:W3CDTF">2026-08-12T08:14:00Z</dcterms:created>
  <dcterms:modified xsi:type="dcterms:W3CDTF">2026-08-14T07:05:00Z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56a65923-9ce9-4a4e-8995-dccf463e943a</vt:lpwstr>
  </property>
</Properties>
</file>