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4CB" w:rsidRDefault="00A8289B">
      <w:pPr>
        <w:spacing w:after="60"/>
      </w:pPr>
      <w:r>
        <w:rPr>
          <w:b/>
          <w:bCs/>
          <w:sz w:val="26"/>
          <w:szCs w:val="26"/>
        </w:rPr>
        <w:t>Supplementary File 1</w:t>
      </w:r>
    </w:p>
    <w:p w:rsidR="007804CB" w:rsidRDefault="00A8289B">
      <w:pPr>
        <w:spacing w:after="40"/>
      </w:pPr>
      <w:r>
        <w:rPr>
          <w:b/>
          <w:bCs/>
          <w:sz w:val="22"/>
          <w:szCs w:val="22"/>
        </w:rPr>
        <w:t>STROBE Statement — checklist of items for reports of cross-sectional studies</w:t>
      </w:r>
    </w:p>
    <w:p w:rsidR="007804CB" w:rsidRDefault="00A8289B">
      <w:pPr>
        <w:spacing w:after="160"/>
      </w:pPr>
      <w:r>
        <w:rPr>
          <w:i/>
          <w:iCs/>
        </w:rPr>
        <w:t>Manuscript: “Timing of antenatal care initiation, contact frequency, and adverse maternal and perinatal outcomes at a district hospital in Zanzibar, Tanzania: an analytical cross-sectional study.”</w:t>
      </w:r>
    </w:p>
    <w:tbl>
      <w:tblPr>
        <w:tblW w:w="90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3" w:space="0" w:color="CCCCCC"/>
          <w:insideV w:val="single" w:sz="3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4600"/>
        <w:gridCol w:w="3640"/>
      </w:tblGrid>
      <w:tr w:rsidR="007804C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6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rPr>
                <w:b/>
                <w:bCs/>
              </w:rPr>
              <w:t>Item</w:t>
            </w:r>
          </w:p>
        </w:tc>
        <w:tc>
          <w:tcPr>
            <w:tcW w:w="46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rPr>
                <w:b/>
                <w:bCs/>
              </w:rPr>
              <w:t>Recommendation (STROBE, cross-sectional)</w:t>
            </w:r>
          </w:p>
        </w:tc>
        <w:tc>
          <w:tcPr>
            <w:tcW w:w="364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rPr>
                <w:b/>
                <w:bCs/>
              </w:rPr>
              <w:t>Where address</w:t>
            </w:r>
            <w:r>
              <w:rPr>
                <w:b/>
                <w:bCs/>
              </w:rPr>
              <w:t>ed in the manuscript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9000" w:type="dxa"/>
            <w:gridSpan w:val="3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7804CB" w:rsidRDefault="00A8289B">
            <w:pPr>
              <w:spacing w:after="30"/>
            </w:pPr>
            <w:r>
              <w:rPr>
                <w:b/>
                <w:bCs/>
                <w:color w:val="FFFFFF"/>
                <w:sz w:val="19"/>
                <w:szCs w:val="19"/>
              </w:rPr>
              <w:t>Title and abstract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(a) Indicate the study's design with a commonly used term in the title or abstract.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Title (“analytical cross-sectional study”); Abstract; Methods – Study design and setting.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7804CB">
            <w:pPr>
              <w:spacing w:after="20" w:line="235" w:lineRule="auto"/>
              <w:jc w:val="center"/>
            </w:pP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(b) Provide an informative and balanced summary of what was done and found.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Structured Abstract (Background, Methods, Results, Conclusion).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9000" w:type="dxa"/>
            <w:gridSpan w:val="3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7804CB" w:rsidRDefault="00A8289B">
            <w:pPr>
              <w:spacing w:after="30"/>
            </w:pPr>
            <w:r>
              <w:rPr>
                <w:b/>
                <w:bCs/>
                <w:color w:val="FFFFFF"/>
                <w:sz w:val="19"/>
                <w:szCs w:val="19"/>
              </w:rPr>
              <w:t>Introduction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2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Background/rationale: explain the scientific background and rationale.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Introduction (paragraphs 1–3).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3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Objectives: state specific objectives, including any prespecified hypotheses.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Introduction (final paragraph); composite outcomes and the sensitivity analysis were pre-specified.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9000" w:type="dxa"/>
            <w:gridSpan w:val="3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7804CB" w:rsidRDefault="00A8289B">
            <w:pPr>
              <w:spacing w:after="30"/>
            </w:pPr>
            <w:r>
              <w:rPr>
                <w:b/>
                <w:bCs/>
                <w:color w:val="FFFFFF"/>
                <w:sz w:val="19"/>
                <w:szCs w:val="19"/>
              </w:rPr>
              <w:t>Methods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4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Study design: present key elements of the design early in the paper.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Study design and setting.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5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Setting: describe setting, locations, and relevant dates.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Study design and setting (Kivunge District Hospital; February–May 2026).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6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(a) Eligibility criteria, and the sources and methods of selection of participants.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Participants (consecutive recruitment; inclusion and exclusion criteria).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7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Variables: clearly define outcomes, exposures, predictors, confounders; diagnostic cr</w:t>
            </w:r>
            <w:r>
              <w:t>iteria.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Variables and definitions; Operational definitions.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8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Data sources / measurement: for each variable, sources of data and methods of assessment.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Data collection (questionnaire; ANC cards, registers, delivery and postnatal records; medical record authoritative).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9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Bias: describe any efforts to address potential sources of bias.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Data collection (record verification); Discussion –</w:t>
            </w:r>
            <w:r>
              <w:t xml:space="preserve"> Strengths and limitations.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10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Study size: explain how the study size was arrived at.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Sample size (Cochran single-proportion; minimum 271; 271 participants recruited).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11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Quantitative variables: how handled; groupings chosen and why.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 xml:space="preserve">Methods – </w:t>
            </w:r>
            <w:r>
              <w:t>Variables (three-category trimester retained rather than collapsed, given the non-linear pattern; contacts &lt;4 / 4–7 / ≥8).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12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(a) Statistical methods, including control for confounding.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Statistical analysis (χ²; multivariable logistic regression adjusting for maternal age and other covariates; Firth penalised likelihood with profile CIs for the fetal model; VIF assessment).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7804CB">
            <w:pPr>
              <w:spacing w:after="20" w:line="235" w:lineRule="auto"/>
              <w:jc w:val="center"/>
            </w:pP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(b) Methods to examine subgroups and interactions.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Bi</w:t>
            </w:r>
            <w:r>
              <w:t>variate analyses by booking trimester (Table 3) and contact frequency (Table 4); ordinal trend tests.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7804CB">
            <w:pPr>
              <w:spacing w:after="20" w:line="235" w:lineRule="auto"/>
              <w:jc w:val="center"/>
            </w:pP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(c) How missing data were addressed.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Statistical analysis (complete-case analysis; 15 without ANC timing, 1 with invalid travel time).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7804CB">
            <w:pPr>
              <w:spacing w:after="20" w:line="235" w:lineRule="auto"/>
              <w:jc w:val="center"/>
            </w:pP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(d) If applicable, analytical methods accounting for sampling strategy.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Not applicable (consecutive recruitment of facility deliveries).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7804CB">
            <w:pPr>
              <w:spacing w:after="20" w:line="235" w:lineRule="auto"/>
              <w:jc w:val="center"/>
            </w:pP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(e) Any sensitivity analyses.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Statistical analysis; Results – Sensitivity analysis (maternal composite refi</w:t>
            </w:r>
            <w:r>
              <w:t>tted excluding caesarean delivery; maternal model refitted with Firth penalisation).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9000" w:type="dxa"/>
            <w:gridSpan w:val="3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7804CB" w:rsidRDefault="00A8289B">
            <w:pPr>
              <w:spacing w:after="30"/>
            </w:pPr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Results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13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(a) Numbers of individuals at each stage (recruited, included, analysed).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Participants; Results; Supplementary File 2, Figure S1 (271 recruited; 256 attended ANC; 15 attended none; 255 complete cases in multivariable models).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7804CB">
            <w:pPr>
              <w:spacing w:after="20" w:line="235" w:lineRule="auto"/>
              <w:jc w:val="center"/>
            </w:pP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(b) Reasons for non-participation at each stage.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Participants (consecutive recruitment of eligible postpartum women).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7804CB">
            <w:pPr>
              <w:spacing w:after="20" w:line="235" w:lineRule="auto"/>
              <w:jc w:val="center"/>
            </w:pP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(c) Consider use of a flow diagram.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Supplementary File 2, Figure S1.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14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(a) Characteristics of participants and information on exposures and potential confounders.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 xml:space="preserve">Results – </w:t>
            </w:r>
            <w:r>
              <w:t>Participant characteristics; Table 1.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7804CB">
            <w:pPr>
              <w:spacing w:after="20" w:line="235" w:lineRule="auto"/>
              <w:jc w:val="center"/>
            </w:pP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(b) Number of participants with missing data for each variable of interest.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Table 1 footnote (travel time, n=1); Results (ANC timing and frequency, n=15).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15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Report numbers of outcome events or summary measures.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Results – Outcomes (Table 2, with component-level counts); Tables 3–4.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16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(a) Unadjusted and confounder-adjusted estimates with precision (95% CI); state confounders and why.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Results – Multivariable analysis; Tables 5–6 (crude and adjusted OR with 95% CI)</w:t>
            </w:r>
            <w:r>
              <w:t>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7804CB">
            <w:pPr>
              <w:spacing w:after="20" w:line="235" w:lineRule="auto"/>
              <w:jc w:val="center"/>
            </w:pP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(b) Report category boundaries when continuous variables were categorized.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Methods – Variables (trimester week boundaries; contact-frequency bands); Table 1 footnote.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7804CB">
            <w:pPr>
              <w:spacing w:after="20" w:line="235" w:lineRule="auto"/>
              <w:jc w:val="center"/>
            </w:pP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(c) If relevant, translate relative risk into absolute risk.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Absolute event proportions reported per exposure category (Tables 3–4; Figures 2–3).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17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Report other analyses (subgroups, interactions, sensitivity analyses).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Results – Sensitivity analysis; ordinal trend tests; women attending no ANC described separately</w:t>
            </w:r>
            <w:r>
              <w:t>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9000" w:type="dxa"/>
            <w:gridSpan w:val="3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7804CB" w:rsidRDefault="00A8289B">
            <w:pPr>
              <w:spacing w:after="30"/>
            </w:pPr>
            <w:r>
              <w:rPr>
                <w:b/>
                <w:bCs/>
                <w:color w:val="FFFFFF"/>
                <w:sz w:val="19"/>
                <w:szCs w:val="19"/>
              </w:rPr>
              <w:t>Discussion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18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Key results: summarise with reference to study objectives.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Discussion (opening two paragraphs).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19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Limitations: discuss bias/imprecision, including direction and magnitude.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Discussion – Strengths and limitations (design; facility-based restriction; dating misclassification; small ≥8-contact stratum; entanglement of timing and frequency).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20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Interpretation: cautious overall interpretation considering limitations and other evi</w:t>
            </w:r>
            <w:r>
              <w:t>dence.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Discussion – Booking timing in regional context; Comparison with regional evidence; Contact frequency; Maternal outcomes and other predictors; Conclusion.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21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Generalisability (external validity).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Discussion – Booking timing in regional context; Str</w:t>
            </w:r>
            <w:r>
              <w:t>engths and limitations (single facility; facility-based deliveries only).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9000" w:type="dxa"/>
            <w:gridSpan w:val="3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7804CB" w:rsidRDefault="00A8289B">
            <w:pPr>
              <w:spacing w:after="30"/>
            </w:pPr>
            <w:r>
              <w:rPr>
                <w:b/>
                <w:bCs/>
                <w:color w:val="FFFFFF"/>
                <w:sz w:val="19"/>
                <w:szCs w:val="19"/>
              </w:rPr>
              <w:t>Other information</w:t>
            </w:r>
          </w:p>
        </w:tc>
      </w:tr>
      <w:tr w:rsidR="007804CB">
        <w:tblPrEx>
          <w:tblCellMar>
            <w:top w:w="0" w:type="dxa"/>
            <w:bottom w:w="0" w:type="dxa"/>
          </w:tblCellMar>
        </w:tblPrEx>
        <w:tc>
          <w:tcPr>
            <w:tcW w:w="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  <w:jc w:val="center"/>
            </w:pPr>
            <w:r>
              <w:t>22</w:t>
            </w:r>
          </w:p>
        </w:tc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Funding: source of funding and role of funders for the study.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804CB" w:rsidRDefault="00A8289B">
            <w:pPr>
              <w:spacing w:after="20" w:line="235" w:lineRule="auto"/>
            </w:pPr>
            <w:r>
              <w:t>Declarations – Funding.</w:t>
            </w:r>
          </w:p>
        </w:tc>
      </w:tr>
    </w:tbl>
    <w:p w:rsidR="007804CB" w:rsidRDefault="00A8289B">
      <w:pPr>
        <w:spacing w:before="160" w:after="60"/>
      </w:pPr>
      <w:r>
        <w:t xml:space="preserve">Reporting follows the STROBE Statement for cross-sectional studies (von Elm E, et al. </w:t>
      </w:r>
      <w:r>
        <w:rPr>
          <w:i/>
          <w:iCs/>
        </w:rPr>
        <w:t>Lancet</w:t>
      </w:r>
      <w:r>
        <w:t xml:space="preserve"> 2007;370:1453–1457). The checklist is available from the EQUATOR N</w:t>
      </w:r>
      <w:bookmarkStart w:id="0" w:name="_GoBack"/>
      <w:bookmarkEnd w:id="0"/>
      <w:r>
        <w:t>etwork (https://www.strobe-statement.org).</w:t>
      </w:r>
    </w:p>
    <w:sectPr w:rsidR="007804CB">
      <w:foot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89B" w:rsidRDefault="00A8289B">
      <w:r>
        <w:separator/>
      </w:r>
    </w:p>
  </w:endnote>
  <w:endnote w:type="continuationSeparator" w:id="0">
    <w:p w:rsidR="00A8289B" w:rsidRDefault="00A8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4CB" w:rsidRDefault="00A8289B">
    <w:pPr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="00600171">
      <w:rPr>
        <w:sz w:val="16"/>
        <w:szCs w:val="16"/>
      </w:rPr>
      <w:fldChar w:fldCharType="separate"/>
    </w:r>
    <w:r w:rsidR="00600171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89B" w:rsidRDefault="00A8289B">
      <w:r>
        <w:separator/>
      </w:r>
    </w:p>
  </w:footnote>
  <w:footnote w:type="continuationSeparator" w:id="0">
    <w:p w:rsidR="00A8289B" w:rsidRDefault="00A82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A1A42"/>
    <w:multiLevelType w:val="hybridMultilevel"/>
    <w:tmpl w:val="F7B43A48"/>
    <w:lvl w:ilvl="0" w:tplc="2BF47E42">
      <w:start w:val="1"/>
      <w:numFmt w:val="bullet"/>
      <w:lvlText w:val="●"/>
      <w:lvlJc w:val="left"/>
      <w:pPr>
        <w:ind w:left="720" w:hanging="360"/>
      </w:pPr>
    </w:lvl>
    <w:lvl w:ilvl="1" w:tplc="40F2FDF0">
      <w:start w:val="1"/>
      <w:numFmt w:val="bullet"/>
      <w:lvlText w:val="○"/>
      <w:lvlJc w:val="left"/>
      <w:pPr>
        <w:ind w:left="1440" w:hanging="360"/>
      </w:pPr>
    </w:lvl>
    <w:lvl w:ilvl="2" w:tplc="73CCE222">
      <w:start w:val="1"/>
      <w:numFmt w:val="bullet"/>
      <w:lvlText w:val="■"/>
      <w:lvlJc w:val="left"/>
      <w:pPr>
        <w:ind w:left="2160" w:hanging="360"/>
      </w:pPr>
    </w:lvl>
    <w:lvl w:ilvl="3" w:tplc="F348CF76">
      <w:start w:val="1"/>
      <w:numFmt w:val="bullet"/>
      <w:lvlText w:val="●"/>
      <w:lvlJc w:val="left"/>
      <w:pPr>
        <w:ind w:left="2880" w:hanging="360"/>
      </w:pPr>
    </w:lvl>
    <w:lvl w:ilvl="4" w:tplc="76EA6FE6">
      <w:start w:val="1"/>
      <w:numFmt w:val="bullet"/>
      <w:lvlText w:val="○"/>
      <w:lvlJc w:val="left"/>
      <w:pPr>
        <w:ind w:left="3600" w:hanging="360"/>
      </w:pPr>
    </w:lvl>
    <w:lvl w:ilvl="5" w:tplc="466ABD7C">
      <w:start w:val="1"/>
      <w:numFmt w:val="bullet"/>
      <w:lvlText w:val="■"/>
      <w:lvlJc w:val="left"/>
      <w:pPr>
        <w:ind w:left="4320" w:hanging="360"/>
      </w:pPr>
    </w:lvl>
    <w:lvl w:ilvl="6" w:tplc="F7CC00A8">
      <w:start w:val="1"/>
      <w:numFmt w:val="bullet"/>
      <w:lvlText w:val="●"/>
      <w:lvlJc w:val="left"/>
      <w:pPr>
        <w:ind w:left="5040" w:hanging="360"/>
      </w:pPr>
    </w:lvl>
    <w:lvl w:ilvl="7" w:tplc="8CD8E320">
      <w:start w:val="1"/>
      <w:numFmt w:val="bullet"/>
      <w:lvlText w:val="●"/>
      <w:lvlJc w:val="left"/>
      <w:pPr>
        <w:ind w:left="5760" w:hanging="360"/>
      </w:pPr>
    </w:lvl>
    <w:lvl w:ilvl="8" w:tplc="C15C873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CB"/>
    <w:rsid w:val="00600171"/>
    <w:rsid w:val="007804CB"/>
    <w:rsid w:val="00A8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D02B58-69E4-4229-A5E1-60D58013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</dc:creator>
  <cp:lastModifiedBy>Awadh Salalimana</cp:lastModifiedBy>
  <cp:revision>2</cp:revision>
  <dcterms:created xsi:type="dcterms:W3CDTF">2026-08-09T11:09:00Z</dcterms:created>
  <dcterms:modified xsi:type="dcterms:W3CDTF">2026-08-09T11:09:00Z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b0ad4257-08ef-4815-b8a3-28b540136763</vt:lpwstr>
  </property>
</Properties>
</file>