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4CA5E">
      <w:pPr>
        <w:jc w:val="both"/>
        <w:rPr>
          <w:rFonts w:hint="default" w:ascii="Times New Roman" w:hAnsi="Times New Roman" w:eastAsia="宋体" w:cs="Times New Roman"/>
          <w:b/>
          <w:bCs/>
          <w:szCs w:val="21"/>
        </w:rPr>
      </w:pPr>
      <w:r>
        <w:rPr>
          <w:rFonts w:hint="default" w:ascii="Times New Roman" w:hAnsi="Times New Roman" w:eastAsia="宋体" w:cs="Times New Roman"/>
          <w:b/>
          <w:bCs/>
          <w:szCs w:val="21"/>
        </w:rPr>
        <w:t>All corticosteroid doses were converted to equivalent doses of prednisone (where 5 mg of prednisone</w:t>
      </w:r>
      <w:bookmarkStart w:id="0" w:name="_GoBack"/>
      <w:bookmarkEnd w:id="0"/>
      <w:r>
        <w:rPr>
          <w:rFonts w:hint="default" w:ascii="Times New Roman" w:hAnsi="Times New Roman" w:eastAsia="宋体" w:cs="Times New Roman"/>
          <w:b/>
          <w:bCs/>
          <w:szCs w:val="21"/>
        </w:rPr>
        <w:t xml:space="preserve"> = 4 mg of methylprednisolone = 0.75 mg of dexamethasone = 20 mg of hydrocortisone).</w:t>
      </w:r>
    </w:p>
    <w:p w14:paraId="0C15EF0E">
      <w:pPr>
        <w:jc w:val="both"/>
        <w:rPr>
          <w:rFonts w:hint="default" w:ascii="Times New Roman" w:hAnsi="Times New Roman" w:eastAsia="宋体" w:cs="Times New Roman"/>
          <w:b/>
          <w:bCs/>
          <w:szCs w:val="21"/>
        </w:rPr>
      </w:pPr>
    </w:p>
    <w:p w14:paraId="5A9DA50D">
      <w:pPr>
        <w:jc w:val="center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szCs w:val="21"/>
        </w:rPr>
        <w:t>Variable Assignment Table</w:t>
      </w:r>
    </w:p>
    <w:tbl>
      <w:tblPr>
        <w:tblStyle w:val="7"/>
        <w:tblW w:w="8293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47"/>
        <w:gridCol w:w="4146"/>
      </w:tblGrid>
      <w:tr w14:paraId="6736EE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414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6EBA874F">
            <w:pPr>
              <w:keepNext w:val="0"/>
              <w:keepLines w:val="0"/>
              <w:suppressLineNumbers w:val="0"/>
              <w:wordWrap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dependent variable</w:t>
            </w:r>
          </w:p>
        </w:tc>
        <w:tc>
          <w:tcPr>
            <w:tcW w:w="414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  <w:insideH w:val="single" w:sz="6" w:space="0"/>
              <w:insideV w:val="nil"/>
              <w:tl2br w:val="nil"/>
              <w:tr2bl w:val="nil"/>
            </w:tcBorders>
          </w:tcPr>
          <w:p w14:paraId="176DFD78">
            <w:pPr>
              <w:keepNext w:val="0"/>
              <w:keepLines w:val="0"/>
              <w:suppressLineNumbers w:val="0"/>
              <w:wordWrap/>
              <w:spacing w:before="0" w:beforeAutospacing="0" w:after="0" w:afterAutospacing="0"/>
              <w:ind w:left="0" w:right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coding</w:t>
            </w:r>
          </w:p>
        </w:tc>
      </w:tr>
      <w:tr w14:paraId="36855EE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4147" w:type="dxa"/>
            <w:vAlign w:val="top"/>
          </w:tcPr>
          <w:p w14:paraId="159BB841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Day 7 clinical outcome</w:t>
            </w:r>
          </w:p>
        </w:tc>
        <w:tc>
          <w:tcPr>
            <w:tcW w:w="4146" w:type="dxa"/>
            <w:vAlign w:val="top"/>
          </w:tcPr>
          <w:p w14:paraId="3FBF8F46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0: poor outcome; 1: favorable outcome</w:t>
            </w:r>
          </w:p>
        </w:tc>
      </w:tr>
      <w:tr w14:paraId="23487A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4147" w:type="dxa"/>
            <w:vAlign w:val="top"/>
          </w:tcPr>
          <w:p w14:paraId="7C596F36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independent variable</w:t>
            </w:r>
          </w:p>
        </w:tc>
        <w:tc>
          <w:tcPr>
            <w:tcW w:w="4146" w:type="dxa"/>
            <w:vAlign w:val="top"/>
          </w:tcPr>
          <w:p w14:paraId="35829B9E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2085E2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4147" w:type="dxa"/>
            <w:vAlign w:val="top"/>
          </w:tcPr>
          <w:p w14:paraId="3C5D19A5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Disease severity at admission</w:t>
            </w:r>
          </w:p>
        </w:tc>
        <w:tc>
          <w:tcPr>
            <w:tcW w:w="4146" w:type="dxa"/>
            <w:vAlign w:val="top"/>
          </w:tcPr>
          <w:p w14:paraId="32FEF84C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0: severe type; 1: critical type</w:t>
            </w:r>
          </w:p>
        </w:tc>
      </w:tr>
      <w:tr w14:paraId="278F12C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4147" w:type="dxa"/>
            <w:vAlign w:val="top"/>
          </w:tcPr>
          <w:p w14:paraId="0DBF6C6E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1"/>
                <w:szCs w:val="21"/>
                <w:shd w:val="clear" w:color="auto" w:fill="FFFFFF"/>
                <w:lang w:val="en-US" w:eastAsia="zh-CN" w:bidi="ar"/>
              </w:rPr>
              <w:t>COPD</w:t>
            </w:r>
          </w:p>
        </w:tc>
        <w:tc>
          <w:tcPr>
            <w:tcW w:w="4146" w:type="dxa"/>
            <w:vAlign w:val="top"/>
          </w:tcPr>
          <w:p w14:paraId="57BB6233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0: no; 1: yes</w:t>
            </w:r>
          </w:p>
        </w:tc>
      </w:tr>
      <w:tr w14:paraId="325110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147" w:type="dxa"/>
            <w:vAlign w:val="top"/>
          </w:tcPr>
          <w:p w14:paraId="4B07B12C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CRF</w:t>
            </w:r>
          </w:p>
        </w:tc>
        <w:tc>
          <w:tcPr>
            <w:tcW w:w="4146" w:type="dxa"/>
            <w:vAlign w:val="top"/>
          </w:tcPr>
          <w:p w14:paraId="380F2902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0: no; 1: yes</w:t>
            </w:r>
          </w:p>
        </w:tc>
      </w:tr>
      <w:tr w14:paraId="5F64C7A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147" w:type="dxa"/>
            <w:shd w:val="clear" w:color="auto" w:fill="auto"/>
            <w:vAlign w:val="top"/>
          </w:tcPr>
          <w:p w14:paraId="35175BFD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Co-infection</w:t>
            </w:r>
          </w:p>
        </w:tc>
        <w:tc>
          <w:tcPr>
            <w:tcW w:w="4146" w:type="dxa"/>
            <w:shd w:val="clear" w:color="auto" w:fill="auto"/>
            <w:vAlign w:val="top"/>
          </w:tcPr>
          <w:p w14:paraId="63C874E7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0: no; 1: yes</w:t>
            </w:r>
          </w:p>
        </w:tc>
      </w:tr>
      <w:tr w14:paraId="4CEC2D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4147" w:type="dxa"/>
            <w:vAlign w:val="top"/>
          </w:tcPr>
          <w:p w14:paraId="77418E79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Age</w:t>
            </w:r>
          </w:p>
        </w:tc>
        <w:tc>
          <w:tcPr>
            <w:tcW w:w="4146" w:type="dxa"/>
            <w:vAlign w:val="top"/>
          </w:tcPr>
          <w:p w14:paraId="1B7B308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continuous variable</w:t>
            </w:r>
          </w:p>
        </w:tc>
      </w:tr>
      <w:tr w14:paraId="733900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4147" w:type="dxa"/>
            <w:vAlign w:val="top"/>
          </w:tcPr>
          <w:p w14:paraId="5F83212B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BMI</w:t>
            </w:r>
          </w:p>
        </w:tc>
        <w:tc>
          <w:tcPr>
            <w:tcW w:w="4146" w:type="dxa"/>
            <w:vAlign w:val="top"/>
          </w:tcPr>
          <w:p w14:paraId="2F81132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continuous variable</w:t>
            </w:r>
          </w:p>
        </w:tc>
      </w:tr>
      <w:tr w14:paraId="7C513A7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4147" w:type="dxa"/>
            <w:vAlign w:val="top"/>
          </w:tcPr>
          <w:p w14:paraId="26DF748F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PCT</w:t>
            </w:r>
          </w:p>
        </w:tc>
        <w:tc>
          <w:tcPr>
            <w:tcW w:w="4146" w:type="dxa"/>
            <w:vAlign w:val="top"/>
          </w:tcPr>
          <w:p w14:paraId="061B689E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continuous variable</w:t>
            </w:r>
          </w:p>
        </w:tc>
      </w:tr>
      <w:tr w14:paraId="42A7B6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4147" w:type="dxa"/>
            <w:vAlign w:val="top"/>
          </w:tcPr>
          <w:p w14:paraId="28DEC967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RP</w:t>
            </w:r>
          </w:p>
        </w:tc>
        <w:tc>
          <w:tcPr>
            <w:tcW w:w="4146" w:type="dxa"/>
            <w:vAlign w:val="top"/>
          </w:tcPr>
          <w:p w14:paraId="278DEB5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continuous variable</w:t>
            </w:r>
          </w:p>
        </w:tc>
      </w:tr>
      <w:tr w14:paraId="0E7C838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4147" w:type="dxa"/>
            <w:vAlign w:val="top"/>
          </w:tcPr>
          <w:p w14:paraId="52677CA8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AST</w:t>
            </w:r>
          </w:p>
        </w:tc>
        <w:tc>
          <w:tcPr>
            <w:tcW w:w="4146" w:type="dxa"/>
            <w:vAlign w:val="top"/>
          </w:tcPr>
          <w:p w14:paraId="694E887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continuous variable</w:t>
            </w:r>
          </w:p>
        </w:tc>
      </w:tr>
      <w:tr w14:paraId="3EFFB14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4147" w:type="dxa"/>
            <w:vAlign w:val="top"/>
          </w:tcPr>
          <w:p w14:paraId="1143F3C8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ALT</w:t>
            </w:r>
          </w:p>
        </w:tc>
        <w:tc>
          <w:tcPr>
            <w:tcW w:w="4146" w:type="dxa"/>
            <w:vAlign w:val="top"/>
          </w:tcPr>
          <w:p w14:paraId="06B531C2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continuous variable</w:t>
            </w:r>
          </w:p>
        </w:tc>
      </w:tr>
      <w:tr w14:paraId="0E6A18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4147" w:type="dxa"/>
            <w:vAlign w:val="top"/>
          </w:tcPr>
          <w:p w14:paraId="49625D93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Lymphocyte countt</w:t>
            </w:r>
          </w:p>
        </w:tc>
        <w:tc>
          <w:tcPr>
            <w:tcW w:w="4146" w:type="dxa"/>
            <w:vAlign w:val="top"/>
          </w:tcPr>
          <w:p w14:paraId="1491FCD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continuous variable</w:t>
            </w:r>
          </w:p>
        </w:tc>
      </w:tr>
      <w:tr w14:paraId="40EA1B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4147" w:type="dxa"/>
            <w:vAlign w:val="top"/>
          </w:tcPr>
          <w:p w14:paraId="391FE485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NLR</w:t>
            </w:r>
          </w:p>
        </w:tc>
        <w:tc>
          <w:tcPr>
            <w:tcW w:w="4146" w:type="dxa"/>
            <w:vAlign w:val="top"/>
          </w:tcPr>
          <w:p w14:paraId="39C5480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continuous variable</w:t>
            </w:r>
          </w:p>
        </w:tc>
      </w:tr>
      <w:tr w14:paraId="1662F9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4147" w:type="dxa"/>
            <w:vAlign w:val="top"/>
          </w:tcPr>
          <w:p w14:paraId="3E2A91A8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PLT</w:t>
            </w:r>
          </w:p>
        </w:tc>
        <w:tc>
          <w:tcPr>
            <w:tcW w:w="4146" w:type="dxa"/>
            <w:vAlign w:val="top"/>
          </w:tcPr>
          <w:p w14:paraId="44DFC470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continuous variable</w:t>
            </w:r>
          </w:p>
        </w:tc>
      </w:tr>
      <w:tr w14:paraId="60381C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4147" w:type="dxa"/>
            <w:vAlign w:val="top"/>
          </w:tcPr>
          <w:p w14:paraId="03B740D7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PT-INR</w:t>
            </w:r>
          </w:p>
        </w:tc>
        <w:tc>
          <w:tcPr>
            <w:tcW w:w="4146" w:type="dxa"/>
            <w:vAlign w:val="top"/>
          </w:tcPr>
          <w:p w14:paraId="682ED5E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continuous variable</w:t>
            </w:r>
          </w:p>
        </w:tc>
      </w:tr>
      <w:tr w14:paraId="075F30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4147" w:type="dxa"/>
            <w:vAlign w:val="top"/>
          </w:tcPr>
          <w:p w14:paraId="1B111C17">
            <w:pPr>
              <w:pStyle w:val="8"/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D-dimer</w:t>
            </w:r>
          </w:p>
        </w:tc>
        <w:tc>
          <w:tcPr>
            <w:tcW w:w="4146" w:type="dxa"/>
            <w:vAlign w:val="top"/>
          </w:tcPr>
          <w:p w14:paraId="50C8EC38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continuous variable</w:t>
            </w:r>
          </w:p>
        </w:tc>
      </w:tr>
    </w:tbl>
    <w:p w14:paraId="4E64D832">
      <w:pPr>
        <w:rPr>
          <w:rFonts w:hint="eastAsia" w:ascii="Times New Roman" w:hAnsi="Times New Roman" w:eastAsia="宋体" w:cs="Times New Roman"/>
          <w:b w:val="0"/>
          <w:bCs w:val="0"/>
          <w:kern w:val="0"/>
          <w:sz w:val="24"/>
          <w:shd w:val="clear" w:color="auto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55A80"/>
    <w:rsid w:val="04E43F3F"/>
    <w:rsid w:val="11090256"/>
    <w:rsid w:val="326A7877"/>
    <w:rsid w:val="33CC0265"/>
    <w:rsid w:val="36C30B3F"/>
    <w:rsid w:val="36DA3A0A"/>
    <w:rsid w:val="477F7169"/>
    <w:rsid w:val="59941D06"/>
    <w:rsid w:val="605B0706"/>
    <w:rsid w:val="7AD5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180" w:after="180"/>
    </w:pPr>
  </w:style>
  <w:style w:type="paragraph" w:customStyle="1" w:styleId="5">
    <w:name w:val="EndNote xin"/>
    <w:basedOn w:val="1"/>
    <w:link w:val="6"/>
    <w:qFormat/>
    <w:uiPriority w:val="0"/>
    <w:pPr>
      <w:spacing w:line="240" w:lineRule="auto"/>
    </w:pPr>
    <w:rPr>
      <w:rFonts w:ascii="Times New Roman" w:hAnsi="Times New Roman" w:eastAsia="宋体" w:cs="Calibri"/>
    </w:rPr>
  </w:style>
  <w:style w:type="character" w:customStyle="1" w:styleId="6">
    <w:name w:val="EndNote Bibliography 字符"/>
    <w:link w:val="5"/>
    <w:qFormat/>
    <w:uiPriority w:val="0"/>
    <w:rPr>
      <w:rFonts w:ascii="Times New Roman" w:hAnsi="Times New Roman" w:eastAsia="宋体" w:cs="Calibri"/>
      <w:kern w:val="2"/>
      <w:sz w:val="21"/>
      <w:szCs w:val="24"/>
      <w:lang w:val="en-US" w:eastAsia="zh-CN" w:bidi="ar-SA"/>
    </w:rPr>
  </w:style>
  <w:style w:type="table" w:customStyle="1" w:styleId="7">
    <w:name w:val="三线表"/>
    <w:basedOn w:val="3"/>
    <w:qFormat/>
    <w:uiPriority w:val="99"/>
    <w:tblPr>
      <w:tblBorders>
        <w:top w:val="single" w:color="auto" w:sz="12" w:space="0"/>
        <w:bottom w:val="single" w:color="auto" w:sz="12" w:space="0"/>
      </w:tblBorders>
    </w:tblPr>
    <w:tblStylePr w:type="firstRow">
      <w:pPr>
        <w:wordWrap/>
        <w:ind w:firstLine="0" w:firstLineChars="0"/>
        <w:jc w:val="left"/>
      </w:pPr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8">
    <w:name w:val="Compact"/>
    <w:basedOn w:val="2"/>
    <w:qFormat/>
    <w:uiPriority w:val="0"/>
    <w:pPr>
      <w:spacing w:before="36" w:after="36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107</Words>
  <Characters>623</Characters>
  <Lines>0</Lines>
  <Paragraphs>0</Paragraphs>
  <TotalTime>3</TotalTime>
  <ScaleCrop>false</ScaleCrop>
  <LinksUpToDate>false</LinksUpToDate>
  <CharactersWithSpaces>693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2026-02-19T13:01:00Z</dcterms:created>
  <dc:creator>55499</dc:creator>
  <cp:lastModifiedBy>竹萧</cp:lastModifiedBy>
  <dcterms:modified xsi:type="dcterms:W3CDTF">2026-08-14T14:00:26Z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759345592A3F4D0F9C86A5BEEEAF9DC2_12</vt:lpwstr>
  </property>
  <property fmtid="{D5CDD505-2E9C-101B-9397-08002B2CF9AE}" pid="4" name="KSOTemplateDocerSaveRecord">
    <vt:lpwstr>eyJoZGlkIjoiNWM4NWMyY2ZmMjdkZDliMWI0MjQ5ODZkODg0NjY5YjMiLCJ1c2VySWQiOiIzMjc4NjEwMTcifQ==</vt:lpwstr>
  </property>
</Properties>
</file>