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9DE7E87" w14:textId="77777777" w:rsidR="00901A40" w:rsidRPr="002100FC" w:rsidRDefault="00901A40" w:rsidP="00901A40">
      <w:pPr>
        <w:pStyle w:val="NormalWeb"/>
        <w:spacing w:after="280" w:line="360" w:lineRule="auto"/>
        <w:jc w:val="both"/>
        <w:rPr>
          <w:rFonts w:ascii="Arial" w:hAnsi="Arial" w:cs="Arial"/>
          <w:color w:val="000000" w:themeColor="text1"/>
          <w:sz w:val="22"/>
          <w:szCs w:val="22"/>
        </w:rPr>
      </w:pPr>
      <w:r w:rsidRPr="002100FC">
        <w:rPr>
          <w:rStyle w:val="Strong"/>
          <w:rFonts w:ascii="Arial" w:hAnsi="Arial" w:cs="Arial"/>
          <w:color w:val="000000" w:themeColor="text1"/>
          <w:sz w:val="22"/>
          <w:szCs w:val="22"/>
        </w:rPr>
        <w:t>UBE2E3 sustains PRC1.1 function and leukemic stemness in acute myeloid leukemia</w:t>
      </w:r>
    </w:p>
    <w:p w14:paraId="65B27279" w14:textId="39196166" w:rsidR="00901A40" w:rsidRPr="00901A40" w:rsidRDefault="00901A40" w:rsidP="00330C5D">
      <w:pPr>
        <w:spacing w:before="240" w:after="80" w:line="360" w:lineRule="auto"/>
        <w:jc w:val="both"/>
        <w:rPr>
          <w:rFonts w:asciiTheme="minorBidi" w:hAnsiTheme="minorBidi"/>
          <w:b/>
          <w:color w:val="000000" w:themeColor="text1"/>
          <w:lang w:val="en-CA"/>
        </w:rPr>
      </w:pPr>
      <w:r>
        <w:rPr>
          <w:rFonts w:asciiTheme="minorBidi" w:hAnsiTheme="minorBidi"/>
          <w:b/>
          <w:color w:val="000000" w:themeColor="text1"/>
          <w:lang w:val="en-CA"/>
        </w:rPr>
        <w:t>Experimental Procedures</w:t>
      </w:r>
    </w:p>
    <w:p w14:paraId="00FAB0D9" w14:textId="5E8D16D9" w:rsidR="00E31E3B" w:rsidRPr="00330C5D" w:rsidRDefault="00AF28FD" w:rsidP="00330C5D">
      <w:pPr>
        <w:spacing w:before="240" w:after="80" w:line="360" w:lineRule="auto"/>
        <w:jc w:val="both"/>
        <w:rPr>
          <w:rFonts w:asciiTheme="minorBidi" w:hAnsiTheme="minorBidi"/>
          <w:color w:val="000000" w:themeColor="text1"/>
        </w:rPr>
      </w:pPr>
      <w:r w:rsidRPr="00330C5D">
        <w:rPr>
          <w:rFonts w:asciiTheme="minorBidi" w:hAnsiTheme="minorBidi"/>
          <w:b/>
          <w:color w:val="000000" w:themeColor="text1"/>
        </w:rPr>
        <w:t>Cell lines and culture</w:t>
      </w:r>
    </w:p>
    <w:p w14:paraId="2C5F2F5A" w14:textId="18E6006A" w:rsidR="00E6133F" w:rsidRPr="00330C5D" w:rsidRDefault="00E6133F" w:rsidP="00330C5D">
      <w:pPr>
        <w:spacing w:after="140" w:line="360" w:lineRule="auto"/>
        <w:jc w:val="both"/>
        <w:rPr>
          <w:rFonts w:asciiTheme="minorBidi" w:hAnsiTheme="minorBidi"/>
          <w:color w:val="000000" w:themeColor="text1"/>
        </w:rPr>
      </w:pPr>
      <w:r w:rsidRPr="00330C5D">
        <w:rPr>
          <w:rFonts w:asciiTheme="minorBidi" w:eastAsia="Arial" w:hAnsiTheme="minorBidi"/>
          <w:color w:val="000000" w:themeColor="text1"/>
        </w:rPr>
        <w:t>OCI-AML2, NB4</w:t>
      </w:r>
      <w:r w:rsidR="004954B8">
        <w:rPr>
          <w:rFonts w:asciiTheme="minorBidi" w:eastAsia="Arial" w:hAnsiTheme="minorBidi"/>
          <w:color w:val="000000" w:themeColor="text1"/>
        </w:rPr>
        <w:t xml:space="preserve"> </w:t>
      </w:r>
      <w:r w:rsidRPr="00330C5D">
        <w:rPr>
          <w:rFonts w:asciiTheme="minorBidi" w:eastAsia="Arial" w:hAnsiTheme="minorBidi"/>
          <w:color w:val="000000" w:themeColor="text1"/>
        </w:rPr>
        <w:t xml:space="preserve">and K562 cells were grown in RPMI media. </w:t>
      </w:r>
      <w:r w:rsidRPr="00330C5D">
        <w:rPr>
          <w:rFonts w:asciiTheme="minorBidi" w:hAnsiTheme="minorBidi"/>
          <w:color w:val="000000" w:themeColor="text1"/>
        </w:rPr>
        <w:t xml:space="preserve">HEK293T and </w:t>
      </w:r>
      <w:proofErr w:type="spellStart"/>
      <w:r w:rsidRPr="00330C5D">
        <w:rPr>
          <w:rFonts w:asciiTheme="minorBidi" w:hAnsiTheme="minorBidi"/>
          <w:color w:val="000000" w:themeColor="text1"/>
        </w:rPr>
        <w:t>Flp</w:t>
      </w:r>
      <w:proofErr w:type="spellEnd"/>
      <w:r w:rsidRPr="00330C5D">
        <w:rPr>
          <w:rFonts w:asciiTheme="minorBidi" w:hAnsiTheme="minorBidi"/>
          <w:color w:val="000000" w:themeColor="text1"/>
        </w:rPr>
        <w:t>-In T-</w:t>
      </w:r>
      <w:proofErr w:type="spellStart"/>
      <w:r w:rsidRPr="00330C5D">
        <w:rPr>
          <w:rFonts w:asciiTheme="minorBidi" w:hAnsiTheme="minorBidi"/>
          <w:color w:val="000000" w:themeColor="text1"/>
        </w:rPr>
        <w:t>REx</w:t>
      </w:r>
      <w:proofErr w:type="spellEnd"/>
      <w:r w:rsidRPr="00330C5D">
        <w:rPr>
          <w:rFonts w:asciiTheme="minorBidi" w:hAnsiTheme="minorBidi"/>
          <w:color w:val="000000" w:themeColor="text1"/>
        </w:rPr>
        <w:t xml:space="preserve"> 293 cells were cultured in DMEM.</w:t>
      </w:r>
      <w:r w:rsidRPr="00330C5D">
        <w:rPr>
          <w:rFonts w:asciiTheme="minorBidi" w:eastAsia="Arial" w:hAnsiTheme="minorBidi"/>
          <w:color w:val="000000" w:themeColor="text1"/>
        </w:rPr>
        <w:t xml:space="preserve"> All media were supplemented with 10% fetal bovine serum and appropriate antibiotics. TEX leukemia cells and 8227 cells were obtained from Dr. John Dick’s lab </w:t>
      </w:r>
      <w:r w:rsidRPr="00330C5D">
        <w:rPr>
          <w:rFonts w:asciiTheme="minorBidi" w:eastAsia="Arial" w:hAnsiTheme="minorBidi"/>
          <w:color w:val="000000" w:themeColor="text1"/>
        </w:rPr>
        <w:fldChar w:fldCharType="begin"/>
      </w:r>
      <w:r w:rsidRPr="00330C5D">
        <w:rPr>
          <w:rFonts w:asciiTheme="minorBidi" w:eastAsia="Arial" w:hAnsiTheme="minorBidi"/>
          <w:color w:val="000000" w:themeColor="text1"/>
        </w:rPr>
        <w:instrText xml:space="preserve"> ADDIN ZOTERO_ITEM CSL_CITATION {"citationID":"a1uu90v269n","properties":{"formattedCitation":"\\super 1,2\\nosupersub{}","plainCitation":"1,2","noteIndex":0},"citationItems":[{"id":565,"uris":["http://zotero.org/users/local/eCJUxClJ/items/2D236YFE"],"itemData":{"id":565,"type":"article-journal","abstract":"To investigate miRNA function in human acute myeloid leukemia (AML) stem cells (LSC), we generated a prognostic LSC-associated miRNA signature derived from functionally validated subpopulations of AML samples. For one signature miRNA, miR-126, high bioactivity aggregated all in vivo patient sample LSC activity into a single sorted population, tightly coupling miR-126 expression to LSC function. Through functional studies, miR-126 was found to restrain cell cycle progression, prevent differentiation, and increase self-renewal of primary LSC in vivo. Compared with prior results showing miR-126 regulation of normal hematopoietic stem cell (HSC) cycling, these functional stem effects are opposite between LSC and HSC. Combined transcriptome and proteome analysis demonstrates that miR-126 targets the PI3K/AKT/MTOR signaling pathway, preserving LSC quiescence and promoting chemotherapy resistance.","container-title":"Cancer Cell","DOI":"10.1016/j.ccell.2015.12.011","ISSN":"1878-3686","issue":"2","journalAbbreviation":"Cancer Cell","language":"eng","page":"214-228","PMID":"26832662","PMCID":"PMC4749543","source":"PubMed","title":"miR-126 Regulates Distinct Self-Renewal Outcomes in Normal and Malignant Hematopoietic Stem Cells","volume":"29","author":[{"family":"Lechman","given":"Eric R."},{"family":"Gentner","given":"Bernhard"},{"family":"Ng","given":"Stanley W. K."},{"family":"Schoof","given":"Erwin M."},{"family":"Galen","given":"Peter","non-dropping-particle":"van"},{"family":"Kennedy","given":"James A."},{"family":"Nucera","given":"Silvia"},{"family":"Ciceri","given":"Fabio"},{"family":"Kaufmann","given":"Kerstin B."},{"family":"Takayama","given":"Naoya"},{"family":"Dobson","given":"Stephanie M."},{"family":"Trotman-Grant","given":"Aaron"},{"family":"Krivdova","given":"Gabriela"},{"family":"Elzinga","given":"Janneke"},{"family":"Mitchell","given":"Amanda"},{"family":"Nilsson","given":"Björn"},{"family":"Hermans","given":"Karin G."},{"family":"Eppert","given":"Kolja"},{"family":"Marke","given":"Rene"},{"family":"Isserlin","given":"Ruth"},{"family":"Voisin","given":"Veronique"},{"family":"Bader","given":"Gary D."},{"family":"Zandstra","given":"Peter W."},{"family":"Golub","given":"Todd R."},{"family":"Ebert","given":"Benjamin L."},{"family":"Lu","given":"Jun"},{"family":"Minden","given":"Mark"},{"family":"Wang","given":"Jean C. Y."},{"family":"Naldini","given":"Luigi"},{"family":"Dick","given":"John E."}],"issued":{"date-parts":[["2016",2,8]]}}},{"id":562,"uris":["http://zotero.org/users/local/eCJUxClJ/items/FKDQUPLQ"],"itemData":{"id":562,"type":"article-journal","abstract":"Although genetic abnormalities associated with hematological malignancies are readily identified, the natural history of human leukemia cannot be observed because initiating and subsequent transforming events occur before clinical presentation. Furthermore, it has not been possible to study leukemogenesis in vitro as normal human cells do not spontaneously transform. Thus, the nature and sequence of genetic changes required to convert human hematopoietic cells into leukemia cells have never been directly examined. We have developed a system where the first step in the leukemogenic process is an engineered disruption of differentiation and self-renewal due to expression of the TLS-ERG oncogene, followed in some cases by overexpression of hTERT. In two of 13 experiments, transduced cells underwent step-wise transformation and immortalization through spontaneous acquisition of additional changes. The acquired karyotypic abnormalities and alterations including upregulation of Bmi-1 and telomerase all occur in acute myeloid leukemia (AML), establishing the relevance of this system. One resultant cell line studied in depth exhibits cellular properties characteristic of AML, notably a hierarchical organization initiated by leukemic stem cells that differentiate abnormally. These findings provide direct evidence for multiple cooperating events in human leukemogenesis, and provide a foundation for studying the genetic changes that occur during leukemic initiation and progression.","container-title":"Leukemia","DOI":"10.1038/sj.leu.2403917","ISSN":"0887-6924","issue":"10","journalAbbreviation":"Leukemia","language":"eng","page":"1794-1805","PMID":"16094415","source":"PubMed","title":"Direct evidence for cooperating genetic events in the leukemic transformation of normal human hematopoietic cells","volume":"19","author":[{"family":"Warner","given":"J. K."},{"family":"Wang","given":"J. C. Y."},{"family":"Takenaka","given":"K."},{"family":"Doulatov","given":"S."},{"family":"McKenzie","given":"J. L."},{"family":"Harrington","given":"L."},{"family":"Dick","given":"J. E."}],"issued":{"date-parts":[["2005",10]]}}}],"schema":"https://github.com/citation-style-language/schema/raw/master/csl-citation.json"} </w:instrText>
      </w:r>
      <w:r w:rsidRPr="00330C5D">
        <w:rPr>
          <w:rFonts w:asciiTheme="minorBidi" w:eastAsia="Arial" w:hAnsiTheme="minorBidi"/>
          <w:color w:val="000000" w:themeColor="text1"/>
        </w:rPr>
        <w:fldChar w:fldCharType="separate"/>
      </w:r>
      <w:r w:rsidRPr="00330C5D">
        <w:rPr>
          <w:rFonts w:asciiTheme="minorBidi" w:hAnsiTheme="minorBidi"/>
          <w:color w:val="000000"/>
          <w:vertAlign w:val="superscript"/>
          <w:lang w:bidi="he-IL"/>
        </w:rPr>
        <w:t>1,2</w:t>
      </w:r>
      <w:r w:rsidRPr="00330C5D">
        <w:rPr>
          <w:rFonts w:asciiTheme="minorBidi" w:eastAsia="Arial" w:hAnsiTheme="minorBidi"/>
          <w:color w:val="000000" w:themeColor="text1"/>
        </w:rPr>
        <w:fldChar w:fldCharType="end"/>
      </w:r>
      <w:r w:rsidRPr="00330C5D">
        <w:rPr>
          <w:rFonts w:asciiTheme="minorBidi" w:eastAsia="Arial" w:hAnsiTheme="minorBidi"/>
          <w:color w:val="000000" w:themeColor="text1"/>
        </w:rPr>
        <w:t xml:space="preserve">. TEX cells were maintained in IMDM with 20% FBS, 2 mM L-glutamine, 20 ng/mL stem cell factor (SCF), and 2 ng/mL interleukin-3 (IL-3); 8227 and primary cells were grown in X-VIVO-10 with 20% bovine serum albumin-insulin-transferrin (BIT), </w:t>
      </w:r>
      <w:proofErr w:type="spellStart"/>
      <w:r w:rsidRPr="00330C5D">
        <w:rPr>
          <w:rFonts w:asciiTheme="minorBidi" w:eastAsia="Arial" w:hAnsiTheme="minorBidi"/>
          <w:color w:val="000000" w:themeColor="text1"/>
        </w:rPr>
        <w:t>Fms</w:t>
      </w:r>
      <w:proofErr w:type="spellEnd"/>
      <w:r w:rsidRPr="00330C5D">
        <w:rPr>
          <w:rFonts w:asciiTheme="minorBidi" w:eastAsia="Arial" w:hAnsiTheme="minorBidi"/>
          <w:color w:val="000000" w:themeColor="text1"/>
        </w:rPr>
        <w:t>-related tyrosine kinase 3 ligand (Flt3-L, 50 ng/ml), interleukin-6 (IL-6, 10 ng/ml), SCF (50 ng/ml), thrombopoietin (TPO, 25 ng/ml), IL-3 (10 ng/ml), granulocyte colony-stimulating factor (G-CSF, 10 ng/ml). All cell lines were maintained at 37°C, supplemented with 5% CO</w:t>
      </w:r>
      <w:r w:rsidRPr="00330C5D">
        <w:rPr>
          <w:rFonts w:asciiTheme="minorBidi" w:eastAsia="Arial" w:hAnsiTheme="minorBidi"/>
          <w:color w:val="000000" w:themeColor="text1"/>
          <w:vertAlign w:val="subscript"/>
        </w:rPr>
        <w:t>2</w:t>
      </w:r>
      <w:r w:rsidRPr="00330C5D">
        <w:rPr>
          <w:rFonts w:asciiTheme="minorBidi" w:hAnsiTheme="minorBidi"/>
          <w:color w:val="000000" w:themeColor="text1"/>
        </w:rPr>
        <w:t xml:space="preserve"> and routinely tested for Mycoplasma (</w:t>
      </w:r>
      <w:proofErr w:type="spellStart"/>
      <w:r w:rsidRPr="00330C5D">
        <w:rPr>
          <w:rFonts w:asciiTheme="minorBidi" w:hAnsiTheme="minorBidi"/>
          <w:color w:val="000000" w:themeColor="text1"/>
        </w:rPr>
        <w:t>MycoAlert</w:t>
      </w:r>
      <w:proofErr w:type="spellEnd"/>
      <w:r w:rsidRPr="00330C5D">
        <w:rPr>
          <w:rFonts w:asciiTheme="minorBidi" w:hAnsiTheme="minorBidi"/>
          <w:color w:val="000000" w:themeColor="text1"/>
        </w:rPr>
        <w:t xml:space="preserve">, Lonza). </w:t>
      </w:r>
      <w:r w:rsidRPr="00330C5D">
        <w:rPr>
          <w:rFonts w:asciiTheme="minorBidi" w:eastAsia="Arial" w:hAnsiTheme="minorBidi"/>
          <w:color w:val="000000" w:themeColor="text1"/>
        </w:rPr>
        <w:t>The University Health Network institutional review boards approved the collection and use of human tissue for this study (Research Ethics Board protocol #13-7163). All human samples were collected with written informed consent in accordance with the Declaration of Helsinki.</w:t>
      </w:r>
    </w:p>
    <w:p w14:paraId="5AA86437" w14:textId="77777777" w:rsidR="00E31E3B" w:rsidRPr="00330C5D" w:rsidRDefault="00AF28FD" w:rsidP="00330C5D">
      <w:pPr>
        <w:spacing w:before="240" w:after="80" w:line="360" w:lineRule="auto"/>
        <w:jc w:val="both"/>
        <w:rPr>
          <w:rFonts w:asciiTheme="minorBidi" w:hAnsiTheme="minorBidi"/>
          <w:color w:val="000000" w:themeColor="text1"/>
        </w:rPr>
      </w:pPr>
      <w:r w:rsidRPr="00330C5D">
        <w:rPr>
          <w:rFonts w:asciiTheme="minorBidi" w:hAnsiTheme="minorBidi"/>
          <w:b/>
          <w:color w:val="000000" w:themeColor="text1"/>
        </w:rPr>
        <w:t>Plasmids and molecular cloning</w:t>
      </w:r>
    </w:p>
    <w:p w14:paraId="09197321" w14:textId="77777777" w:rsidR="00E31E3B" w:rsidRPr="00330C5D" w:rsidRDefault="00AF28FD" w:rsidP="00330C5D">
      <w:pPr>
        <w:spacing w:after="140" w:line="360" w:lineRule="auto"/>
        <w:jc w:val="both"/>
        <w:rPr>
          <w:rFonts w:asciiTheme="minorBidi" w:hAnsiTheme="minorBidi"/>
          <w:color w:val="000000" w:themeColor="text1"/>
        </w:rPr>
      </w:pPr>
      <w:r w:rsidRPr="00330C5D">
        <w:rPr>
          <w:rFonts w:asciiTheme="minorBidi" w:hAnsiTheme="minorBidi"/>
          <w:color w:val="000000" w:themeColor="text1"/>
        </w:rPr>
        <w:t xml:space="preserve">Lentiviral expression vectors pLenti-FLAG-UBE2E3-WT, the catalytically inactive point mutant pLenti-FLAG-UBE2E3-C145S and the </w:t>
      </w:r>
      <w:proofErr w:type="spellStart"/>
      <w:r w:rsidRPr="00330C5D">
        <w:rPr>
          <w:rFonts w:asciiTheme="minorBidi" w:hAnsiTheme="minorBidi"/>
          <w:color w:val="000000" w:themeColor="text1"/>
        </w:rPr>
        <w:t>pLenti</w:t>
      </w:r>
      <w:proofErr w:type="spellEnd"/>
      <w:r w:rsidRPr="00330C5D">
        <w:rPr>
          <w:rFonts w:asciiTheme="minorBidi" w:hAnsiTheme="minorBidi"/>
          <w:color w:val="000000" w:themeColor="text1"/>
        </w:rPr>
        <w:t xml:space="preserve">-Empty control were synthesized by </w:t>
      </w:r>
      <w:proofErr w:type="spellStart"/>
      <w:r w:rsidRPr="00330C5D">
        <w:rPr>
          <w:rFonts w:asciiTheme="minorBidi" w:hAnsiTheme="minorBidi"/>
          <w:color w:val="000000" w:themeColor="text1"/>
        </w:rPr>
        <w:t>Syntezza</w:t>
      </w:r>
      <w:proofErr w:type="spellEnd"/>
      <w:r w:rsidRPr="00330C5D">
        <w:rPr>
          <w:rFonts w:asciiTheme="minorBidi" w:hAnsiTheme="minorBidi"/>
          <w:color w:val="000000" w:themeColor="text1"/>
        </w:rPr>
        <w:t xml:space="preserve"> Bioscience (Jerusalem, Israel). Second-generation packaging plasmids </w:t>
      </w:r>
      <w:proofErr w:type="spellStart"/>
      <w:r w:rsidRPr="00330C5D">
        <w:rPr>
          <w:rFonts w:asciiTheme="minorBidi" w:hAnsiTheme="minorBidi"/>
          <w:color w:val="000000" w:themeColor="text1"/>
        </w:rPr>
        <w:t>pCMV</w:t>
      </w:r>
      <w:proofErr w:type="spellEnd"/>
      <w:r w:rsidRPr="00330C5D">
        <w:rPr>
          <w:rFonts w:asciiTheme="minorBidi" w:hAnsiTheme="minorBidi"/>
          <w:color w:val="000000" w:themeColor="text1"/>
        </w:rPr>
        <w:t>-VSV-G (</w:t>
      </w:r>
      <w:proofErr w:type="spellStart"/>
      <w:r w:rsidRPr="00330C5D">
        <w:rPr>
          <w:rFonts w:asciiTheme="minorBidi" w:hAnsiTheme="minorBidi"/>
          <w:color w:val="000000" w:themeColor="text1"/>
        </w:rPr>
        <w:t>Addgene</w:t>
      </w:r>
      <w:proofErr w:type="spellEnd"/>
      <w:r w:rsidRPr="00330C5D">
        <w:rPr>
          <w:rFonts w:asciiTheme="minorBidi" w:hAnsiTheme="minorBidi"/>
          <w:color w:val="000000" w:themeColor="text1"/>
        </w:rPr>
        <w:t xml:space="preserve"> #8454) and psPAX2 (</w:t>
      </w:r>
      <w:proofErr w:type="spellStart"/>
      <w:r w:rsidRPr="00330C5D">
        <w:rPr>
          <w:rFonts w:asciiTheme="minorBidi" w:hAnsiTheme="minorBidi"/>
          <w:color w:val="000000" w:themeColor="text1"/>
        </w:rPr>
        <w:t>Addgene</w:t>
      </w:r>
      <w:proofErr w:type="spellEnd"/>
      <w:r w:rsidRPr="00330C5D">
        <w:rPr>
          <w:rFonts w:asciiTheme="minorBidi" w:hAnsiTheme="minorBidi"/>
          <w:color w:val="000000" w:themeColor="text1"/>
        </w:rPr>
        <w:t xml:space="preserve"> #12260) were used for virus production. For </w:t>
      </w:r>
      <w:proofErr w:type="spellStart"/>
      <w:r w:rsidRPr="00330C5D">
        <w:rPr>
          <w:rFonts w:asciiTheme="minorBidi" w:hAnsiTheme="minorBidi"/>
          <w:color w:val="000000" w:themeColor="text1"/>
        </w:rPr>
        <w:t>BioID</w:t>
      </w:r>
      <w:proofErr w:type="spellEnd"/>
      <w:r w:rsidRPr="00330C5D">
        <w:rPr>
          <w:rFonts w:asciiTheme="minorBidi" w:hAnsiTheme="minorBidi"/>
          <w:color w:val="000000" w:themeColor="text1"/>
        </w:rPr>
        <w:t>, pcDNA5/FRT/TO-UBE2E3-FLAG-BirA* and the parental pcDNA5/FRT/TO-FLAG-</w:t>
      </w:r>
      <w:proofErr w:type="spellStart"/>
      <w:r w:rsidRPr="00330C5D">
        <w:rPr>
          <w:rFonts w:asciiTheme="minorBidi" w:hAnsiTheme="minorBidi"/>
          <w:color w:val="000000" w:themeColor="text1"/>
        </w:rPr>
        <w:t>BirA</w:t>
      </w:r>
      <w:proofErr w:type="spellEnd"/>
      <w:r w:rsidRPr="00330C5D">
        <w:rPr>
          <w:rFonts w:asciiTheme="minorBidi" w:hAnsiTheme="minorBidi"/>
          <w:color w:val="000000" w:themeColor="text1"/>
        </w:rPr>
        <w:t xml:space="preserve">* control vector, together with the </w:t>
      </w:r>
      <w:proofErr w:type="spellStart"/>
      <w:r w:rsidRPr="00330C5D">
        <w:rPr>
          <w:rFonts w:asciiTheme="minorBidi" w:hAnsiTheme="minorBidi"/>
          <w:color w:val="000000" w:themeColor="text1"/>
        </w:rPr>
        <w:t>Flp</w:t>
      </w:r>
      <w:proofErr w:type="spellEnd"/>
      <w:r w:rsidRPr="00330C5D">
        <w:rPr>
          <w:rFonts w:asciiTheme="minorBidi" w:hAnsiTheme="minorBidi"/>
          <w:color w:val="000000" w:themeColor="text1"/>
        </w:rPr>
        <w:t xml:space="preserve"> recombinase plasmid pOG44, were provided by the Raught laboratory (Princess Margaret Cancer Centre). </w:t>
      </w:r>
    </w:p>
    <w:p w14:paraId="30626C64" w14:textId="44BB4F29" w:rsidR="006C7D2A" w:rsidRPr="00330C5D" w:rsidRDefault="00AF28FD" w:rsidP="00330C5D">
      <w:pPr>
        <w:spacing w:after="140" w:line="360" w:lineRule="auto"/>
        <w:jc w:val="both"/>
        <w:rPr>
          <w:rFonts w:asciiTheme="minorBidi" w:hAnsiTheme="minorBidi"/>
          <w:color w:val="000000" w:themeColor="text1"/>
        </w:rPr>
      </w:pPr>
      <w:r w:rsidRPr="00330C5D">
        <w:rPr>
          <w:rFonts w:asciiTheme="minorBidi" w:hAnsiTheme="minorBidi"/>
          <w:color w:val="000000" w:themeColor="text1"/>
        </w:rPr>
        <w:t xml:space="preserve">Short hairpin RNAs were expressed from pLKO.1-puro (Sigma-Aldrich). A non-targeting </w:t>
      </w:r>
      <w:r w:rsidRPr="001A2E77">
        <w:rPr>
          <w:rFonts w:asciiTheme="minorBidi" w:hAnsiTheme="minorBidi"/>
          <w:color w:val="000000" w:themeColor="text1"/>
        </w:rPr>
        <w:t>shRNA against GFP (TRC clone Gfp_587s1c1)</w:t>
      </w:r>
      <w:r w:rsidRPr="00330C5D">
        <w:rPr>
          <w:rFonts w:asciiTheme="minorBidi" w:hAnsiTheme="minorBidi"/>
          <w:color w:val="000000" w:themeColor="text1"/>
        </w:rPr>
        <w:t xml:space="preserve"> served as negative controls. </w:t>
      </w:r>
      <w:r w:rsidR="006C7D2A" w:rsidRPr="00330C5D">
        <w:rPr>
          <w:rFonts w:asciiTheme="minorBidi" w:eastAsia="Arial" w:hAnsiTheme="minorBidi"/>
          <w:color w:val="000000" w:themeColor="text1"/>
        </w:rPr>
        <w:t xml:space="preserve">For 8227 cells and primary AML patient samples, UBE2E3 shRNA sequences were cloned into the hairpin-pRS19 vector, kindly provided by </w:t>
      </w:r>
      <w:r w:rsidRPr="00330C5D">
        <w:rPr>
          <w:rFonts w:asciiTheme="minorBidi" w:eastAsia="Arial" w:hAnsiTheme="minorBidi"/>
          <w:color w:val="000000" w:themeColor="text1"/>
        </w:rPr>
        <w:t xml:space="preserve">the Steven Chan laboratory. </w:t>
      </w:r>
      <w:r w:rsidR="006C7D2A" w:rsidRPr="00330C5D">
        <w:rPr>
          <w:rFonts w:asciiTheme="minorBidi" w:hAnsiTheme="minorBidi"/>
          <w:color w:val="000000" w:themeColor="text1"/>
        </w:rPr>
        <w:t>All constructs were verified by Sanger sequencing (</w:t>
      </w:r>
      <w:proofErr w:type="spellStart"/>
      <w:r w:rsidR="006C7D2A" w:rsidRPr="00330C5D">
        <w:rPr>
          <w:rFonts w:asciiTheme="minorBidi" w:hAnsiTheme="minorBidi"/>
          <w:color w:val="000000" w:themeColor="text1"/>
        </w:rPr>
        <w:t>Macrogen</w:t>
      </w:r>
      <w:proofErr w:type="spellEnd"/>
      <w:r w:rsidR="006C7D2A" w:rsidRPr="00330C5D">
        <w:rPr>
          <w:rFonts w:asciiTheme="minorBidi" w:hAnsiTheme="minorBidi"/>
          <w:color w:val="000000" w:themeColor="text1"/>
        </w:rPr>
        <w:t>).</w:t>
      </w:r>
    </w:p>
    <w:p w14:paraId="4AE50308" w14:textId="77777777" w:rsidR="006C7D2A" w:rsidRPr="00330C5D" w:rsidRDefault="006C7D2A" w:rsidP="00330C5D">
      <w:pPr>
        <w:spacing w:before="240" w:after="80" w:line="360" w:lineRule="auto"/>
        <w:jc w:val="both"/>
        <w:rPr>
          <w:rFonts w:asciiTheme="minorBidi" w:hAnsiTheme="minorBidi"/>
          <w:color w:val="000000" w:themeColor="text1"/>
        </w:rPr>
      </w:pPr>
      <w:r w:rsidRPr="00330C5D">
        <w:rPr>
          <w:rFonts w:asciiTheme="minorBidi" w:hAnsiTheme="minorBidi"/>
          <w:b/>
          <w:color w:val="000000" w:themeColor="text1"/>
        </w:rPr>
        <w:t>shRNA constructs, lentivirus production and transduction</w:t>
      </w:r>
    </w:p>
    <w:p w14:paraId="4EB2276B" w14:textId="77777777" w:rsidR="006C7D2A" w:rsidRPr="00330C5D" w:rsidRDefault="006C7D2A" w:rsidP="00330C5D">
      <w:pPr>
        <w:spacing w:after="140" w:line="360" w:lineRule="auto"/>
        <w:jc w:val="both"/>
        <w:rPr>
          <w:rFonts w:asciiTheme="minorBidi" w:hAnsiTheme="minorBidi"/>
          <w:color w:val="000000" w:themeColor="text1"/>
        </w:rPr>
      </w:pPr>
    </w:p>
    <w:p w14:paraId="239F01B9" w14:textId="77777777" w:rsidR="00E31E3B" w:rsidRPr="00330C5D" w:rsidRDefault="00AF28FD" w:rsidP="00330C5D">
      <w:pPr>
        <w:spacing w:after="140" w:line="360" w:lineRule="auto"/>
        <w:jc w:val="both"/>
        <w:rPr>
          <w:rFonts w:asciiTheme="minorBidi" w:hAnsiTheme="minorBidi"/>
          <w:color w:val="000000" w:themeColor="text1"/>
        </w:rPr>
      </w:pPr>
      <w:r w:rsidRPr="00330C5D">
        <w:rPr>
          <w:rFonts w:asciiTheme="minorBidi" w:hAnsiTheme="minorBidi"/>
          <w:color w:val="000000" w:themeColor="text1"/>
        </w:rPr>
        <w:t xml:space="preserve">We examined 4 independent shRNA against UBE2E3 (termed #5, #10, #11, #21; Sigma Aldrich). </w:t>
      </w:r>
      <w:r w:rsidR="000F3AB6" w:rsidRPr="00330C5D">
        <w:rPr>
          <w:rFonts w:asciiTheme="minorBidi" w:hAnsiTheme="minorBidi"/>
          <w:color w:val="000000" w:themeColor="text1"/>
        </w:rPr>
        <w:t xml:space="preserve">Two independent </w:t>
      </w:r>
      <w:proofErr w:type="spellStart"/>
      <w:r w:rsidR="000F3AB6" w:rsidRPr="00330C5D">
        <w:rPr>
          <w:rFonts w:asciiTheme="minorBidi" w:hAnsiTheme="minorBidi"/>
          <w:color w:val="000000" w:themeColor="text1"/>
        </w:rPr>
        <w:t>shRNAs</w:t>
      </w:r>
      <w:proofErr w:type="spellEnd"/>
      <w:r w:rsidR="000F3AB6" w:rsidRPr="00330C5D">
        <w:rPr>
          <w:rFonts w:asciiTheme="minorBidi" w:hAnsiTheme="minorBidi"/>
          <w:color w:val="000000" w:themeColor="text1"/>
        </w:rPr>
        <w:t xml:space="preserve"> targeting the UTR of human UBE2E3 (</w:t>
      </w:r>
      <w:proofErr w:type="spellStart"/>
      <w:r w:rsidR="000F3AB6" w:rsidRPr="00330C5D">
        <w:rPr>
          <w:rFonts w:asciiTheme="minorBidi" w:hAnsiTheme="minorBidi"/>
          <w:color w:val="000000" w:themeColor="text1"/>
        </w:rPr>
        <w:t>sh</w:t>
      </w:r>
      <w:proofErr w:type="spellEnd"/>
      <w:r w:rsidR="000F3AB6" w:rsidRPr="00330C5D">
        <w:rPr>
          <w:rFonts w:asciiTheme="minorBidi" w:hAnsiTheme="minorBidi"/>
          <w:color w:val="000000" w:themeColor="text1"/>
        </w:rPr>
        <w:t xml:space="preserve"> UBE2E3 #10, 3′-UTR; and #21, 5′-UTR) were used; because they target the endogenous </w:t>
      </w:r>
      <w:proofErr w:type="gramStart"/>
      <w:r w:rsidR="000F3AB6" w:rsidRPr="00330C5D">
        <w:rPr>
          <w:rFonts w:asciiTheme="minorBidi" w:hAnsiTheme="minorBidi"/>
          <w:color w:val="000000" w:themeColor="text1"/>
        </w:rPr>
        <w:t>UTR</w:t>
      </w:r>
      <w:proofErr w:type="gramEnd"/>
      <w:r w:rsidR="000F3AB6" w:rsidRPr="00330C5D">
        <w:rPr>
          <w:rFonts w:asciiTheme="minorBidi" w:hAnsiTheme="minorBidi"/>
          <w:color w:val="000000" w:themeColor="text1"/>
        </w:rPr>
        <w:t xml:space="preserve"> they do not silence the UTR-less rescue transgenes</w:t>
      </w:r>
      <w:r w:rsidRPr="00330C5D">
        <w:rPr>
          <w:rFonts w:asciiTheme="minorBidi" w:hAnsiTheme="minorBidi"/>
          <w:color w:val="000000" w:themeColor="text1"/>
        </w:rPr>
        <w:t xml:space="preserve"> Lentivirus was produced by co-transfection of HEK293T cells with the transfer plasmid plus </w:t>
      </w:r>
      <w:proofErr w:type="spellStart"/>
      <w:r w:rsidRPr="00330C5D">
        <w:rPr>
          <w:rFonts w:asciiTheme="minorBidi" w:hAnsiTheme="minorBidi"/>
          <w:color w:val="000000" w:themeColor="text1"/>
        </w:rPr>
        <w:t>pCMV</w:t>
      </w:r>
      <w:proofErr w:type="spellEnd"/>
      <w:r w:rsidRPr="00330C5D">
        <w:rPr>
          <w:rFonts w:asciiTheme="minorBidi" w:hAnsiTheme="minorBidi"/>
          <w:color w:val="000000" w:themeColor="text1"/>
        </w:rPr>
        <w:t>-VSV-G and psPAX2 (</w:t>
      </w:r>
      <w:proofErr w:type="spellStart"/>
      <w:r w:rsidRPr="00330C5D">
        <w:rPr>
          <w:rFonts w:asciiTheme="minorBidi" w:hAnsiTheme="minorBidi"/>
          <w:color w:val="000000" w:themeColor="text1"/>
        </w:rPr>
        <w:t>TransIT</w:t>
      </w:r>
      <w:proofErr w:type="spellEnd"/>
      <w:r w:rsidRPr="00330C5D">
        <w:rPr>
          <w:rFonts w:asciiTheme="minorBidi" w:hAnsiTheme="minorBidi"/>
          <w:color w:val="000000" w:themeColor="text1"/>
        </w:rPr>
        <w:t xml:space="preserve">-Lenti, Mirus Bio), harvested at 48h and clarified through a 0.45 </w:t>
      </w:r>
      <w:proofErr w:type="spellStart"/>
      <w:r w:rsidRPr="00330C5D">
        <w:rPr>
          <w:rFonts w:asciiTheme="minorBidi" w:hAnsiTheme="minorBidi"/>
          <w:color w:val="000000" w:themeColor="text1"/>
        </w:rPr>
        <w:t>μm</w:t>
      </w:r>
      <w:proofErr w:type="spellEnd"/>
      <w:r w:rsidRPr="00330C5D">
        <w:rPr>
          <w:rFonts w:asciiTheme="minorBidi" w:hAnsiTheme="minorBidi"/>
          <w:color w:val="000000" w:themeColor="text1"/>
        </w:rPr>
        <w:t xml:space="preserve"> PVDF filter. Leukemia cells were transduced in complete medium with 10 </w:t>
      </w:r>
      <w:proofErr w:type="spellStart"/>
      <w:r w:rsidRPr="00330C5D">
        <w:rPr>
          <w:rFonts w:asciiTheme="minorBidi" w:hAnsiTheme="minorBidi"/>
          <w:color w:val="000000" w:themeColor="text1"/>
        </w:rPr>
        <w:t>μg</w:t>
      </w:r>
      <w:proofErr w:type="spellEnd"/>
      <w:r w:rsidRPr="00330C5D">
        <w:rPr>
          <w:rFonts w:asciiTheme="minorBidi" w:hAnsiTheme="minorBidi"/>
          <w:color w:val="000000" w:themeColor="text1"/>
        </w:rPr>
        <w:t xml:space="preserve">/mL polybrene; selection with puromycin (1 </w:t>
      </w:r>
      <w:proofErr w:type="spellStart"/>
      <w:r w:rsidRPr="00330C5D">
        <w:rPr>
          <w:rFonts w:asciiTheme="minorBidi" w:hAnsiTheme="minorBidi"/>
          <w:color w:val="000000" w:themeColor="text1"/>
        </w:rPr>
        <w:t>μg</w:t>
      </w:r>
      <w:proofErr w:type="spellEnd"/>
      <w:r w:rsidRPr="00330C5D">
        <w:rPr>
          <w:rFonts w:asciiTheme="minorBidi" w:hAnsiTheme="minorBidi"/>
          <w:color w:val="000000" w:themeColor="text1"/>
        </w:rPr>
        <w:t>/mL) was started 24 h post-transduction for ≥ 72 h. Knockdown was confirmed by RT-qPCR and immunoblot.</w:t>
      </w:r>
      <w:r w:rsidR="002C1FAD" w:rsidRPr="00330C5D">
        <w:rPr>
          <w:rFonts w:asciiTheme="minorBidi" w:hAnsiTheme="minorBidi"/>
          <w:color w:val="000000" w:themeColor="text1"/>
        </w:rPr>
        <w:t xml:space="preserve"> </w:t>
      </w:r>
    </w:p>
    <w:p w14:paraId="2611E57C" w14:textId="77777777" w:rsidR="002C1FAD" w:rsidRPr="00330C5D" w:rsidRDefault="002C1FAD" w:rsidP="00330C5D">
      <w:pPr>
        <w:spacing w:line="360" w:lineRule="auto"/>
        <w:jc w:val="both"/>
        <w:rPr>
          <w:rFonts w:asciiTheme="minorBidi" w:eastAsia="Arial" w:hAnsiTheme="minorBidi"/>
          <w:i/>
          <w:iCs/>
          <w:color w:val="000000" w:themeColor="text1"/>
        </w:rPr>
      </w:pPr>
      <w:r w:rsidRPr="00330C5D">
        <w:rPr>
          <w:rFonts w:asciiTheme="minorBidi" w:eastAsia="Arial" w:hAnsiTheme="minorBidi"/>
          <w:i/>
          <w:iCs/>
          <w:color w:val="000000" w:themeColor="text1"/>
        </w:rPr>
        <w:t>Transduction of primary AML cells and 8227 cells</w:t>
      </w:r>
    </w:p>
    <w:p w14:paraId="179D8045" w14:textId="77777777" w:rsidR="002C1FAD" w:rsidRPr="00330C5D" w:rsidRDefault="002C1FAD" w:rsidP="00330C5D">
      <w:pPr>
        <w:spacing w:line="360" w:lineRule="auto"/>
        <w:jc w:val="both"/>
        <w:rPr>
          <w:rFonts w:asciiTheme="minorBidi" w:eastAsia="Arial" w:hAnsiTheme="minorBidi"/>
          <w:color w:val="000000" w:themeColor="text1"/>
        </w:rPr>
      </w:pPr>
      <w:r w:rsidRPr="00330C5D">
        <w:rPr>
          <w:rFonts w:asciiTheme="minorBidi" w:eastAsia="Arial" w:hAnsiTheme="minorBidi"/>
          <w:color w:val="000000" w:themeColor="text1"/>
        </w:rPr>
        <w:t xml:space="preserve">24-well plates were coated with 250 µL of </w:t>
      </w:r>
      <w:proofErr w:type="spellStart"/>
      <w:r w:rsidRPr="00330C5D">
        <w:rPr>
          <w:rFonts w:asciiTheme="minorBidi" w:eastAsia="Arial" w:hAnsiTheme="minorBidi"/>
          <w:color w:val="000000" w:themeColor="text1"/>
        </w:rPr>
        <w:t>RetroNectin</w:t>
      </w:r>
      <w:proofErr w:type="spellEnd"/>
      <w:r w:rsidRPr="00330C5D">
        <w:rPr>
          <w:rFonts w:asciiTheme="minorBidi" w:eastAsia="Arial" w:hAnsiTheme="minorBidi"/>
          <w:color w:val="000000" w:themeColor="text1"/>
        </w:rPr>
        <w:t xml:space="preserve">® (20 µg/mL in PBS) per well for 2 hours at room temperature. The wells were blocked with 1 mL of 2% BSA (W/V) for 30 minutes at room temperature. The BSA solution was then aspirated, and concentrated lentiviral particles in HBSS with 25 mM HEPES were added to each well at a volume of 0.5 </w:t>
      </w:r>
      <w:proofErr w:type="spellStart"/>
      <w:r w:rsidRPr="00330C5D">
        <w:rPr>
          <w:rFonts w:asciiTheme="minorBidi" w:eastAsia="Arial" w:hAnsiTheme="minorBidi"/>
          <w:color w:val="000000" w:themeColor="text1"/>
        </w:rPr>
        <w:t>mL.</w:t>
      </w:r>
      <w:proofErr w:type="spellEnd"/>
      <w:r w:rsidRPr="00330C5D">
        <w:rPr>
          <w:rFonts w:asciiTheme="minorBidi" w:eastAsia="Arial" w:hAnsiTheme="minorBidi"/>
          <w:color w:val="000000" w:themeColor="text1"/>
        </w:rPr>
        <w:t xml:space="preserve"> The plate was then centrifuged at 3,000 rpm for 5 hours at room temperature to promote the attachment of lentiviral particles to </w:t>
      </w:r>
      <w:proofErr w:type="spellStart"/>
      <w:r w:rsidRPr="00330C5D">
        <w:rPr>
          <w:rFonts w:asciiTheme="minorBidi" w:eastAsia="Arial" w:hAnsiTheme="minorBidi"/>
          <w:color w:val="000000" w:themeColor="text1"/>
        </w:rPr>
        <w:t>RetroNectin</w:t>
      </w:r>
      <w:proofErr w:type="spellEnd"/>
      <w:r w:rsidRPr="00330C5D">
        <w:rPr>
          <w:rFonts w:asciiTheme="minorBidi" w:eastAsia="Arial" w:hAnsiTheme="minorBidi"/>
          <w:color w:val="000000" w:themeColor="text1"/>
        </w:rPr>
        <w:t>. Next, 0.4mL of the viral supernatant was aspirated.  5x 10</w:t>
      </w:r>
      <w:r w:rsidRPr="00330C5D">
        <w:rPr>
          <w:rFonts w:asciiTheme="minorBidi" w:eastAsia="Arial" w:hAnsiTheme="minorBidi"/>
          <w:color w:val="000000" w:themeColor="text1"/>
          <w:vertAlign w:val="superscript"/>
        </w:rPr>
        <w:t>5</w:t>
      </w:r>
      <w:r w:rsidRPr="00330C5D">
        <w:rPr>
          <w:rFonts w:asciiTheme="minorBidi" w:eastAsia="Arial" w:hAnsiTheme="minorBidi"/>
          <w:color w:val="000000" w:themeColor="text1"/>
        </w:rPr>
        <w:t xml:space="preserve"> cells were added to each well in 1 mL of X-VIVO 10 (20% BIT, 50 ng/ml Flt3-L, 10 ng/mL IL6, 50 ng/mL SCF, 25 ng/mL TPO, 10 ng/mL IL3, 10 ng/mL G-CSF). The plate was then centrifuged again at 1,300 rpm for 10 minutes at room temperature to promote the interaction between the cells and lentiviral </w:t>
      </w:r>
      <w:proofErr w:type="gramStart"/>
      <w:r w:rsidRPr="00330C5D">
        <w:rPr>
          <w:rFonts w:asciiTheme="minorBidi" w:eastAsia="Arial" w:hAnsiTheme="minorBidi"/>
          <w:color w:val="000000" w:themeColor="text1"/>
        </w:rPr>
        <w:t>particles, and</w:t>
      </w:r>
      <w:proofErr w:type="gramEnd"/>
      <w:r w:rsidRPr="00330C5D">
        <w:rPr>
          <w:rFonts w:asciiTheme="minorBidi" w:eastAsia="Arial" w:hAnsiTheme="minorBidi"/>
          <w:color w:val="000000" w:themeColor="text1"/>
        </w:rPr>
        <w:t xml:space="preserve"> then transferred to a 37</w:t>
      </w:r>
      <w:r w:rsidRPr="00330C5D">
        <w:rPr>
          <w:rFonts w:asciiTheme="minorBidi" w:eastAsia="Arial" w:hAnsiTheme="minorBidi"/>
          <w:color w:val="000000" w:themeColor="text1"/>
        </w:rPr>
        <w:sym w:font="Symbol" w:char="F0B0"/>
      </w:r>
      <w:r w:rsidRPr="00330C5D">
        <w:rPr>
          <w:rFonts w:asciiTheme="minorBidi" w:eastAsia="Arial" w:hAnsiTheme="minorBidi"/>
          <w:color w:val="000000" w:themeColor="text1"/>
        </w:rPr>
        <w:t>C incubator to initiate lentiviral transduction. Twenty-four hours afterward, the cells were resuspended in fresh media at a concentration of 1x 10</w:t>
      </w:r>
      <w:r w:rsidRPr="00330C5D">
        <w:rPr>
          <w:rFonts w:asciiTheme="minorBidi" w:eastAsia="Arial" w:hAnsiTheme="minorBidi"/>
          <w:color w:val="000000" w:themeColor="text1"/>
          <w:vertAlign w:val="superscript"/>
        </w:rPr>
        <w:t xml:space="preserve">6 </w:t>
      </w:r>
      <w:r w:rsidRPr="00330C5D">
        <w:rPr>
          <w:rFonts w:asciiTheme="minorBidi" w:eastAsia="Arial" w:hAnsiTheme="minorBidi"/>
          <w:color w:val="000000" w:themeColor="text1"/>
        </w:rPr>
        <w:t>cells/mL and seeded in a 24-well plate at 1 mL per well. Knockdown was confirmed by qPCR following sorting of GFP positive cells at 48 hours post-infection.</w:t>
      </w:r>
    </w:p>
    <w:p w14:paraId="104E8FB7" w14:textId="77777777" w:rsidR="006C7D2A" w:rsidRPr="00330C5D" w:rsidRDefault="006C7D2A" w:rsidP="00330C5D">
      <w:pPr>
        <w:spacing w:line="360" w:lineRule="auto"/>
        <w:jc w:val="both"/>
        <w:rPr>
          <w:rFonts w:asciiTheme="minorBidi" w:eastAsia="Arial" w:hAnsiTheme="minorBidi"/>
          <w:color w:val="000000" w:themeColor="text1"/>
        </w:rPr>
      </w:pPr>
    </w:p>
    <w:p w14:paraId="30EC1F3F" w14:textId="77777777" w:rsidR="004C6F9C" w:rsidRPr="00330C5D" w:rsidRDefault="004C6F9C" w:rsidP="00330C5D">
      <w:pPr>
        <w:spacing w:after="140" w:line="360" w:lineRule="auto"/>
        <w:jc w:val="both"/>
        <w:rPr>
          <w:rFonts w:asciiTheme="minorBidi" w:hAnsiTheme="minorBidi"/>
          <w:color w:val="000000" w:themeColor="text1"/>
        </w:rPr>
      </w:pPr>
      <w:r w:rsidRPr="00330C5D">
        <w:rPr>
          <w:rFonts w:asciiTheme="minorBidi" w:hAnsiTheme="minorBidi"/>
        </w:rPr>
        <w:t xml:space="preserve">UBE2E3 was silenced using lentiviral </w:t>
      </w:r>
      <w:proofErr w:type="spellStart"/>
      <w:r w:rsidRPr="00330C5D">
        <w:rPr>
          <w:rFonts w:asciiTheme="minorBidi" w:hAnsiTheme="minorBidi"/>
        </w:rPr>
        <w:t>shRNAs</w:t>
      </w:r>
      <w:proofErr w:type="spellEnd"/>
      <w:r w:rsidRPr="00330C5D">
        <w:rPr>
          <w:rFonts w:asciiTheme="minorBidi" w:hAnsiTheme="minorBidi"/>
        </w:rPr>
        <w:t xml:space="preserve"> in the pLKO.1-puro vector (human UBE2E3, Gene ID 10477, NM_006357.2). Constructs comprised two Sigma MISSION clones: sh#5 (TRCN0000318678, target 5′-CCACTGCTAAGTTATCCACTA-3′) and sh#10 (TRCN0000318608, target 5′-CGGACTTCTGTGTATATGTTA-3′) and two custom </w:t>
      </w:r>
      <w:proofErr w:type="spellStart"/>
      <w:r w:rsidRPr="00330C5D">
        <w:rPr>
          <w:rFonts w:asciiTheme="minorBidi" w:hAnsiTheme="minorBidi"/>
        </w:rPr>
        <w:t>shRNAs</w:t>
      </w:r>
      <w:proofErr w:type="spellEnd"/>
      <w:r w:rsidRPr="00330C5D">
        <w:rPr>
          <w:rFonts w:asciiTheme="minorBidi" w:hAnsiTheme="minorBidi"/>
        </w:rPr>
        <w:t>, sh#11 (target 5′-TGGGCCTAAAGGAGATAACAT-3′) and sh#21 (target 5′-TCCTGAAGTCTACCAAATATT-3′), alongside a non-targeting control shRNA.</w:t>
      </w:r>
    </w:p>
    <w:p w14:paraId="6D777D77" w14:textId="77777777" w:rsidR="00E31E3B" w:rsidRPr="00330C5D" w:rsidRDefault="00AF28FD" w:rsidP="00330C5D">
      <w:pPr>
        <w:spacing w:before="240" w:after="80" w:line="360" w:lineRule="auto"/>
        <w:jc w:val="both"/>
        <w:rPr>
          <w:rFonts w:asciiTheme="minorBidi" w:hAnsiTheme="minorBidi"/>
          <w:color w:val="000000" w:themeColor="text1"/>
        </w:rPr>
      </w:pPr>
      <w:r w:rsidRPr="00330C5D">
        <w:rPr>
          <w:rFonts w:asciiTheme="minorBidi" w:hAnsiTheme="minorBidi"/>
          <w:b/>
          <w:color w:val="000000" w:themeColor="text1"/>
        </w:rPr>
        <w:lastRenderedPageBreak/>
        <w:t>Cell proliferation, viability and knockdown-rescue</w:t>
      </w:r>
    </w:p>
    <w:p w14:paraId="1C15264F" w14:textId="77777777" w:rsidR="00E31E3B" w:rsidRPr="00330C5D" w:rsidRDefault="00AF28FD" w:rsidP="00330C5D">
      <w:pPr>
        <w:spacing w:after="140" w:line="360" w:lineRule="auto"/>
        <w:jc w:val="both"/>
        <w:rPr>
          <w:rFonts w:asciiTheme="minorBidi" w:hAnsiTheme="minorBidi"/>
          <w:color w:val="000000" w:themeColor="text1"/>
        </w:rPr>
      </w:pPr>
      <w:r w:rsidRPr="00330C5D">
        <w:rPr>
          <w:rFonts w:asciiTheme="minorBidi" w:hAnsiTheme="minorBidi"/>
          <w:color w:val="000000" w:themeColor="text1"/>
        </w:rPr>
        <w:t xml:space="preserve">Proliferation/viability was measured by trypan-blue exclusion on a TC20 automated cell counter (Bio-Rad). For knockdown–rescue, OCI-AML2 cells were first transduced with pLenti-FLAG-UBE2E3-WT, pLenti-FLAG-UBE2E3-C145S or </w:t>
      </w:r>
      <w:proofErr w:type="spellStart"/>
      <w:r w:rsidRPr="00330C5D">
        <w:rPr>
          <w:rFonts w:asciiTheme="minorBidi" w:hAnsiTheme="minorBidi"/>
          <w:color w:val="000000" w:themeColor="text1"/>
        </w:rPr>
        <w:t>pLenti</w:t>
      </w:r>
      <w:proofErr w:type="spellEnd"/>
      <w:r w:rsidRPr="00330C5D">
        <w:rPr>
          <w:rFonts w:asciiTheme="minorBidi" w:hAnsiTheme="minorBidi"/>
          <w:color w:val="000000" w:themeColor="text1"/>
        </w:rPr>
        <w:t xml:space="preserve">-Empty-Vector and selected to generate stable lines, then transduced with </w:t>
      </w:r>
      <w:proofErr w:type="spellStart"/>
      <w:r w:rsidRPr="00330C5D">
        <w:rPr>
          <w:rFonts w:asciiTheme="minorBidi" w:hAnsiTheme="minorBidi"/>
          <w:color w:val="000000" w:themeColor="text1"/>
        </w:rPr>
        <w:t>sh</w:t>
      </w:r>
      <w:proofErr w:type="spellEnd"/>
      <w:r w:rsidRPr="00330C5D">
        <w:rPr>
          <w:rFonts w:asciiTheme="minorBidi" w:hAnsiTheme="minorBidi"/>
          <w:color w:val="000000" w:themeColor="text1"/>
        </w:rPr>
        <w:t xml:space="preserve"> UBE2E3 #21 (</w:t>
      </w:r>
      <w:r w:rsidR="00E67456" w:rsidRPr="00330C5D">
        <w:rPr>
          <w:rFonts w:asciiTheme="minorBidi" w:hAnsiTheme="minorBidi"/>
          <w:color w:val="000000" w:themeColor="text1"/>
        </w:rPr>
        <w:t>5</w:t>
      </w:r>
      <w:r w:rsidRPr="00330C5D">
        <w:rPr>
          <w:rFonts w:asciiTheme="minorBidi" w:hAnsiTheme="minorBidi"/>
          <w:color w:val="000000" w:themeColor="text1"/>
        </w:rPr>
        <w:t xml:space="preserve">′-UTR-directed), which spares the transgenes. Viable cells were counted daily over three consecutive days starting 5 days post-shRNA. All assays were in biological triplicate. </w:t>
      </w:r>
    </w:p>
    <w:p w14:paraId="726B63B6" w14:textId="77777777" w:rsidR="00E31E3B" w:rsidRPr="00330C5D" w:rsidRDefault="00AF28FD" w:rsidP="00330C5D">
      <w:pPr>
        <w:spacing w:before="240" w:after="80" w:line="360" w:lineRule="auto"/>
        <w:jc w:val="both"/>
        <w:rPr>
          <w:rFonts w:asciiTheme="minorBidi" w:hAnsiTheme="minorBidi"/>
          <w:color w:val="000000" w:themeColor="text1"/>
        </w:rPr>
      </w:pPr>
      <w:r w:rsidRPr="00330C5D">
        <w:rPr>
          <w:rFonts w:asciiTheme="minorBidi" w:hAnsiTheme="minorBidi"/>
          <w:b/>
          <w:color w:val="000000" w:themeColor="text1"/>
        </w:rPr>
        <w:t>Colony-forming (clonogenic) assay</w:t>
      </w:r>
    </w:p>
    <w:p w14:paraId="1CDD341B" w14:textId="77777777" w:rsidR="00E31E3B" w:rsidRPr="00330C5D" w:rsidRDefault="00AF28FD" w:rsidP="00330C5D">
      <w:pPr>
        <w:spacing w:after="140" w:line="360" w:lineRule="auto"/>
        <w:jc w:val="both"/>
        <w:rPr>
          <w:rFonts w:asciiTheme="minorBidi" w:hAnsiTheme="minorBidi"/>
          <w:color w:val="000000" w:themeColor="text1"/>
        </w:rPr>
      </w:pPr>
      <w:r w:rsidRPr="00330C5D">
        <w:rPr>
          <w:rFonts w:asciiTheme="minorBidi" w:hAnsiTheme="minorBidi"/>
          <w:color w:val="000000" w:themeColor="text1"/>
        </w:rPr>
        <w:t>Clonogenic capacity was assessed by colony formation in methylcellulose (</w:t>
      </w:r>
      <w:proofErr w:type="spellStart"/>
      <w:r w:rsidRPr="00330C5D">
        <w:rPr>
          <w:rFonts w:asciiTheme="minorBidi" w:hAnsiTheme="minorBidi"/>
          <w:color w:val="000000" w:themeColor="text1"/>
        </w:rPr>
        <w:t>MethoCult</w:t>
      </w:r>
      <w:proofErr w:type="spellEnd"/>
      <w:r w:rsidRPr="00330C5D">
        <w:rPr>
          <w:rFonts w:asciiTheme="minorBidi" w:hAnsiTheme="minorBidi"/>
          <w:color w:val="000000" w:themeColor="text1"/>
        </w:rPr>
        <w:t xml:space="preserve">, STEMCELL Technologies). Cells </w:t>
      </w:r>
      <w:r w:rsidR="002C1FAD" w:rsidRPr="00330C5D">
        <w:rPr>
          <w:rFonts w:asciiTheme="minorBidi" w:hAnsiTheme="minorBidi"/>
          <w:color w:val="000000" w:themeColor="text1"/>
        </w:rPr>
        <w:t>transduced with</w:t>
      </w:r>
      <w:r w:rsidRPr="00330C5D">
        <w:rPr>
          <w:rFonts w:asciiTheme="minorBidi" w:hAnsiTheme="minorBidi"/>
          <w:color w:val="000000" w:themeColor="text1"/>
        </w:rPr>
        <w:t xml:space="preserve"> </w:t>
      </w:r>
      <w:proofErr w:type="spellStart"/>
      <w:r w:rsidRPr="00330C5D">
        <w:rPr>
          <w:rFonts w:asciiTheme="minorBidi" w:hAnsiTheme="minorBidi"/>
          <w:color w:val="000000" w:themeColor="text1"/>
        </w:rPr>
        <w:t>sh</w:t>
      </w:r>
      <w:proofErr w:type="spellEnd"/>
      <w:r w:rsidRPr="00330C5D">
        <w:rPr>
          <w:rFonts w:asciiTheme="minorBidi" w:hAnsiTheme="minorBidi"/>
          <w:color w:val="000000" w:themeColor="text1"/>
        </w:rPr>
        <w:t xml:space="preserve"> UBE2E3 #10, #21 or control shRNA were plated at 1×10³–5×10³ cells per dish and cultured for 10–14 days at 37 °C/5% CO</w:t>
      </w:r>
      <w:r w:rsidRPr="00330C5D">
        <w:rPr>
          <w:rFonts w:ascii="Cambria Math" w:hAnsi="Cambria Math" w:cs="Cambria Math"/>
          <w:color w:val="000000" w:themeColor="text1"/>
        </w:rPr>
        <w:t>₂</w:t>
      </w:r>
      <w:r w:rsidRPr="00330C5D">
        <w:rPr>
          <w:rFonts w:asciiTheme="minorBidi" w:hAnsiTheme="minorBidi"/>
          <w:color w:val="000000" w:themeColor="text1"/>
        </w:rPr>
        <w:t xml:space="preserve">; colonies (&gt; 50 cells) were enumerated. Assays were performed in biological triplicate. </w:t>
      </w:r>
    </w:p>
    <w:p w14:paraId="6D24B45E" w14:textId="77777777" w:rsidR="00E31E3B" w:rsidRPr="00330C5D" w:rsidRDefault="00AF28FD" w:rsidP="00330C5D">
      <w:pPr>
        <w:spacing w:before="240" w:after="80" w:line="360" w:lineRule="auto"/>
        <w:jc w:val="both"/>
        <w:rPr>
          <w:rFonts w:asciiTheme="minorBidi" w:hAnsiTheme="minorBidi"/>
          <w:color w:val="000000" w:themeColor="text1"/>
        </w:rPr>
      </w:pPr>
      <w:r w:rsidRPr="00330C5D">
        <w:rPr>
          <w:rFonts w:asciiTheme="minorBidi" w:hAnsiTheme="minorBidi"/>
          <w:b/>
          <w:color w:val="000000" w:themeColor="text1"/>
        </w:rPr>
        <w:t xml:space="preserve">Subcellular localization of UBE2E3 </w:t>
      </w:r>
    </w:p>
    <w:p w14:paraId="34285BB5" w14:textId="0590DB0A" w:rsidR="0052539D" w:rsidRPr="00330C5D" w:rsidRDefault="0085005F" w:rsidP="00330C5D">
      <w:pPr>
        <w:spacing w:before="240" w:after="80" w:line="360" w:lineRule="auto"/>
        <w:jc w:val="both"/>
        <w:rPr>
          <w:rFonts w:asciiTheme="minorBidi" w:hAnsiTheme="minorBidi"/>
          <w:bCs/>
          <w:color w:val="000000" w:themeColor="text1"/>
        </w:rPr>
      </w:pPr>
      <w:r>
        <w:rPr>
          <w:rFonts w:asciiTheme="minorBidi" w:hAnsiTheme="minorBidi"/>
          <w:bCs/>
          <w:color w:val="000000" w:themeColor="text1"/>
        </w:rPr>
        <w:t xml:space="preserve">IPO11 was silenced in OCI-AML2 cells with two independent pLKO.1 </w:t>
      </w:r>
      <w:proofErr w:type="spellStart"/>
      <w:r>
        <w:rPr>
          <w:rFonts w:asciiTheme="minorBidi" w:hAnsiTheme="minorBidi"/>
          <w:bCs/>
          <w:color w:val="000000" w:themeColor="text1"/>
        </w:rPr>
        <w:t>shRNAs</w:t>
      </w:r>
      <w:proofErr w:type="spellEnd"/>
      <w:r>
        <w:rPr>
          <w:rFonts w:asciiTheme="minorBidi" w:hAnsiTheme="minorBidi"/>
          <w:bCs/>
          <w:color w:val="000000" w:themeColor="text1"/>
        </w:rPr>
        <w:t xml:space="preserve"> targeting IPO11 (NM_016338), as previously described (Nachmias et al., Leukemia 202</w:t>
      </w:r>
      <w:r w:rsidR="00743F9E">
        <w:rPr>
          <w:rFonts w:asciiTheme="minorBidi" w:hAnsiTheme="minorBidi"/>
          <w:bCs/>
          <w:color w:val="000000" w:themeColor="text1"/>
        </w:rPr>
        <w:t>2</w:t>
      </w:r>
      <w:r w:rsidR="00743F9E">
        <w:rPr>
          <w:rFonts w:asciiTheme="minorBidi" w:hAnsiTheme="minorBidi"/>
          <w:bCs/>
          <w:color w:val="000000" w:themeColor="text1"/>
        </w:rPr>
        <w:fldChar w:fldCharType="begin"/>
      </w:r>
      <w:r w:rsidR="00743F9E">
        <w:rPr>
          <w:rFonts w:asciiTheme="minorBidi" w:hAnsiTheme="minorBidi"/>
          <w:bCs/>
          <w:color w:val="000000" w:themeColor="text1"/>
        </w:rPr>
        <w:instrText xml:space="preserve"> ADDIN ZOTERO_ITEM CSL_CITATION {"citationID":"f7z8a6Vm","properties":{"unsorted":false,"formattedCitation":"\\super 3\\nosupersub{}","plainCitation":"3","noteIndex":0},"citationItems":[{"id":4154,"uris":["http://zotero.org/users/local/eCJUxClJ/items/CLPWYQGV"],"itemData":{"id":4154,"type":"article-journal","abstract":"AML cells are arranged in a hierarchy with stem/progenitor cells giving rise to more differentiated bulk cells. Despite the importance of stem/progenitors in the pathogenesis of AML, the determinants of the AML stem/progenitor state are not fully understood. Through a comparison of genes that are significant for growth and viability of AML cells by way of a CRISPR screen, with genes that are differentially expressed in leukemia stem cells (LSC), we identified importin 11 (IPO11) as a novel target in AML. Importin 11 (IPO11) is a member of the importin β family of proteins that mediate transport of proteins across the nuclear membrane. In AML, knockdown of IPO11 decreased growth, reduced engraftment potential of LSC, and induced differentiation. Mechanistically, we identified the transcription factors BZW1 and BZW2 as novel cargo of IPO11. We further show that BZW1/2 mediate a transcriptional signature that promotes stemness and survival of LSC. Thus, we demonstrate for the first time how specific cytoplasmic-nuclear regulation supports stem-like transcriptional signature in relapsed AML.","container-title":"Leukemia","DOI":"10.1038/s41375-022-01513-4","ISSN":"1476-5551","issue":"5","journalAbbreviation":"Leukemia","language":"eng","page":"1283-1295","PMID":"35152270","PMCID":"PMC9061300","source":"PubMed","title":"IPO11 regulates the nuclear import of BZW1/2 and is necessary for AML cells and stem cells","volume":"36","author":[{"family":"Nachmias","given":"Boaz"},{"family":"Khan","given":"Dilshad H."},{"family":"Voisin","given":"Veronique"},{"family":"Mer","given":"Arvind S."},{"family":"Thomas","given":"Geethu Emily"},{"family":"Segev","given":"Nadav"},{"family":"St-Germain","given":"Jonathan"},{"family":"Hurren","given":"Rose"},{"family":"Gronda","given":"Marcela"},{"family":"Botham","given":"Aaron"},{"family":"Wang","given":"Xiaoming"},{"family":"Maclean","given":"Neil"},{"family":"Seneviratne","given":"Ayesh K."},{"family":"Duong","given":"Nathan"},{"family":"Xu","given":"Changjiang"},{"family":"Arruda","given":"Andrea"},{"family":"Orouji","given":"Elias"},{"family":"Algouneh","given":"Arash"},{"family":"Hakem","given":"Razqallah"},{"family":"Shlush","given":"Liran"},{"family":"Minden","given":"Mark D."},{"family":"Raught","given":"Brian"},{"family":"Bader","given":"Gary D."},{"family":"Schimmer","given":"Aaron D."}],"issued":{"date-parts":[["2022",5]]}}}],"schema":"https://github.com/citation-style-language/schema/raw/master/csl-citation.json"} </w:instrText>
      </w:r>
      <w:r w:rsidR="00743F9E">
        <w:rPr>
          <w:rFonts w:asciiTheme="minorBidi" w:hAnsiTheme="minorBidi"/>
          <w:bCs/>
          <w:color w:val="000000" w:themeColor="text1"/>
        </w:rPr>
        <w:fldChar w:fldCharType="separate"/>
      </w:r>
      <w:r w:rsidR="00743F9E" w:rsidRPr="00743F9E">
        <w:rPr>
          <w:rFonts w:ascii="Arial" w:hAnsiTheme="minorHAnsi" w:cs="Arial"/>
          <w:color w:val="000000"/>
          <w:szCs w:val="24"/>
          <w:vertAlign w:val="superscript"/>
          <w:lang w:bidi="he-IL"/>
        </w:rPr>
        <w:t>3</w:t>
      </w:r>
      <w:r w:rsidR="00743F9E">
        <w:rPr>
          <w:rFonts w:asciiTheme="minorBidi" w:hAnsiTheme="minorBidi"/>
          <w:bCs/>
          <w:color w:val="000000" w:themeColor="text1"/>
        </w:rPr>
        <w:fldChar w:fldCharType="end"/>
      </w:r>
      <w:r>
        <w:rPr>
          <w:rFonts w:asciiTheme="minorBidi" w:hAnsiTheme="minorBidi"/>
          <w:bCs/>
          <w:color w:val="000000" w:themeColor="text1"/>
        </w:rPr>
        <w:t xml:space="preserve">). </w:t>
      </w:r>
      <w:r w:rsidR="00C66A7E" w:rsidRPr="00330C5D">
        <w:rPr>
          <w:rFonts w:asciiTheme="minorBidi" w:hAnsiTheme="minorBidi"/>
          <w:bCs/>
          <w:color w:val="000000" w:themeColor="text1"/>
        </w:rPr>
        <w:t>Subcellular fractionation of OCI-AML2 cells was performed to isolate distinct cytoplasmic and nuclear protein fractions using the NE-PER Nuclear and Cytoplasmic Extraction kit (</w:t>
      </w:r>
      <w:proofErr w:type="spellStart"/>
      <w:r w:rsidR="00C66A7E" w:rsidRPr="00330C5D">
        <w:rPr>
          <w:rFonts w:asciiTheme="minorBidi" w:hAnsiTheme="minorBidi"/>
          <w:bCs/>
          <w:color w:val="000000" w:themeColor="text1"/>
        </w:rPr>
        <w:t>Thermo</w:t>
      </w:r>
      <w:proofErr w:type="spellEnd"/>
      <w:r w:rsidR="00C66A7E" w:rsidRPr="00330C5D">
        <w:rPr>
          <w:rFonts w:asciiTheme="minorBidi" w:hAnsiTheme="minorBidi"/>
          <w:bCs/>
          <w:color w:val="000000" w:themeColor="text1"/>
        </w:rPr>
        <w:t xml:space="preserve"> Fisher Scientific, 78833) according to the manufacturer's protocol. Briefly, harvested cells were washed with ice-cold phosphate-buffered saline (PBS) and lysed in cytoplasmic extraction buffer containing protease and phosphatase inhibitor cocktails Following centrifugation to separate the cytoplasmic supernatant, the nuclear pellet was washed extensively to eliminate cytoplasmic remnants and subsequently solubilized in nuclear extraction buffer. Protein concentrations were determined using a BCA protein assay. </w:t>
      </w:r>
    </w:p>
    <w:p w14:paraId="0B52F544" w14:textId="77777777" w:rsidR="00E31E3B" w:rsidRPr="00330C5D" w:rsidRDefault="00AF28FD" w:rsidP="00330C5D">
      <w:pPr>
        <w:spacing w:before="240" w:after="80" w:line="360" w:lineRule="auto"/>
        <w:jc w:val="both"/>
        <w:rPr>
          <w:rFonts w:asciiTheme="minorBidi" w:hAnsiTheme="minorBidi"/>
          <w:color w:val="000000" w:themeColor="text1"/>
        </w:rPr>
      </w:pPr>
      <w:r w:rsidRPr="00330C5D">
        <w:rPr>
          <w:rFonts w:asciiTheme="minorBidi" w:hAnsiTheme="minorBidi"/>
          <w:b/>
          <w:color w:val="000000" w:themeColor="text1"/>
        </w:rPr>
        <w:t>Western blotting</w:t>
      </w:r>
    </w:p>
    <w:p w14:paraId="0897E243" w14:textId="77777777" w:rsidR="00E31E3B" w:rsidRPr="00330C5D" w:rsidRDefault="00AF28FD" w:rsidP="00330C5D">
      <w:pPr>
        <w:spacing w:after="140" w:line="360" w:lineRule="auto"/>
        <w:jc w:val="both"/>
        <w:rPr>
          <w:rFonts w:asciiTheme="minorBidi" w:hAnsiTheme="minorBidi"/>
          <w:color w:val="000000" w:themeColor="text1"/>
        </w:rPr>
      </w:pPr>
      <w:r w:rsidRPr="00330C5D">
        <w:rPr>
          <w:rFonts w:asciiTheme="minorBidi" w:hAnsiTheme="minorBidi"/>
          <w:color w:val="000000" w:themeColor="text1"/>
        </w:rPr>
        <w:t xml:space="preserve">Cells were lysed on ice in RIPA buffer (50 mM Tris-HCl pH 7.5, 150 mM NaCl, 1 mM EDTA, 1 mM EGTA, 1% Triton X-100, 0.1% SDS, 0.5% sodium deoxycholate) with protease inhibitors and </w:t>
      </w:r>
      <w:proofErr w:type="spellStart"/>
      <w:r w:rsidRPr="00330C5D">
        <w:rPr>
          <w:rFonts w:asciiTheme="minorBidi" w:hAnsiTheme="minorBidi"/>
          <w:color w:val="000000" w:themeColor="text1"/>
        </w:rPr>
        <w:t>Turbonuclease</w:t>
      </w:r>
      <w:proofErr w:type="spellEnd"/>
      <w:r w:rsidRPr="00330C5D">
        <w:rPr>
          <w:rFonts w:asciiTheme="minorBidi" w:hAnsiTheme="minorBidi"/>
          <w:color w:val="000000" w:themeColor="text1"/>
        </w:rPr>
        <w:t xml:space="preserve">. Protein was quantified by BCA assay; 40 </w:t>
      </w:r>
      <w:proofErr w:type="spellStart"/>
      <w:r w:rsidRPr="00330C5D">
        <w:rPr>
          <w:rFonts w:asciiTheme="minorBidi" w:hAnsiTheme="minorBidi"/>
          <w:color w:val="000000" w:themeColor="text1"/>
        </w:rPr>
        <w:t>μg</w:t>
      </w:r>
      <w:proofErr w:type="spellEnd"/>
      <w:r w:rsidRPr="00330C5D">
        <w:rPr>
          <w:rFonts w:asciiTheme="minorBidi" w:hAnsiTheme="minorBidi"/>
          <w:color w:val="000000" w:themeColor="text1"/>
        </w:rPr>
        <w:t xml:space="preserve"> per lane was resolved on 4–16% </w:t>
      </w:r>
      <w:proofErr w:type="spellStart"/>
      <w:r w:rsidRPr="00330C5D">
        <w:rPr>
          <w:rFonts w:asciiTheme="minorBidi" w:hAnsiTheme="minorBidi"/>
          <w:color w:val="000000" w:themeColor="text1"/>
        </w:rPr>
        <w:t>SurePAGE</w:t>
      </w:r>
      <w:proofErr w:type="spellEnd"/>
      <w:r w:rsidRPr="00330C5D">
        <w:rPr>
          <w:rFonts w:asciiTheme="minorBidi" w:hAnsiTheme="minorBidi"/>
          <w:color w:val="000000" w:themeColor="text1"/>
        </w:rPr>
        <w:t xml:space="preserve"> Bis-Tris gels and transferred to 0.2 </w:t>
      </w:r>
      <w:proofErr w:type="spellStart"/>
      <w:r w:rsidRPr="00330C5D">
        <w:rPr>
          <w:rFonts w:asciiTheme="minorBidi" w:hAnsiTheme="minorBidi"/>
          <w:color w:val="000000" w:themeColor="text1"/>
        </w:rPr>
        <w:t>μm</w:t>
      </w:r>
      <w:proofErr w:type="spellEnd"/>
      <w:r w:rsidRPr="00330C5D">
        <w:rPr>
          <w:rFonts w:asciiTheme="minorBidi" w:hAnsiTheme="minorBidi"/>
          <w:color w:val="000000" w:themeColor="text1"/>
        </w:rPr>
        <w:t xml:space="preserve"> PVDF (Trans-Blot Turbo, Bio-Rad). Membranes were blocked in 5% milk or BSA in TBS-T, </w:t>
      </w:r>
      <w:r w:rsidRPr="00330C5D">
        <w:rPr>
          <w:rFonts w:asciiTheme="minorBidi" w:hAnsiTheme="minorBidi"/>
          <w:color w:val="000000" w:themeColor="text1"/>
        </w:rPr>
        <w:lastRenderedPageBreak/>
        <w:t>probed overnight at 4 °C with primary antibody (Table S1) and 1 h with HRP-conjugated secondary, developed with Clarity ECL and imaged on an Azure 300 system.</w:t>
      </w:r>
    </w:p>
    <w:p w14:paraId="45CFCC6D" w14:textId="77777777" w:rsidR="00E31E3B" w:rsidRPr="00330C5D" w:rsidRDefault="00AF28FD" w:rsidP="00330C5D">
      <w:pPr>
        <w:spacing w:before="240" w:after="80" w:line="360" w:lineRule="auto"/>
        <w:jc w:val="both"/>
        <w:rPr>
          <w:rFonts w:asciiTheme="minorBidi" w:hAnsiTheme="minorBidi"/>
          <w:color w:val="000000" w:themeColor="text1"/>
        </w:rPr>
      </w:pPr>
      <w:r w:rsidRPr="00330C5D">
        <w:rPr>
          <w:rFonts w:asciiTheme="minorBidi" w:hAnsiTheme="minorBidi"/>
          <w:b/>
          <w:color w:val="000000" w:themeColor="text1"/>
        </w:rPr>
        <w:t>Co-immunoprecipitation</w:t>
      </w:r>
    </w:p>
    <w:p w14:paraId="4FE25241" w14:textId="77777777" w:rsidR="00E31E3B" w:rsidRPr="00330C5D" w:rsidRDefault="00AF28FD" w:rsidP="00330C5D">
      <w:pPr>
        <w:spacing w:after="140" w:line="360" w:lineRule="auto"/>
        <w:jc w:val="both"/>
        <w:rPr>
          <w:rFonts w:asciiTheme="minorBidi" w:hAnsiTheme="minorBidi"/>
          <w:color w:val="000000" w:themeColor="text1"/>
        </w:rPr>
      </w:pPr>
      <w:r w:rsidRPr="00330C5D">
        <w:rPr>
          <w:rFonts w:asciiTheme="minorBidi" w:hAnsiTheme="minorBidi"/>
          <w:color w:val="000000" w:themeColor="text1"/>
        </w:rPr>
        <w:t xml:space="preserve">K562 cells (~1×10⁷) were lysed in non-denaturing buffer (20 mM Tris-HCl pH 7.4, 5 mM EGTA, 5 mM sodium pyrophosphate, 0.05% NP-40, protease inhibitors) and clarified. Lysates were incubated with the indicated antibody or isotype IgG, captured on </w:t>
      </w:r>
      <w:proofErr w:type="spellStart"/>
      <w:r w:rsidRPr="00330C5D">
        <w:rPr>
          <w:rFonts w:asciiTheme="minorBidi" w:hAnsiTheme="minorBidi"/>
          <w:color w:val="000000" w:themeColor="text1"/>
        </w:rPr>
        <w:t>Dynabeads</w:t>
      </w:r>
      <w:proofErr w:type="spellEnd"/>
      <w:r w:rsidRPr="00330C5D">
        <w:rPr>
          <w:rFonts w:asciiTheme="minorBidi" w:hAnsiTheme="minorBidi"/>
          <w:color w:val="000000" w:themeColor="text1"/>
        </w:rPr>
        <w:t xml:space="preserve"> Protein A/G, washed five times, eluted in SDS buffer and analyzed by immunoblot. Reciprocal immunoprecipitations used anti-HA (HA-UBE2E3) and anti-UBE2E3 (endogenous).</w:t>
      </w:r>
    </w:p>
    <w:p w14:paraId="387A6D97" w14:textId="77777777" w:rsidR="00E31E3B" w:rsidRPr="00330C5D" w:rsidRDefault="00AF28FD" w:rsidP="00330C5D">
      <w:pPr>
        <w:spacing w:before="240" w:after="80" w:line="360" w:lineRule="auto"/>
        <w:jc w:val="both"/>
        <w:rPr>
          <w:rFonts w:asciiTheme="minorBidi" w:hAnsiTheme="minorBidi"/>
          <w:color w:val="000000" w:themeColor="text1"/>
        </w:rPr>
      </w:pPr>
      <w:r w:rsidRPr="00330C5D">
        <w:rPr>
          <w:rFonts w:asciiTheme="minorBidi" w:hAnsiTheme="minorBidi"/>
          <w:b/>
          <w:color w:val="000000" w:themeColor="text1"/>
        </w:rPr>
        <w:t xml:space="preserve">Proximity-dependent </w:t>
      </w:r>
      <w:proofErr w:type="spellStart"/>
      <w:r w:rsidRPr="00330C5D">
        <w:rPr>
          <w:rFonts w:asciiTheme="minorBidi" w:hAnsiTheme="minorBidi"/>
          <w:b/>
          <w:color w:val="000000" w:themeColor="text1"/>
        </w:rPr>
        <w:t>biotinylation</w:t>
      </w:r>
      <w:proofErr w:type="spellEnd"/>
      <w:r w:rsidRPr="00330C5D">
        <w:rPr>
          <w:rFonts w:asciiTheme="minorBidi" w:hAnsiTheme="minorBidi"/>
          <w:b/>
          <w:color w:val="000000" w:themeColor="text1"/>
        </w:rPr>
        <w:t xml:space="preserve"> (</w:t>
      </w:r>
      <w:proofErr w:type="spellStart"/>
      <w:r w:rsidRPr="00330C5D">
        <w:rPr>
          <w:rFonts w:asciiTheme="minorBidi" w:hAnsiTheme="minorBidi"/>
          <w:b/>
          <w:color w:val="000000" w:themeColor="text1"/>
        </w:rPr>
        <w:t>BioID</w:t>
      </w:r>
      <w:proofErr w:type="spellEnd"/>
      <w:r w:rsidRPr="00330C5D">
        <w:rPr>
          <w:rFonts w:asciiTheme="minorBidi" w:hAnsiTheme="minorBidi"/>
          <w:b/>
          <w:color w:val="000000" w:themeColor="text1"/>
        </w:rPr>
        <w:t>) and mass spectrometry</w:t>
      </w:r>
    </w:p>
    <w:p w14:paraId="4BCB1BDC" w14:textId="47C00A80" w:rsidR="00E31E3B" w:rsidRPr="00330C5D" w:rsidRDefault="00AF28FD" w:rsidP="00330C5D">
      <w:pPr>
        <w:spacing w:after="140" w:line="360" w:lineRule="auto"/>
        <w:jc w:val="both"/>
        <w:rPr>
          <w:rFonts w:asciiTheme="minorBidi" w:hAnsiTheme="minorBidi"/>
          <w:color w:val="000000" w:themeColor="text1"/>
        </w:rPr>
      </w:pPr>
      <w:proofErr w:type="spellStart"/>
      <w:r w:rsidRPr="00330C5D">
        <w:rPr>
          <w:rFonts w:asciiTheme="minorBidi" w:hAnsiTheme="minorBidi"/>
          <w:color w:val="000000" w:themeColor="text1"/>
        </w:rPr>
        <w:t>BioID</w:t>
      </w:r>
      <w:proofErr w:type="spellEnd"/>
      <w:r w:rsidRPr="00330C5D">
        <w:rPr>
          <w:rFonts w:asciiTheme="minorBidi" w:hAnsiTheme="minorBidi"/>
          <w:color w:val="000000" w:themeColor="text1"/>
        </w:rPr>
        <w:t xml:space="preserve"> was performed as previously described (Nachmias et al., Leukemia 2022; </w:t>
      </w:r>
      <w:proofErr w:type="spellStart"/>
      <w:r w:rsidRPr="00330C5D">
        <w:rPr>
          <w:rFonts w:asciiTheme="minorBidi" w:hAnsiTheme="minorBidi"/>
          <w:color w:val="000000" w:themeColor="text1"/>
        </w:rPr>
        <w:t>Béganton</w:t>
      </w:r>
      <w:proofErr w:type="spellEnd"/>
      <w:r w:rsidRPr="00330C5D">
        <w:rPr>
          <w:rFonts w:asciiTheme="minorBidi" w:hAnsiTheme="minorBidi"/>
          <w:color w:val="000000" w:themeColor="text1"/>
        </w:rPr>
        <w:t xml:space="preserve"> et al., Cancers 2020). </w:t>
      </w:r>
      <w:proofErr w:type="spellStart"/>
      <w:r w:rsidRPr="00330C5D">
        <w:rPr>
          <w:rFonts w:asciiTheme="minorBidi" w:hAnsiTheme="minorBidi"/>
          <w:color w:val="000000" w:themeColor="text1"/>
        </w:rPr>
        <w:t>Flp</w:t>
      </w:r>
      <w:proofErr w:type="spellEnd"/>
      <w:r w:rsidRPr="00330C5D">
        <w:rPr>
          <w:rFonts w:asciiTheme="minorBidi" w:hAnsiTheme="minorBidi"/>
          <w:color w:val="000000" w:themeColor="text1"/>
        </w:rPr>
        <w:t>-In T-</w:t>
      </w:r>
      <w:proofErr w:type="spellStart"/>
      <w:r w:rsidRPr="00330C5D">
        <w:rPr>
          <w:rFonts w:asciiTheme="minorBidi" w:hAnsiTheme="minorBidi"/>
          <w:color w:val="000000" w:themeColor="text1"/>
        </w:rPr>
        <w:t>REx</w:t>
      </w:r>
      <w:proofErr w:type="spellEnd"/>
      <w:r w:rsidRPr="00330C5D">
        <w:rPr>
          <w:rFonts w:asciiTheme="minorBidi" w:hAnsiTheme="minorBidi"/>
          <w:color w:val="000000" w:themeColor="text1"/>
        </w:rPr>
        <w:t xml:space="preserve"> 293 cells stably expressing pcDNA5/FRT/TO-UBE2E3-FLAG-BirA* or the parental FLAG-</w:t>
      </w:r>
      <w:proofErr w:type="spellStart"/>
      <w:r w:rsidRPr="00330C5D">
        <w:rPr>
          <w:rFonts w:asciiTheme="minorBidi" w:hAnsiTheme="minorBidi"/>
          <w:color w:val="000000" w:themeColor="text1"/>
        </w:rPr>
        <w:t>BirA</w:t>
      </w:r>
      <w:proofErr w:type="spellEnd"/>
      <w:r w:rsidRPr="00330C5D">
        <w:rPr>
          <w:rFonts w:asciiTheme="minorBidi" w:hAnsiTheme="minorBidi"/>
          <w:color w:val="000000" w:themeColor="text1"/>
        </w:rPr>
        <w:t xml:space="preserve">* control were grown in three 150-mm dishes per replicate; at 60% confluence, fusion expression was induced with 1 </w:t>
      </w:r>
      <w:proofErr w:type="spellStart"/>
      <w:r w:rsidRPr="00330C5D">
        <w:rPr>
          <w:rFonts w:asciiTheme="minorBidi" w:hAnsiTheme="minorBidi"/>
          <w:color w:val="000000" w:themeColor="text1"/>
        </w:rPr>
        <w:t>μg</w:t>
      </w:r>
      <w:proofErr w:type="spellEnd"/>
      <w:r w:rsidRPr="00330C5D">
        <w:rPr>
          <w:rFonts w:asciiTheme="minorBidi" w:hAnsiTheme="minorBidi"/>
          <w:color w:val="000000" w:themeColor="text1"/>
        </w:rPr>
        <w:t xml:space="preserve">/mL tetracycline plus 50 </w:t>
      </w:r>
      <w:proofErr w:type="spellStart"/>
      <w:r w:rsidRPr="00330C5D">
        <w:rPr>
          <w:rFonts w:asciiTheme="minorBidi" w:hAnsiTheme="minorBidi"/>
          <w:color w:val="000000" w:themeColor="text1"/>
        </w:rPr>
        <w:t>μM</w:t>
      </w:r>
      <w:proofErr w:type="spellEnd"/>
      <w:r w:rsidRPr="00330C5D">
        <w:rPr>
          <w:rFonts w:asciiTheme="minorBidi" w:hAnsiTheme="minorBidi"/>
          <w:color w:val="000000" w:themeColor="text1"/>
        </w:rPr>
        <w:t xml:space="preserve"> biotin for 24 h. Cells were lysed in RIPA buffer with </w:t>
      </w:r>
      <w:proofErr w:type="spellStart"/>
      <w:r w:rsidRPr="00330C5D">
        <w:rPr>
          <w:rFonts w:asciiTheme="minorBidi" w:hAnsiTheme="minorBidi"/>
          <w:color w:val="000000" w:themeColor="text1"/>
        </w:rPr>
        <w:t>Turbonuclease</w:t>
      </w:r>
      <w:proofErr w:type="spellEnd"/>
      <w:r w:rsidRPr="00330C5D">
        <w:rPr>
          <w:rFonts w:asciiTheme="minorBidi" w:hAnsiTheme="minorBidi"/>
          <w:color w:val="000000" w:themeColor="text1"/>
        </w:rPr>
        <w:t xml:space="preserve">, sonicated and clarified, and biotinylated proteins captured on Streptavidin Sepharose, washed at high stringency (8 M urea/2% SDS, then 1 M NaCl, then water). </w:t>
      </w:r>
      <w:r w:rsidR="00A716C5">
        <w:rPr>
          <w:rFonts w:asciiTheme="minorBidi" w:hAnsiTheme="minorBidi"/>
          <w:color w:val="000000" w:themeColor="text1"/>
        </w:rPr>
        <w:t xml:space="preserve">Two independent biological pools per condition, each analyzed in two technical replicates (four mass-spectrometry runs per condition). </w:t>
      </w:r>
      <w:r w:rsidRPr="00330C5D">
        <w:rPr>
          <w:rFonts w:asciiTheme="minorBidi" w:hAnsiTheme="minorBidi"/>
          <w:color w:val="000000" w:themeColor="text1"/>
        </w:rPr>
        <w:t xml:space="preserve">High-confidence interactors were defined by </w:t>
      </w:r>
      <w:proofErr w:type="spellStart"/>
      <w:r w:rsidRPr="00330C5D">
        <w:rPr>
          <w:rFonts w:asciiTheme="minorBidi" w:hAnsiTheme="minorBidi"/>
          <w:color w:val="000000" w:themeColor="text1"/>
        </w:rPr>
        <w:t>SAINTexpress</w:t>
      </w:r>
      <w:proofErr w:type="spellEnd"/>
      <w:r w:rsidRPr="00330C5D">
        <w:rPr>
          <w:rFonts w:asciiTheme="minorBidi" w:hAnsiTheme="minorBidi"/>
          <w:color w:val="000000" w:themeColor="text1"/>
        </w:rPr>
        <w:t xml:space="preserve"> (BFDR ≤ 0.01) against the FLAG-</w:t>
      </w:r>
      <w:proofErr w:type="spellStart"/>
      <w:r w:rsidRPr="00330C5D">
        <w:rPr>
          <w:rFonts w:asciiTheme="minorBidi" w:hAnsiTheme="minorBidi"/>
          <w:color w:val="000000" w:themeColor="text1"/>
        </w:rPr>
        <w:t>BirA</w:t>
      </w:r>
      <w:proofErr w:type="spellEnd"/>
      <w:r w:rsidRPr="00330C5D">
        <w:rPr>
          <w:rFonts w:asciiTheme="minorBidi" w:hAnsiTheme="minorBidi"/>
          <w:color w:val="000000" w:themeColor="text1"/>
        </w:rPr>
        <w:t xml:space="preserve">* control; functional enrichment used </w:t>
      </w:r>
      <w:proofErr w:type="spellStart"/>
      <w:r w:rsidRPr="00330C5D">
        <w:rPr>
          <w:rFonts w:asciiTheme="minorBidi" w:hAnsiTheme="minorBidi"/>
          <w:color w:val="000000" w:themeColor="text1"/>
        </w:rPr>
        <w:t>Metascape</w:t>
      </w:r>
      <w:proofErr w:type="spellEnd"/>
      <w:r w:rsidRPr="00330C5D">
        <w:rPr>
          <w:rFonts w:asciiTheme="minorBidi" w:hAnsiTheme="minorBidi"/>
          <w:color w:val="000000" w:themeColor="text1"/>
        </w:rPr>
        <w:t>.</w:t>
      </w:r>
    </w:p>
    <w:p w14:paraId="49F8B73D" w14:textId="548C9107" w:rsidR="00B84892" w:rsidRPr="00461A9D" w:rsidRDefault="00B84892" w:rsidP="00330C5D">
      <w:pPr>
        <w:spacing w:after="140" w:line="360" w:lineRule="auto"/>
        <w:jc w:val="both"/>
        <w:rPr>
          <w:rFonts w:asciiTheme="minorBidi" w:hAnsiTheme="minorBidi"/>
          <w:color w:val="000000" w:themeColor="text1"/>
          <w:lang w:val="en-CA" w:bidi="he-IL"/>
        </w:rPr>
      </w:pPr>
      <w:r w:rsidRPr="00330C5D">
        <w:rPr>
          <w:rFonts w:asciiTheme="minorBidi" w:hAnsiTheme="minorBidi"/>
          <w:color w:val="000000" w:themeColor="text1"/>
        </w:rPr>
        <w:t xml:space="preserve">High-confidence preys were submitted to </w:t>
      </w:r>
      <w:proofErr w:type="spellStart"/>
      <w:r w:rsidRPr="00330C5D">
        <w:rPr>
          <w:rFonts w:asciiTheme="minorBidi" w:hAnsiTheme="minorBidi"/>
          <w:color w:val="000000" w:themeColor="text1"/>
        </w:rPr>
        <w:t>Metascape</w:t>
      </w:r>
      <w:proofErr w:type="spellEnd"/>
      <w:r w:rsidRPr="00330C5D">
        <w:rPr>
          <w:rFonts w:asciiTheme="minorBidi" w:hAnsiTheme="minorBidi"/>
          <w:color w:val="000000" w:themeColor="text1"/>
        </w:rPr>
        <w:t xml:space="preserve"> and grouped into functional categories by manual curation of the top-enriched terms (Figure 2A). For Figure 2B, curated reference subunit lists for PRC1.1, canonical PRC1 and PRC2 were used to compute recovery (detected high-confidence interactors/total annotated subunits). Enrichment of PRC1.1-specific recovery over canonical PRC1 and PRC2 was tested by one-sided Fisher’s exact test.</w:t>
      </w:r>
      <w:r w:rsidR="00A716C5">
        <w:rPr>
          <w:rFonts w:asciiTheme="minorBidi" w:hAnsiTheme="minorBidi"/>
          <w:color w:val="000000" w:themeColor="text1"/>
        </w:rPr>
        <w:t xml:space="preserve"> The complete </w:t>
      </w:r>
      <w:proofErr w:type="spellStart"/>
      <w:r w:rsidR="00A716C5">
        <w:rPr>
          <w:rFonts w:asciiTheme="minorBidi" w:hAnsiTheme="minorBidi"/>
          <w:color w:val="000000" w:themeColor="text1"/>
        </w:rPr>
        <w:t>BioID</w:t>
      </w:r>
      <w:proofErr w:type="spellEnd"/>
      <w:r w:rsidR="00A716C5">
        <w:rPr>
          <w:rFonts w:asciiTheme="minorBidi" w:hAnsiTheme="minorBidi"/>
          <w:color w:val="000000" w:themeColor="text1"/>
        </w:rPr>
        <w:t xml:space="preserve"> dataset is provided in Supplementary Table S3</w:t>
      </w:r>
      <w:r w:rsidR="00C621B5">
        <w:rPr>
          <w:rFonts w:asciiTheme="minorBidi" w:hAnsiTheme="minorBidi"/>
          <w:color w:val="000000" w:themeColor="text1"/>
        </w:rPr>
        <w:t>.</w:t>
      </w:r>
    </w:p>
    <w:p w14:paraId="659A83B6" w14:textId="77777777" w:rsidR="00E31E3B" w:rsidRPr="00330C5D" w:rsidRDefault="00AF28FD" w:rsidP="00330C5D">
      <w:pPr>
        <w:spacing w:before="240" w:after="80" w:line="360" w:lineRule="auto"/>
        <w:jc w:val="both"/>
        <w:rPr>
          <w:rFonts w:asciiTheme="minorBidi" w:hAnsiTheme="minorBidi"/>
          <w:color w:val="000000" w:themeColor="text1"/>
        </w:rPr>
      </w:pPr>
      <w:r w:rsidRPr="00330C5D">
        <w:rPr>
          <w:rFonts w:asciiTheme="minorBidi" w:hAnsiTheme="minorBidi"/>
          <w:b/>
          <w:color w:val="000000" w:themeColor="text1"/>
        </w:rPr>
        <w:t>Quantitative (expression) proteomics</w:t>
      </w:r>
    </w:p>
    <w:p w14:paraId="73BBD42D" w14:textId="77777777" w:rsidR="00003686" w:rsidRPr="00330C5D" w:rsidRDefault="00AF28FD" w:rsidP="00330C5D">
      <w:pPr>
        <w:spacing w:after="140" w:line="360" w:lineRule="auto"/>
        <w:jc w:val="both"/>
        <w:rPr>
          <w:rFonts w:asciiTheme="minorBidi" w:hAnsiTheme="minorBidi"/>
          <w:color w:val="000000" w:themeColor="text1"/>
        </w:rPr>
      </w:pPr>
      <w:r w:rsidRPr="00330C5D">
        <w:rPr>
          <w:rFonts w:asciiTheme="minorBidi" w:hAnsiTheme="minorBidi"/>
          <w:color w:val="000000" w:themeColor="text1"/>
        </w:rPr>
        <w:t>Quantitative proteomics was performed on OCI-AML2 cells after UBE2E3 knockdown versus control (three biological replicates per arm; 8,655 proteins quantified).</w:t>
      </w:r>
    </w:p>
    <w:p w14:paraId="07C7B43E" w14:textId="77777777" w:rsidR="00003686" w:rsidRPr="00330C5D" w:rsidRDefault="005A262F" w:rsidP="00330C5D">
      <w:pPr>
        <w:spacing w:after="140" w:line="360" w:lineRule="auto"/>
        <w:jc w:val="both"/>
        <w:rPr>
          <w:rFonts w:asciiTheme="minorBidi" w:hAnsiTheme="minorBidi"/>
          <w:color w:val="000000" w:themeColor="text1"/>
          <w:lang w:bidi="he-IL"/>
        </w:rPr>
      </w:pPr>
      <w:r w:rsidRPr="00330C5D">
        <w:rPr>
          <w:rFonts w:asciiTheme="minorBidi" w:hAnsiTheme="minorBidi"/>
          <w:color w:val="000000" w:themeColor="text1"/>
        </w:rPr>
        <w:lastRenderedPageBreak/>
        <w:t>T</w:t>
      </w:r>
      <w:r w:rsidRPr="00330C5D">
        <w:rPr>
          <w:rFonts w:asciiTheme="minorBidi" w:hAnsiTheme="minorBidi"/>
          <w:color w:val="000000" w:themeColor="text1"/>
          <w:lang w:bidi="he-IL"/>
        </w:rPr>
        <w:t xml:space="preserve">he samples were analyzed at The Medicinal Chemistry institute of the Nancy and Stephen Grand Israel National Center for Personalized Medicine, Weizmann Institute of Science. </w:t>
      </w:r>
      <w:r w:rsidRPr="00330C5D">
        <w:rPr>
          <w:rFonts w:asciiTheme="minorBidi" w:hAnsiTheme="minorBidi"/>
          <w:color w:val="000000" w:themeColor="text1"/>
        </w:rPr>
        <w:t>The samples were subjected to tryptic digestion using an S-trap. The resulting peptides were analyzed using nanoflow liquid chromatography (NanoElute2) coupled to high resolution, high mass accuracy mass spectrometry (TIMS-</w:t>
      </w:r>
      <w:proofErr w:type="spellStart"/>
      <w:r w:rsidRPr="00330C5D">
        <w:rPr>
          <w:rFonts w:asciiTheme="minorBidi" w:hAnsiTheme="minorBidi"/>
          <w:color w:val="000000" w:themeColor="text1"/>
        </w:rPr>
        <w:t>Tof</w:t>
      </w:r>
      <w:proofErr w:type="spellEnd"/>
      <w:r w:rsidRPr="00330C5D">
        <w:rPr>
          <w:rFonts w:asciiTheme="minorBidi" w:hAnsiTheme="minorBidi"/>
          <w:color w:val="000000" w:themeColor="text1"/>
        </w:rPr>
        <w:t xml:space="preserve"> Pro). Each sample was analyzed on the instrument separately in a random order in DIA mode.</w:t>
      </w:r>
    </w:p>
    <w:p w14:paraId="000A11B4" w14:textId="1D55C4E4" w:rsidR="0085005F" w:rsidRDefault="00003686" w:rsidP="00330C5D">
      <w:pPr>
        <w:spacing w:after="140" w:line="360" w:lineRule="auto"/>
        <w:jc w:val="both"/>
        <w:rPr>
          <w:rFonts w:asciiTheme="minorBidi" w:hAnsiTheme="minorBidi"/>
          <w:color w:val="000000" w:themeColor="text1"/>
        </w:rPr>
      </w:pPr>
      <w:r w:rsidRPr="00330C5D">
        <w:rPr>
          <w:rFonts w:asciiTheme="minorBidi" w:hAnsiTheme="minorBidi"/>
          <w:color w:val="000000" w:themeColor="text1"/>
        </w:rPr>
        <w:t xml:space="preserve">Raw data was processed with DIANN v2.2.0. The data was searched against the </w:t>
      </w:r>
      <w:proofErr w:type="spellStart"/>
      <w:r w:rsidRPr="00330C5D">
        <w:rPr>
          <w:rFonts w:asciiTheme="minorBidi" w:hAnsiTheme="minorBidi"/>
          <w:color w:val="000000" w:themeColor="text1"/>
        </w:rPr>
        <w:t>SwissProt</w:t>
      </w:r>
      <w:proofErr w:type="spellEnd"/>
      <w:r w:rsidRPr="00330C5D">
        <w:rPr>
          <w:rFonts w:asciiTheme="minorBidi" w:hAnsiTheme="minorBidi"/>
          <w:color w:val="000000" w:themeColor="text1"/>
        </w:rPr>
        <w:t xml:space="preserve"> human proteome database (January 2026 version) in addition to a common contaminants list. </w:t>
      </w:r>
      <w:proofErr w:type="spellStart"/>
      <w:r w:rsidRPr="00330C5D">
        <w:rPr>
          <w:rFonts w:asciiTheme="minorBidi" w:hAnsiTheme="minorBidi"/>
          <w:color w:val="000000" w:themeColor="text1"/>
        </w:rPr>
        <w:t>Carbamidomethylation</w:t>
      </w:r>
      <w:proofErr w:type="spellEnd"/>
      <w:r w:rsidRPr="00330C5D">
        <w:rPr>
          <w:rFonts w:asciiTheme="minorBidi" w:hAnsiTheme="minorBidi"/>
          <w:color w:val="000000" w:themeColor="text1"/>
        </w:rPr>
        <w:t xml:space="preserve"> of C was set as a fixed modification. Oxidation of M, and protein N-term acetylation were set as variable modifications. The search workflow was a library-free DIA. The protein intensities were used for further calculations using Perseus v1.6.2.3. The protein intensities were log2-transformed, and only proteins that had at least 2 valid values in at least one experimental group were kept. The remaining missing values were imputed by a random low range distribution. </w:t>
      </w:r>
      <w:r w:rsidR="0085005F">
        <w:rPr>
          <w:rFonts w:asciiTheme="minorBidi" w:hAnsiTheme="minorBidi"/>
          <w:color w:val="000000" w:themeColor="text1"/>
        </w:rPr>
        <w:t>Student’s t-tests were performed between the relevant groups to identify significant changes in protein levels, with permutation-based false-discovery-rate correction as implemented in Perseus. Corrected values are reported as q and are referred to in the manuscript as adjusted P values</w:t>
      </w:r>
    </w:p>
    <w:p w14:paraId="0DF86578" w14:textId="142FB4C2" w:rsidR="00E31E3B" w:rsidRPr="00330C5D" w:rsidRDefault="00CD49F8" w:rsidP="00330C5D">
      <w:pPr>
        <w:spacing w:after="140" w:line="360" w:lineRule="auto"/>
        <w:jc w:val="both"/>
        <w:rPr>
          <w:rFonts w:asciiTheme="minorBidi" w:hAnsiTheme="minorBidi"/>
          <w:color w:val="000000" w:themeColor="text1"/>
        </w:rPr>
      </w:pPr>
      <w:r>
        <w:rPr>
          <w:rFonts w:asciiTheme="minorBidi" w:hAnsiTheme="minorBidi"/>
          <w:color w:val="000000" w:themeColor="text1"/>
        </w:rPr>
        <w:t xml:space="preserve">For this analysis the expression-proteomics table (Supplementary Table S4, which is provided unfiltered) was restricted to entries mapped to genes, excluding proteins with fewer than two unique peptides and </w:t>
      </w:r>
      <w:proofErr w:type="spellStart"/>
      <w:r>
        <w:rPr>
          <w:rFonts w:asciiTheme="minorBidi" w:hAnsiTheme="minorBidi"/>
          <w:color w:val="000000" w:themeColor="text1"/>
        </w:rPr>
        <w:t>cRAP</w:t>
      </w:r>
      <w:proofErr w:type="spellEnd"/>
      <w:r>
        <w:rPr>
          <w:rFonts w:asciiTheme="minorBidi" w:hAnsiTheme="minorBidi"/>
          <w:color w:val="000000" w:themeColor="text1"/>
        </w:rPr>
        <w:t xml:space="preserve"> contaminants and retaining the top-ranked entry for duplicated genes; </w:t>
      </w:r>
      <w:r w:rsidR="00AF28FD" w:rsidRPr="00330C5D">
        <w:rPr>
          <w:rFonts w:asciiTheme="minorBidi" w:hAnsiTheme="minorBidi"/>
          <w:color w:val="000000" w:themeColor="text1"/>
        </w:rPr>
        <w:t>proteins were then ranked for enrichment by fold change</w:t>
      </w:r>
      <w:r w:rsidR="0085005F">
        <w:rPr>
          <w:rFonts w:asciiTheme="minorBidi" w:hAnsiTheme="minorBidi"/>
          <w:color w:val="000000" w:themeColor="text1"/>
        </w:rPr>
        <w:t xml:space="preserve"> </w:t>
      </w:r>
      <w:r w:rsidR="00AF28FD" w:rsidRPr="00330C5D">
        <w:rPr>
          <w:rFonts w:asciiTheme="minorBidi" w:hAnsiTheme="minorBidi"/>
          <w:color w:val="000000" w:themeColor="text1"/>
        </w:rPr>
        <w:t>and the ranking used for each panel is stated in the corresponding figure legend.</w:t>
      </w:r>
    </w:p>
    <w:p w14:paraId="0D5959A1" w14:textId="77777777" w:rsidR="006C7D2A" w:rsidRPr="00330C5D" w:rsidRDefault="006C7D2A" w:rsidP="00330C5D">
      <w:pPr>
        <w:spacing w:after="140" w:line="360" w:lineRule="auto"/>
        <w:jc w:val="both"/>
        <w:rPr>
          <w:rFonts w:asciiTheme="minorBidi" w:hAnsiTheme="minorBidi"/>
          <w:color w:val="000000" w:themeColor="text1"/>
        </w:rPr>
      </w:pPr>
    </w:p>
    <w:p w14:paraId="37D02F55" w14:textId="77777777" w:rsidR="00E31E3B" w:rsidRPr="00330C5D" w:rsidRDefault="00AF28FD" w:rsidP="00330C5D">
      <w:pPr>
        <w:spacing w:before="240" w:after="80" w:line="360" w:lineRule="auto"/>
        <w:jc w:val="both"/>
        <w:rPr>
          <w:rFonts w:asciiTheme="minorBidi" w:hAnsiTheme="minorBidi"/>
          <w:color w:val="000000" w:themeColor="text1"/>
        </w:rPr>
      </w:pPr>
      <w:r w:rsidRPr="00330C5D">
        <w:rPr>
          <w:rFonts w:asciiTheme="minorBidi" w:hAnsiTheme="minorBidi"/>
          <w:b/>
          <w:color w:val="000000" w:themeColor="text1"/>
        </w:rPr>
        <w:t>RNA extraction and quantitative RT-PCR</w:t>
      </w:r>
    </w:p>
    <w:p w14:paraId="48B4B269" w14:textId="77777777" w:rsidR="00E31E3B" w:rsidRPr="00330C5D" w:rsidRDefault="00AF28FD" w:rsidP="00330C5D">
      <w:pPr>
        <w:spacing w:after="140" w:line="360" w:lineRule="auto"/>
        <w:jc w:val="both"/>
        <w:rPr>
          <w:rFonts w:asciiTheme="minorBidi" w:hAnsiTheme="minorBidi"/>
          <w:color w:val="000000" w:themeColor="text1"/>
        </w:rPr>
      </w:pPr>
      <w:r w:rsidRPr="00330C5D">
        <w:rPr>
          <w:rFonts w:asciiTheme="minorBidi" w:hAnsiTheme="minorBidi"/>
          <w:color w:val="000000" w:themeColor="text1"/>
        </w:rPr>
        <w:t xml:space="preserve">Total RNA was extracted from OCI-AML2 cells </w:t>
      </w:r>
      <w:r w:rsidRPr="00330C5D">
        <w:rPr>
          <w:rFonts w:asciiTheme="minorBidi" w:hAnsiTheme="minorBidi"/>
          <w:bCs/>
          <w:color w:val="000000" w:themeColor="text1"/>
        </w:rPr>
        <w:t>6 days</w:t>
      </w:r>
      <w:r w:rsidRPr="00330C5D">
        <w:rPr>
          <w:rFonts w:asciiTheme="minorBidi" w:hAnsiTheme="minorBidi"/>
          <w:b/>
          <w:color w:val="000000" w:themeColor="text1"/>
        </w:rPr>
        <w:t xml:space="preserve"> </w:t>
      </w:r>
      <w:r w:rsidRPr="00330C5D">
        <w:rPr>
          <w:rFonts w:asciiTheme="minorBidi" w:hAnsiTheme="minorBidi"/>
          <w:color w:val="000000" w:themeColor="text1"/>
        </w:rPr>
        <w:t xml:space="preserve">post-transduction using the RNeasy Plus Mini Kit (QIAGEN). cDNA was synthesized with </w:t>
      </w:r>
      <w:proofErr w:type="spellStart"/>
      <w:r w:rsidRPr="00330C5D">
        <w:rPr>
          <w:rFonts w:asciiTheme="minorBidi" w:hAnsiTheme="minorBidi"/>
          <w:color w:val="000000" w:themeColor="text1"/>
        </w:rPr>
        <w:t>LunaScript</w:t>
      </w:r>
      <w:proofErr w:type="spellEnd"/>
      <w:r w:rsidRPr="00330C5D">
        <w:rPr>
          <w:rFonts w:asciiTheme="minorBidi" w:hAnsiTheme="minorBidi"/>
          <w:color w:val="000000" w:themeColor="text1"/>
        </w:rPr>
        <w:t xml:space="preserve"> RT </w:t>
      </w:r>
      <w:proofErr w:type="spellStart"/>
      <w:r w:rsidRPr="00330C5D">
        <w:rPr>
          <w:rFonts w:asciiTheme="minorBidi" w:hAnsiTheme="minorBidi"/>
          <w:color w:val="000000" w:themeColor="text1"/>
        </w:rPr>
        <w:t>SuperMix</w:t>
      </w:r>
      <w:proofErr w:type="spellEnd"/>
      <w:r w:rsidRPr="00330C5D">
        <w:rPr>
          <w:rFonts w:asciiTheme="minorBidi" w:hAnsiTheme="minorBidi"/>
          <w:color w:val="000000" w:themeColor="text1"/>
        </w:rPr>
        <w:t xml:space="preserve"> (NEB), and qPCR run on a </w:t>
      </w:r>
      <w:proofErr w:type="spellStart"/>
      <w:r w:rsidRPr="00330C5D">
        <w:rPr>
          <w:rFonts w:asciiTheme="minorBidi" w:hAnsiTheme="minorBidi"/>
          <w:color w:val="000000" w:themeColor="text1"/>
        </w:rPr>
        <w:t>QuantStudio</w:t>
      </w:r>
      <w:proofErr w:type="spellEnd"/>
      <w:r w:rsidRPr="00330C5D">
        <w:rPr>
          <w:rFonts w:asciiTheme="minorBidi" w:hAnsiTheme="minorBidi"/>
          <w:color w:val="000000" w:themeColor="text1"/>
        </w:rPr>
        <w:t xml:space="preserve"> 5 with Luna Universal qPCR Master Mix and the primers in Table S2. Relative expression was calculated by 2^(–</w:t>
      </w:r>
      <w:proofErr w:type="spellStart"/>
      <w:r w:rsidRPr="00330C5D">
        <w:rPr>
          <w:rFonts w:asciiTheme="minorBidi" w:hAnsiTheme="minorBidi"/>
          <w:color w:val="000000" w:themeColor="text1"/>
        </w:rPr>
        <w:t>ΔΔCt</w:t>
      </w:r>
      <w:proofErr w:type="spellEnd"/>
      <w:r w:rsidRPr="00330C5D">
        <w:rPr>
          <w:rFonts w:asciiTheme="minorBidi" w:hAnsiTheme="minorBidi"/>
          <w:color w:val="000000" w:themeColor="text1"/>
        </w:rPr>
        <w:t xml:space="preserve">) with </w:t>
      </w:r>
      <w:r w:rsidRPr="00330C5D">
        <w:rPr>
          <w:rFonts w:asciiTheme="minorBidi" w:hAnsiTheme="minorBidi"/>
          <w:i/>
          <w:iCs/>
          <w:color w:val="000000" w:themeColor="text1"/>
        </w:rPr>
        <w:t>ABL1</w:t>
      </w:r>
      <w:r w:rsidRPr="00330C5D">
        <w:rPr>
          <w:rFonts w:asciiTheme="minorBidi" w:hAnsiTheme="minorBidi"/>
          <w:color w:val="000000" w:themeColor="text1"/>
        </w:rPr>
        <w:t xml:space="preserve"> as reference, in technical triplicate on biological triplicates.</w:t>
      </w:r>
    </w:p>
    <w:p w14:paraId="572D3A83" w14:textId="77777777" w:rsidR="00E31E3B" w:rsidRPr="00330C5D" w:rsidRDefault="00AF28FD" w:rsidP="00330C5D">
      <w:pPr>
        <w:spacing w:before="240" w:after="80" w:line="360" w:lineRule="auto"/>
        <w:jc w:val="both"/>
        <w:rPr>
          <w:rFonts w:asciiTheme="minorBidi" w:hAnsiTheme="minorBidi"/>
          <w:color w:val="000000" w:themeColor="text1"/>
        </w:rPr>
      </w:pPr>
      <w:r w:rsidRPr="00330C5D">
        <w:rPr>
          <w:rFonts w:asciiTheme="minorBidi" w:hAnsiTheme="minorBidi"/>
          <w:b/>
          <w:color w:val="000000" w:themeColor="text1"/>
        </w:rPr>
        <w:t>RNA-sequencing and differential expression</w:t>
      </w:r>
    </w:p>
    <w:p w14:paraId="7D2AA1A8" w14:textId="7C15C534" w:rsidR="004E76DD" w:rsidRPr="00330C5D" w:rsidRDefault="00AF28FD" w:rsidP="00330C5D">
      <w:pPr>
        <w:spacing w:line="360" w:lineRule="auto"/>
        <w:jc w:val="both"/>
        <w:rPr>
          <w:rFonts w:asciiTheme="minorBidi" w:hAnsiTheme="minorBidi"/>
        </w:rPr>
      </w:pPr>
      <w:r w:rsidRPr="00330C5D">
        <w:rPr>
          <w:rFonts w:asciiTheme="minorBidi" w:hAnsiTheme="minorBidi"/>
          <w:color w:val="000000" w:themeColor="text1"/>
        </w:rPr>
        <w:lastRenderedPageBreak/>
        <w:t xml:space="preserve">Poly-A libraries were prepared from total RNA of OCI-AML2 cells 6 days after transduction with </w:t>
      </w:r>
      <w:proofErr w:type="spellStart"/>
      <w:r w:rsidRPr="00330C5D">
        <w:rPr>
          <w:rFonts w:asciiTheme="minorBidi" w:hAnsiTheme="minorBidi"/>
          <w:color w:val="000000" w:themeColor="text1"/>
        </w:rPr>
        <w:t>sh</w:t>
      </w:r>
      <w:proofErr w:type="spellEnd"/>
      <w:r w:rsidRPr="00330C5D">
        <w:rPr>
          <w:rFonts w:asciiTheme="minorBidi" w:hAnsiTheme="minorBidi"/>
          <w:color w:val="000000" w:themeColor="text1"/>
        </w:rPr>
        <w:t xml:space="preserve"> UBE2E3 or control (n = 6 per arm) and sequenced on an Illumina platform. </w:t>
      </w:r>
      <w:r w:rsidR="004E76DD" w:rsidRPr="00330C5D">
        <w:rPr>
          <w:rFonts w:asciiTheme="minorBidi" w:hAnsiTheme="minorBidi"/>
        </w:rPr>
        <w:t xml:space="preserve">Raw sequencing reads were evaluated with </w:t>
      </w:r>
      <w:proofErr w:type="spellStart"/>
      <w:r w:rsidR="004E76DD" w:rsidRPr="00330C5D">
        <w:rPr>
          <w:rFonts w:asciiTheme="minorBidi" w:hAnsiTheme="minorBidi"/>
        </w:rPr>
        <w:t>FastQC</w:t>
      </w:r>
      <w:proofErr w:type="spellEnd"/>
      <w:r w:rsidR="004E76DD" w:rsidRPr="00330C5D">
        <w:rPr>
          <w:rFonts w:asciiTheme="minorBidi" w:hAnsiTheme="minorBidi"/>
        </w:rPr>
        <w:t xml:space="preserve"> V0.12.1</w:t>
      </w:r>
      <w:r w:rsidR="004E76DD" w:rsidRPr="00330C5D">
        <w:rPr>
          <w:rFonts w:asciiTheme="minorBidi" w:hAnsiTheme="minorBidi"/>
        </w:rPr>
        <w:fldChar w:fldCharType="begin"/>
      </w:r>
      <w:r w:rsidR="0085005F">
        <w:rPr>
          <w:rFonts w:asciiTheme="minorBidi" w:hAnsiTheme="minorBidi"/>
        </w:rPr>
        <w:instrText xml:space="preserve"> ADDIN ZOTERO_ITEM CSL_CITATION {"citationID":"xu5AJTja","properties":{"unsorted":false,"formattedCitation":"\\super 4\\nosupersub{}","plainCitation":"4","noteIndex":0},"citationItems":[{"id":4138,"uris":["http://zotero.org/users/local/eCJUxClJ/items/RXQIPGAT"],"itemData":{"id":4138,"type":"article-journal","title":"FastQC:  A Quality Control Tool for High Throughput Sequence Data","author":[{"family":"Andrews","given":"S"}],"issued":{"date-parts":[["2010"]]}}}],"schema":"https://github.com/citation-style-language/schema/raw/master/csl-citation.json"} </w:instrText>
      </w:r>
      <w:r w:rsidR="004E76DD" w:rsidRPr="00330C5D">
        <w:rPr>
          <w:rFonts w:asciiTheme="minorBidi" w:hAnsiTheme="minorBidi"/>
        </w:rPr>
        <w:fldChar w:fldCharType="separate"/>
      </w:r>
      <w:r w:rsidR="0085005F" w:rsidRPr="0085005F">
        <w:rPr>
          <w:rFonts w:ascii="Arial" w:hAnsiTheme="minorHAnsi" w:cs="Arial"/>
          <w:szCs w:val="24"/>
          <w:vertAlign w:val="superscript"/>
          <w:lang w:bidi="he-IL"/>
        </w:rPr>
        <w:t>4</w:t>
      </w:r>
      <w:r w:rsidR="004E76DD" w:rsidRPr="00330C5D">
        <w:rPr>
          <w:rFonts w:asciiTheme="minorBidi" w:hAnsiTheme="minorBidi"/>
        </w:rPr>
        <w:fldChar w:fldCharType="end"/>
      </w:r>
      <w:r w:rsidR="004E76DD" w:rsidRPr="00330C5D">
        <w:rPr>
          <w:rFonts w:asciiTheme="minorBidi" w:hAnsiTheme="minorBidi"/>
        </w:rPr>
        <w:t>. Adapter sequences and low-quality bases were removed using Trim Galore V0.6.11 set for the paired library. Trimmed reads were quantified with Salmon V1.11.4</w:t>
      </w:r>
      <w:r w:rsidR="004E76DD" w:rsidRPr="00330C5D">
        <w:rPr>
          <w:rFonts w:asciiTheme="minorBidi" w:hAnsiTheme="minorBidi"/>
        </w:rPr>
        <w:fldChar w:fldCharType="begin"/>
      </w:r>
      <w:r w:rsidR="0085005F">
        <w:rPr>
          <w:rFonts w:asciiTheme="minorBidi" w:hAnsiTheme="minorBidi"/>
        </w:rPr>
        <w:instrText xml:space="preserve"> ADDIN ZOTERO_ITEM CSL_CITATION {"citationID":"6Jg8tEVo","properties":{"unsorted":false,"formattedCitation":"\\super 5\\nosupersub{}","plainCitation":"5","noteIndex":0},"citationItems":[{"id":4131,"uris":["http://zotero.org/users/local/eCJUxClJ/items/I9LISL46"],"itemData":{"id":4131,"type":"article-journal","abstract":"We introduce Salmon, a lightweight method for quantifying transcript abundance from RNA-seq reads. Salmon combines a new dual-phase parallel inference algorithm and feature-rich bias models with an ultra-fast read mapping procedure. It is the first transcriptome-wide quantifier to correct for fragment GC-content bias, which, as we demonstrate here, substantially improves the accuracy of abundance estimates and the sensitivity of subsequent differential expression analysis.","container-title":"Nature Methods","DOI":"10.1038/nmeth.4197","ISSN":"1548-7105","issue":"4","journalAbbreviation":"Nat Methods","language":"eng","page":"417-419","PMID":"28263959","PMCID":"PMC5600148","source":"PubMed","title":"Salmon provides fast and bias-aware quantification of transcript expression","volume":"14","author":[{"family":"Patro","given":"Rob"},{"family":"Duggal","given":"Geet"},{"family":"Love","given":"Michael I."},{"family":"Irizarry","given":"Rafael A."},{"family":"Kingsford","given":"Carl"}],"issued":{"date-parts":[["2017",4]]}}}],"schema":"https://github.com/citation-style-language/schema/raw/master/csl-citation.json"} </w:instrText>
      </w:r>
      <w:r w:rsidR="004E76DD" w:rsidRPr="00330C5D">
        <w:rPr>
          <w:rFonts w:asciiTheme="minorBidi" w:hAnsiTheme="minorBidi"/>
        </w:rPr>
        <w:fldChar w:fldCharType="separate"/>
      </w:r>
      <w:r w:rsidR="0085005F" w:rsidRPr="0085005F">
        <w:rPr>
          <w:rFonts w:ascii="Arial" w:hAnsiTheme="minorHAnsi" w:cs="Arial"/>
          <w:szCs w:val="24"/>
          <w:vertAlign w:val="superscript"/>
          <w:lang w:bidi="he-IL"/>
        </w:rPr>
        <w:t>5</w:t>
      </w:r>
      <w:r w:rsidR="004E76DD" w:rsidRPr="00330C5D">
        <w:rPr>
          <w:rFonts w:asciiTheme="minorBidi" w:hAnsiTheme="minorBidi"/>
        </w:rPr>
        <w:fldChar w:fldCharType="end"/>
      </w:r>
      <w:r w:rsidR="004E76DD" w:rsidRPr="00330C5D">
        <w:rPr>
          <w:rFonts w:asciiTheme="minorBidi" w:hAnsiTheme="minorBidi"/>
        </w:rPr>
        <w:t xml:space="preserve">, enabling </w:t>
      </w:r>
      <w:proofErr w:type="spellStart"/>
      <w:r w:rsidR="004E76DD" w:rsidRPr="00330C5D">
        <w:rPr>
          <w:rFonts w:asciiTheme="minorBidi" w:hAnsiTheme="minorBidi"/>
        </w:rPr>
        <w:t>validateMappings</w:t>
      </w:r>
      <w:proofErr w:type="spellEnd"/>
      <w:r w:rsidR="004E76DD" w:rsidRPr="00330C5D">
        <w:rPr>
          <w:rFonts w:asciiTheme="minorBidi" w:hAnsiTheme="minorBidi"/>
        </w:rPr>
        <w:t xml:space="preserve"> and </w:t>
      </w:r>
      <w:proofErr w:type="spellStart"/>
      <w:r w:rsidR="004E76DD" w:rsidRPr="00330C5D">
        <w:rPr>
          <w:rFonts w:asciiTheme="minorBidi" w:hAnsiTheme="minorBidi"/>
        </w:rPr>
        <w:t>gcBias</w:t>
      </w:r>
      <w:proofErr w:type="spellEnd"/>
      <w:r w:rsidR="004E76DD" w:rsidRPr="00330C5D">
        <w:rPr>
          <w:rFonts w:asciiTheme="minorBidi" w:hAnsiTheme="minorBidi"/>
        </w:rPr>
        <w:t xml:space="preserve"> keys. Reads were mapped transcriptome - </w:t>
      </w:r>
      <w:proofErr w:type="spellStart"/>
      <w:r w:rsidR="004E76DD" w:rsidRPr="00330C5D">
        <w:rPr>
          <w:rFonts w:asciiTheme="minorBidi" w:hAnsiTheme="minorBidi"/>
        </w:rPr>
        <w:t>Gencode</w:t>
      </w:r>
      <w:proofErr w:type="spellEnd"/>
      <w:r w:rsidR="004E76DD" w:rsidRPr="00330C5D">
        <w:rPr>
          <w:rFonts w:asciiTheme="minorBidi" w:hAnsiTheme="minorBidi"/>
        </w:rPr>
        <w:t xml:space="preserve"> Human Release 49 (GRCh38.p14) - resulting in transcript-level counts. </w:t>
      </w:r>
      <w:r w:rsidR="00201B68">
        <w:rPr>
          <w:rFonts w:asciiTheme="minorBidi" w:hAnsiTheme="minorBidi"/>
        </w:rPr>
        <w:t xml:space="preserve">For Figure 4B, DESeq2 log2 fold-change estimates for individual ncPRC1 subunits are shown with 95% confidence intervals (estimate +/- 1.96 x </w:t>
      </w:r>
      <w:proofErr w:type="spellStart"/>
      <w:r w:rsidR="00201B68">
        <w:rPr>
          <w:rFonts w:asciiTheme="minorBidi" w:hAnsiTheme="minorBidi"/>
        </w:rPr>
        <w:t>lfcSE</w:t>
      </w:r>
      <w:proofErr w:type="spellEnd"/>
      <w:r w:rsidR="00201B68">
        <w:rPr>
          <w:rFonts w:asciiTheme="minorBidi" w:hAnsiTheme="minorBidi"/>
        </w:rPr>
        <w:t xml:space="preserve">) and genome-wide Benjamini-Hochberg adjusted P values; no fold-change threshold was applied. </w:t>
      </w:r>
      <w:r w:rsidR="004E76DD" w:rsidRPr="00330C5D">
        <w:rPr>
          <w:rFonts w:asciiTheme="minorBidi" w:hAnsiTheme="minorBidi"/>
        </w:rPr>
        <w:t xml:space="preserve">Transcripts were then aggregated to </w:t>
      </w:r>
      <w:proofErr w:type="spellStart"/>
      <w:r w:rsidR="004E76DD" w:rsidRPr="00330C5D">
        <w:rPr>
          <w:rFonts w:asciiTheme="minorBidi" w:hAnsiTheme="minorBidi"/>
        </w:rPr>
        <w:t>Ensembl</w:t>
      </w:r>
      <w:proofErr w:type="spellEnd"/>
      <w:r w:rsidR="004E76DD" w:rsidRPr="00330C5D">
        <w:rPr>
          <w:rFonts w:asciiTheme="minorBidi" w:hAnsiTheme="minorBidi"/>
        </w:rPr>
        <w:t xml:space="preserve"> genes and mapped to Symbol names. Differential gene expression analysis comparing Knockdown (KD) to Non-Targeting Control (NTC) samples was performed using the DESeq2 V1.50.2 package. Design formula incorporated phenotype as main variable and both batch and sample pairing as two covariates.  </w:t>
      </w:r>
    </w:p>
    <w:p w14:paraId="6788A3B6" w14:textId="77777777" w:rsidR="00E31E3B" w:rsidRPr="00330C5D" w:rsidRDefault="00AF28FD" w:rsidP="00330C5D">
      <w:pPr>
        <w:spacing w:before="240" w:after="80" w:line="360" w:lineRule="auto"/>
        <w:jc w:val="both"/>
        <w:rPr>
          <w:rFonts w:asciiTheme="minorBidi" w:hAnsiTheme="minorBidi"/>
          <w:color w:val="000000" w:themeColor="text1"/>
        </w:rPr>
      </w:pPr>
      <w:r w:rsidRPr="00330C5D">
        <w:rPr>
          <w:rFonts w:asciiTheme="minorBidi" w:hAnsiTheme="minorBidi"/>
          <w:b/>
          <w:color w:val="000000" w:themeColor="text1"/>
        </w:rPr>
        <w:t>Gene-set enrichment analysis and reference signatures</w:t>
      </w:r>
    </w:p>
    <w:p w14:paraId="7FFD7CB7" w14:textId="76D03101" w:rsidR="004E76DD" w:rsidRPr="00330C5D" w:rsidRDefault="004E76DD" w:rsidP="00330C5D">
      <w:pPr>
        <w:spacing w:line="360" w:lineRule="auto"/>
        <w:jc w:val="both"/>
        <w:rPr>
          <w:rFonts w:asciiTheme="minorBidi" w:hAnsiTheme="minorBidi"/>
        </w:rPr>
      </w:pPr>
      <w:r w:rsidRPr="00330C5D">
        <w:rPr>
          <w:rFonts w:asciiTheme="minorBidi" w:hAnsiTheme="minorBidi"/>
        </w:rPr>
        <w:t xml:space="preserve">GSEA was conducted in R using GSEA function from R </w:t>
      </w:r>
      <w:proofErr w:type="spellStart"/>
      <w:r w:rsidRPr="00330C5D">
        <w:rPr>
          <w:rFonts w:asciiTheme="minorBidi" w:hAnsiTheme="minorBidi"/>
        </w:rPr>
        <w:t>clusterProfiler</w:t>
      </w:r>
      <w:proofErr w:type="spellEnd"/>
      <w:r w:rsidRPr="00330C5D">
        <w:rPr>
          <w:rFonts w:asciiTheme="minorBidi" w:hAnsiTheme="minorBidi"/>
        </w:rPr>
        <w:t xml:space="preserve"> package V4.18.4. Expressed genes were ranked based on stat value unless stated otherwise. Significance of enrichment was determined with Normalized Enrichment Score (NES) and False Discovery Rate (FDR). GSEA results were represented as detailed enrichment plots along a ranked set or as summary bar plots when comparing multiple pathways. Detailed enrichment plots feature a green line representing the running enrichment score, and black vertical bars indicating positions of gene set members within the ranked list. ORA was conducted in R using enricher function from R </w:t>
      </w:r>
      <w:proofErr w:type="spellStart"/>
      <w:r w:rsidRPr="00330C5D">
        <w:rPr>
          <w:rFonts w:asciiTheme="minorBidi" w:hAnsiTheme="minorBidi"/>
        </w:rPr>
        <w:t>clusterProfiler</w:t>
      </w:r>
      <w:proofErr w:type="spellEnd"/>
      <w:r w:rsidRPr="00330C5D">
        <w:rPr>
          <w:rFonts w:asciiTheme="minorBidi" w:hAnsiTheme="minorBidi"/>
        </w:rPr>
        <w:t xml:space="preserve"> package V4.18.4</w:t>
      </w:r>
      <w:r w:rsidRPr="00330C5D">
        <w:rPr>
          <w:rFonts w:asciiTheme="minorBidi" w:hAnsiTheme="minorBidi"/>
        </w:rPr>
        <w:fldChar w:fldCharType="begin"/>
      </w:r>
      <w:r w:rsidR="0085005F">
        <w:rPr>
          <w:rFonts w:asciiTheme="minorBidi" w:hAnsiTheme="minorBidi"/>
        </w:rPr>
        <w:instrText xml:space="preserve"> ADDIN ZOTERO_ITEM CSL_CITATION {"citationID":"AaxGiaZL","properties":{"unsorted":false,"formattedCitation":"\\super 6\\nosupersub{}","plainCitation":"6","noteIndex":0},"citationItems":[{"id":4134,"uris":["http://zotero.org/users/local/eCJUxClJ/items/X86DTQKN"],"itemData":{"id":4134,"type":"article-journal","container-title":"Nature Protocols","DOI":"10.1038/s41596-024-01020-z","ISSN":"1754-2189, 1750-2799","issue":"11","journalAbbreviation":"Nat Protoc","language":"en","page":"3292-3320","source":"DOI.org (Crossref)","title":"Using clusterProfiler to characterize multiomics data","volume":"19","author":[{"family":"Xu","given":"Shuangbin"},{"family":"Hu","given":"Erqiang"},{"family":"Cai","given":"Yantong"},{"family":"Xie","given":"Zijing"},{"family":"Luo","given":"Xiao"},{"family":"Zhan","given":"Li"},{"family":"Tang","given":"Wenli"},{"family":"Wang","given":"Qianwen"},{"family":"Liu","given":"Bingdong"},{"family":"Wang","given":"Rui"},{"family":"Xie","given":"Wenqin"},{"family":"Wu","given":"Tianzhi"},{"family":"Xie","given":"Liwei"},{"family":"Yu","given":"Guangchuang"}],"issued":{"date-parts":[["2024",11]]}}}],"schema":"https://github.com/citation-style-language/schema/raw/master/csl-citation.json"} </w:instrText>
      </w:r>
      <w:r w:rsidRPr="00330C5D">
        <w:rPr>
          <w:rFonts w:asciiTheme="minorBidi" w:hAnsiTheme="minorBidi"/>
        </w:rPr>
        <w:fldChar w:fldCharType="separate"/>
      </w:r>
      <w:r w:rsidR="0085005F" w:rsidRPr="0085005F">
        <w:rPr>
          <w:rFonts w:ascii="Arial" w:hAnsiTheme="minorHAnsi" w:cs="Arial"/>
          <w:szCs w:val="24"/>
          <w:vertAlign w:val="superscript"/>
          <w:lang w:bidi="he-IL"/>
        </w:rPr>
        <w:t>6</w:t>
      </w:r>
      <w:r w:rsidRPr="00330C5D">
        <w:rPr>
          <w:rFonts w:asciiTheme="minorBidi" w:hAnsiTheme="minorBidi"/>
        </w:rPr>
        <w:fldChar w:fldCharType="end"/>
      </w:r>
      <w:r w:rsidRPr="00330C5D">
        <w:rPr>
          <w:rFonts w:asciiTheme="minorBidi" w:hAnsiTheme="minorBidi"/>
        </w:rPr>
        <w:t xml:space="preserve">. </w:t>
      </w:r>
    </w:p>
    <w:p w14:paraId="3AA6857F" w14:textId="77777777" w:rsidR="004A2290" w:rsidRPr="00330C5D" w:rsidRDefault="004A2290" w:rsidP="00330C5D">
      <w:pPr>
        <w:spacing w:after="140" w:line="360" w:lineRule="auto"/>
        <w:jc w:val="both"/>
        <w:rPr>
          <w:rFonts w:asciiTheme="minorBidi" w:hAnsiTheme="minorBidi"/>
          <w:color w:val="000000" w:themeColor="text1"/>
        </w:rPr>
      </w:pPr>
      <w:proofErr w:type="spellStart"/>
      <w:r w:rsidRPr="00330C5D">
        <w:rPr>
          <w:rFonts w:asciiTheme="minorBidi" w:hAnsiTheme="minorBidi"/>
          <w:color w:val="000000" w:themeColor="text1"/>
        </w:rPr>
        <w:t>BeatAML</w:t>
      </w:r>
      <w:proofErr w:type="spellEnd"/>
      <w:r w:rsidRPr="00330C5D">
        <w:rPr>
          <w:rFonts w:asciiTheme="minorBidi" w:hAnsiTheme="minorBidi"/>
          <w:color w:val="000000" w:themeColor="text1"/>
        </w:rPr>
        <w:t xml:space="preserve"> gene-expression analysis</w:t>
      </w:r>
    </w:p>
    <w:p w14:paraId="215C2D22" w14:textId="2DC20204" w:rsidR="004A2290" w:rsidRPr="00330C5D" w:rsidRDefault="004A2290" w:rsidP="00330C5D">
      <w:pPr>
        <w:spacing w:line="360" w:lineRule="auto"/>
        <w:jc w:val="both"/>
        <w:rPr>
          <w:rFonts w:asciiTheme="minorBidi" w:hAnsiTheme="minorBidi"/>
          <w:b/>
          <w:bCs/>
        </w:rPr>
      </w:pPr>
      <w:r w:rsidRPr="00330C5D">
        <w:rPr>
          <w:rFonts w:asciiTheme="minorBidi" w:hAnsiTheme="minorBidi"/>
          <w:color w:val="000000" w:themeColor="text1"/>
        </w:rPr>
        <w:t xml:space="preserve">UBE2E3 expression was </w:t>
      </w:r>
      <w:proofErr w:type="spellStart"/>
      <w:r w:rsidRPr="00330C5D">
        <w:rPr>
          <w:rFonts w:asciiTheme="minorBidi" w:hAnsiTheme="minorBidi"/>
          <w:color w:val="000000" w:themeColor="text1"/>
        </w:rPr>
        <w:t>analysed</w:t>
      </w:r>
      <w:proofErr w:type="spellEnd"/>
      <w:r w:rsidRPr="00330C5D">
        <w:rPr>
          <w:rFonts w:asciiTheme="minorBidi" w:hAnsiTheme="minorBidi"/>
          <w:color w:val="000000" w:themeColor="text1"/>
        </w:rPr>
        <w:t xml:space="preserve"> in the publicly available BeatAML2.0 cohort (</w:t>
      </w:r>
      <w:hyperlink r:id="rId6" w:history="1">
        <w:r w:rsidRPr="00330C5D">
          <w:rPr>
            <w:rStyle w:val="Hyperlink"/>
            <w:rFonts w:asciiTheme="minorBidi" w:hAnsiTheme="minorBidi"/>
            <w:bCs/>
            <w:color w:val="auto"/>
          </w:rPr>
          <w:t>https://biodev.github.io/BeatAML2/</w:t>
        </w:r>
      </w:hyperlink>
      <w:r w:rsidRPr="00330C5D">
        <w:rPr>
          <w:rFonts w:asciiTheme="minorBidi" w:hAnsiTheme="minorBidi"/>
        </w:rPr>
        <w:t>)</w:t>
      </w:r>
      <w:r w:rsidRPr="00330C5D">
        <w:rPr>
          <w:rFonts w:asciiTheme="minorBidi" w:hAnsiTheme="minorBidi"/>
          <w:color w:val="000000" w:themeColor="text1"/>
        </w:rPr>
        <w:t xml:space="preserve">. Batch corrected and normalized UBE2E3 expression was compared between AML blasts and normal CD34+ progenitor and mononuclear samples, for the whole cohort and for clinically defined subgroups (patients with relapse and de novo AML), using a </w:t>
      </w:r>
      <w:proofErr w:type="gramStart"/>
      <w:r w:rsidRPr="00330C5D">
        <w:rPr>
          <w:rFonts w:asciiTheme="minorBidi" w:hAnsiTheme="minorBidi"/>
          <w:color w:val="000000" w:themeColor="text1"/>
        </w:rPr>
        <w:t>Student</w:t>
      </w:r>
      <w:proofErr w:type="gramEnd"/>
      <w:r w:rsidRPr="00330C5D">
        <w:rPr>
          <w:rFonts w:asciiTheme="minorBidi" w:hAnsiTheme="minorBidi"/>
          <w:color w:val="000000" w:themeColor="text1"/>
        </w:rPr>
        <w:t xml:space="preserve"> t test (Figure 1A). </w:t>
      </w:r>
      <w:r w:rsidRPr="00330C5D">
        <w:rPr>
          <w:rFonts w:asciiTheme="minorBidi" w:hAnsiTheme="minorBidi"/>
          <w:bCs/>
        </w:rPr>
        <w:t xml:space="preserve">The list of AMLs with mean expression </w:t>
      </w:r>
      <w:r w:rsidRPr="00330C5D">
        <w:rPr>
          <w:rFonts w:asciiTheme="minorBidi" w:hAnsiTheme="minorBidi"/>
          <w:color w:val="000000" w:themeColor="text1"/>
        </w:rPr>
        <w:t>UBE2E3</w:t>
      </w:r>
      <w:r w:rsidRPr="00330C5D">
        <w:rPr>
          <w:rFonts w:asciiTheme="minorBidi" w:hAnsiTheme="minorBidi"/>
          <w:bCs/>
        </w:rPr>
        <w:t xml:space="preserve"> expression above the 90</w:t>
      </w:r>
      <w:r w:rsidRPr="00330C5D">
        <w:rPr>
          <w:rFonts w:asciiTheme="minorBidi" w:hAnsiTheme="minorBidi"/>
          <w:bCs/>
          <w:vertAlign w:val="superscript"/>
        </w:rPr>
        <w:t>th</w:t>
      </w:r>
      <w:r w:rsidRPr="00330C5D">
        <w:rPr>
          <w:rFonts w:asciiTheme="minorBidi" w:hAnsiTheme="minorBidi"/>
          <w:bCs/>
        </w:rPr>
        <w:t xml:space="preserve"> percentile of the normal samples was retrieved. These AML samples were associated with </w:t>
      </w:r>
      <w:r w:rsidRPr="00330C5D">
        <w:rPr>
          <w:rFonts w:asciiTheme="minorBidi" w:hAnsiTheme="minorBidi"/>
          <w:color w:val="000000" w:themeColor="text1"/>
        </w:rPr>
        <w:t xml:space="preserve">ELN2017 risk category, recurrent molecular and cytogenetic alterations (including NPM1, TP53, </w:t>
      </w:r>
      <w:r w:rsidRPr="00330C5D">
        <w:rPr>
          <w:rFonts w:asciiTheme="minorBidi" w:hAnsiTheme="minorBidi"/>
          <w:color w:val="000000" w:themeColor="text1"/>
        </w:rPr>
        <w:lastRenderedPageBreak/>
        <w:t>RUNX1::RUNX1T1, GATA2::MECOM, KMT2A-rearrangement, CBFB::MYH11 and PML::RARA) and FAB morphology</w:t>
      </w:r>
      <w:r w:rsidRPr="00330C5D">
        <w:rPr>
          <w:rFonts w:asciiTheme="minorBidi" w:hAnsiTheme="minorBidi"/>
          <w:bCs/>
        </w:rPr>
        <w:t xml:space="preserve"> and the distribution profile of each category was compared with the profile of total AMLs using a </w:t>
      </w:r>
      <w:proofErr w:type="spellStart"/>
      <w:r w:rsidR="006F6B47">
        <w:rPr>
          <w:rFonts w:asciiTheme="minorBidi" w:hAnsiTheme="minorBidi"/>
          <w:bCs/>
        </w:rPr>
        <w:t>Fisher</w:t>
      </w:r>
      <w:r w:rsidR="00F6779F">
        <w:rPr>
          <w:rFonts w:asciiTheme="minorBidi" w:hAnsiTheme="minorBidi"/>
          <w:bCs/>
        </w:rPr>
        <w:t>’S</w:t>
      </w:r>
      <w:proofErr w:type="spellEnd"/>
      <w:r w:rsidR="006F6B47">
        <w:rPr>
          <w:rFonts w:asciiTheme="minorBidi" w:hAnsiTheme="minorBidi"/>
          <w:bCs/>
        </w:rPr>
        <w:t xml:space="preserve"> exact test</w:t>
      </w:r>
      <w:r w:rsidRPr="00330C5D">
        <w:rPr>
          <w:rFonts w:asciiTheme="minorBidi" w:hAnsiTheme="minorBidi"/>
          <w:bCs/>
        </w:rPr>
        <w:t>. Tests were corrected for multiple hypothesis testing using the Benjamini-Hochberg method. Data was visualized using a pie chart using ggplot2 version 4.0.1</w:t>
      </w:r>
    </w:p>
    <w:p w14:paraId="3C5F855A" w14:textId="001AAD50" w:rsidR="00794169" w:rsidRPr="00794169" w:rsidRDefault="006C2FCF" w:rsidP="00794169">
      <w:pPr>
        <w:spacing w:after="140" w:line="360" w:lineRule="auto"/>
        <w:jc w:val="both"/>
        <w:rPr>
          <w:rFonts w:asciiTheme="minorBidi" w:hAnsiTheme="minorBidi"/>
          <w:color w:val="000000" w:themeColor="text1"/>
        </w:rPr>
      </w:pPr>
      <w:proofErr w:type="spellStart"/>
      <w:r w:rsidRPr="00794169">
        <w:rPr>
          <w:rFonts w:asciiTheme="minorBidi" w:hAnsiTheme="minorBidi"/>
          <w:color w:val="000000" w:themeColor="text1"/>
        </w:rPr>
        <w:t>Metacell</w:t>
      </w:r>
      <w:proofErr w:type="spellEnd"/>
      <w:r w:rsidRPr="00794169">
        <w:rPr>
          <w:rFonts w:asciiTheme="minorBidi" w:hAnsiTheme="minorBidi"/>
          <w:color w:val="000000" w:themeColor="text1"/>
        </w:rPr>
        <w:t xml:space="preserve"> analysis of UBE2E3 expression</w:t>
      </w:r>
    </w:p>
    <w:p w14:paraId="7ED63A91" w14:textId="0A676A23" w:rsidR="006C2FCF" w:rsidRDefault="006C2FCF" w:rsidP="006C2FCF">
      <w:pPr>
        <w:spacing w:line="360" w:lineRule="auto"/>
        <w:jc w:val="both"/>
      </w:pPr>
      <w:r w:rsidRPr="006C2FCF">
        <w:rPr>
          <w:rFonts w:asciiTheme="minorBidi" w:hAnsiTheme="minorBidi"/>
        </w:rPr>
        <w:t xml:space="preserve">Single-cell RNA-seq of an AML cohort (n=14 sample) was </w:t>
      </w:r>
      <w:proofErr w:type="spellStart"/>
      <w:r w:rsidRPr="006C2FCF">
        <w:rPr>
          <w:rFonts w:asciiTheme="minorBidi" w:hAnsiTheme="minorBidi"/>
        </w:rPr>
        <w:t>summarised</w:t>
      </w:r>
      <w:proofErr w:type="spellEnd"/>
      <w:r w:rsidRPr="006C2FCF">
        <w:rPr>
          <w:rFonts w:asciiTheme="minorBidi" w:hAnsiTheme="minorBidi"/>
        </w:rPr>
        <w:t xml:space="preserve"> with the </w:t>
      </w:r>
      <w:proofErr w:type="spellStart"/>
      <w:r w:rsidRPr="006C2FCF">
        <w:rPr>
          <w:rFonts w:asciiTheme="minorBidi" w:hAnsiTheme="minorBidi"/>
        </w:rPr>
        <w:t>Metacells</w:t>
      </w:r>
      <w:proofErr w:type="spellEnd"/>
      <w:r w:rsidRPr="006C2FCF">
        <w:rPr>
          <w:rFonts w:asciiTheme="minorBidi" w:hAnsiTheme="minorBidi"/>
        </w:rPr>
        <w:t xml:space="preserve"> algorithm (v0.9.5), yielding a model of 1,000 </w:t>
      </w:r>
      <w:proofErr w:type="spellStart"/>
      <w:r w:rsidRPr="006C2FCF">
        <w:rPr>
          <w:rFonts w:asciiTheme="minorBidi" w:hAnsiTheme="minorBidi"/>
        </w:rPr>
        <w:t>metacells</w:t>
      </w:r>
      <w:proofErr w:type="spellEnd"/>
      <w:r w:rsidRPr="006C2FCF">
        <w:rPr>
          <w:rFonts w:asciiTheme="minorBidi" w:hAnsiTheme="minorBidi"/>
        </w:rPr>
        <w:t xml:space="preserve"> covering 42,095 cells (median 48 cells per </w:t>
      </w:r>
      <w:proofErr w:type="spellStart"/>
      <w:r w:rsidRPr="006C2FCF">
        <w:rPr>
          <w:rFonts w:asciiTheme="minorBidi" w:hAnsiTheme="minorBidi"/>
        </w:rPr>
        <w:t>metacell</w:t>
      </w:r>
      <w:proofErr w:type="spellEnd"/>
      <w:r w:rsidRPr="006C2FCF">
        <w:rPr>
          <w:rFonts w:asciiTheme="minorBidi" w:hAnsiTheme="minorBidi"/>
        </w:rPr>
        <w:t xml:space="preserve">; 92.0 × 10⁶ total UMIs) over 29,544 genes, of which 3,917 were retained by the algorithm as selected (feature) genes and 112 flagged as lateral. Gene expression per </w:t>
      </w:r>
      <w:proofErr w:type="spellStart"/>
      <w:r w:rsidRPr="006C2FCF">
        <w:rPr>
          <w:rFonts w:asciiTheme="minorBidi" w:hAnsiTheme="minorBidi"/>
        </w:rPr>
        <w:t>metacell</w:t>
      </w:r>
      <w:proofErr w:type="spellEnd"/>
      <w:r w:rsidRPr="006C2FCF">
        <w:rPr>
          <w:rFonts w:asciiTheme="minorBidi" w:hAnsiTheme="minorBidi"/>
        </w:rPr>
        <w:t xml:space="preserve"> was taken as the </w:t>
      </w:r>
      <w:proofErr w:type="spellStart"/>
      <w:r w:rsidRPr="006C2FCF">
        <w:rPr>
          <w:rFonts w:asciiTheme="minorBidi" w:hAnsiTheme="minorBidi"/>
        </w:rPr>
        <w:t>metacell</w:t>
      </w:r>
      <w:proofErr w:type="spellEnd"/>
      <w:r w:rsidRPr="006C2FCF">
        <w:rPr>
          <w:rFonts w:asciiTheme="minorBidi" w:hAnsiTheme="minorBidi"/>
        </w:rPr>
        <w:t xml:space="preserve"> UMI fraction (each </w:t>
      </w:r>
      <w:proofErr w:type="spellStart"/>
      <w:r w:rsidRPr="006C2FCF">
        <w:rPr>
          <w:rFonts w:asciiTheme="minorBidi" w:hAnsiTheme="minorBidi"/>
        </w:rPr>
        <w:t>metacell</w:t>
      </w:r>
      <w:proofErr w:type="spellEnd"/>
      <w:r w:rsidRPr="006C2FCF">
        <w:rPr>
          <w:rFonts w:asciiTheme="minorBidi" w:hAnsiTheme="minorBidi"/>
        </w:rPr>
        <w:t xml:space="preserve"> profile sums to 1) and transformed to log</w:t>
      </w:r>
      <w:proofErr w:type="gramStart"/>
      <w:r w:rsidRPr="006C2FCF">
        <w:rPr>
          <w:rFonts w:ascii="Cambria Math" w:hAnsi="Cambria Math" w:cs="Cambria Math"/>
        </w:rPr>
        <w:t>₂</w:t>
      </w:r>
      <w:r w:rsidRPr="006C2FCF">
        <w:rPr>
          <w:rFonts w:asciiTheme="minorBidi" w:hAnsiTheme="minorBidi"/>
        </w:rPr>
        <w:t>(</w:t>
      </w:r>
      <w:proofErr w:type="gramEnd"/>
      <w:r w:rsidRPr="006C2FCF">
        <w:rPr>
          <w:rFonts w:asciiTheme="minorBidi" w:hAnsiTheme="minorBidi"/>
        </w:rPr>
        <w:t>fraction + 10</w:t>
      </w:r>
      <w:r w:rsidRPr="006C2FCF">
        <w:rPr>
          <w:rFonts w:ascii="Cambria Math" w:hAnsi="Cambria Math" w:cs="Cambria Math"/>
        </w:rPr>
        <w:t>⁻</w:t>
      </w:r>
      <w:r w:rsidRPr="006C2FCF">
        <w:rPr>
          <w:rFonts w:asciiTheme="minorBidi" w:hAnsiTheme="minorBidi"/>
        </w:rPr>
        <w:t xml:space="preserve">⁵), the standard </w:t>
      </w:r>
      <w:proofErr w:type="spellStart"/>
      <w:r w:rsidRPr="006C2FCF">
        <w:rPr>
          <w:rFonts w:asciiTheme="minorBidi" w:hAnsiTheme="minorBidi"/>
        </w:rPr>
        <w:t>metacells</w:t>
      </w:r>
      <w:proofErr w:type="spellEnd"/>
      <w:r w:rsidRPr="006C2FCF">
        <w:rPr>
          <w:rFonts w:asciiTheme="minorBidi" w:hAnsiTheme="minorBidi"/>
        </w:rPr>
        <w:t xml:space="preserve"> </w:t>
      </w:r>
      <w:proofErr w:type="spellStart"/>
      <w:r w:rsidRPr="006C2FCF">
        <w:rPr>
          <w:rFonts w:asciiTheme="minorBidi" w:hAnsiTheme="minorBidi"/>
        </w:rPr>
        <w:t>regularised</w:t>
      </w:r>
      <w:proofErr w:type="spellEnd"/>
      <w:r w:rsidRPr="006C2FCF">
        <w:rPr>
          <w:rFonts w:asciiTheme="minorBidi" w:hAnsiTheme="minorBidi"/>
        </w:rPr>
        <w:t xml:space="preserve"> expression scale; all analyses below use this scale. Gene–gene co-variation was assessed by Pearson correlation of log</w:t>
      </w:r>
      <w:r w:rsidRPr="006C2FCF">
        <w:rPr>
          <w:rFonts w:ascii="Cambria Math" w:hAnsi="Cambria Math" w:cs="Cambria Math"/>
        </w:rPr>
        <w:t>₂</w:t>
      </w:r>
      <w:r w:rsidRPr="006C2FCF">
        <w:rPr>
          <w:rFonts w:asciiTheme="minorBidi" w:hAnsiTheme="minorBidi"/>
        </w:rPr>
        <w:t xml:space="preserve"> expression across the 1,000 </w:t>
      </w:r>
      <w:proofErr w:type="spellStart"/>
      <w:r w:rsidRPr="006C2FCF">
        <w:rPr>
          <w:rFonts w:asciiTheme="minorBidi" w:hAnsiTheme="minorBidi"/>
        </w:rPr>
        <w:t>metacells</w:t>
      </w:r>
      <w:proofErr w:type="spellEnd"/>
      <w:r w:rsidRPr="006C2FCF">
        <w:rPr>
          <w:rFonts w:asciiTheme="minorBidi" w:hAnsiTheme="minorBidi"/>
        </w:rPr>
        <w:t>, restricted to the 3,917 selected feature genes with a maximum per-</w:t>
      </w:r>
      <w:proofErr w:type="spellStart"/>
      <w:r w:rsidRPr="006C2FCF">
        <w:rPr>
          <w:rFonts w:asciiTheme="minorBidi" w:hAnsiTheme="minorBidi"/>
        </w:rPr>
        <w:t>metacell</w:t>
      </w:r>
      <w:proofErr w:type="spellEnd"/>
      <w:r w:rsidRPr="006C2FCF">
        <w:rPr>
          <w:rFonts w:asciiTheme="minorBidi" w:hAnsiTheme="minorBidi"/>
        </w:rPr>
        <w:t xml:space="preserve"> fraction above 10</w:t>
      </w:r>
      <w:r w:rsidRPr="006C2FCF">
        <w:rPr>
          <w:rFonts w:ascii="Cambria Math" w:hAnsi="Cambria Math" w:cs="Cambria Math"/>
        </w:rPr>
        <w:t>⁻</w:t>
      </w:r>
      <w:r w:rsidRPr="006C2FCF">
        <w:rPr>
          <w:rFonts w:asciiTheme="minorBidi" w:hAnsiTheme="minorBidi"/>
        </w:rPr>
        <w:t xml:space="preserve">⁵ and excluding UBE2E3 itself, so that correlations are driven by robustly expressed genes rather than by sampling noise. A </w:t>
      </w:r>
      <w:proofErr w:type="spellStart"/>
      <w:r w:rsidRPr="006C2FCF">
        <w:rPr>
          <w:rFonts w:asciiTheme="minorBidi" w:hAnsiTheme="minorBidi"/>
        </w:rPr>
        <w:t>Trithorax</w:t>
      </w:r>
      <w:proofErr w:type="spellEnd"/>
      <w:r w:rsidRPr="006C2FCF">
        <w:rPr>
          <w:rFonts w:asciiTheme="minorBidi" w:hAnsiTheme="minorBidi"/>
        </w:rPr>
        <w:t>-group (</w:t>
      </w:r>
      <w:proofErr w:type="spellStart"/>
      <w:r w:rsidRPr="006C2FCF">
        <w:rPr>
          <w:rFonts w:asciiTheme="minorBidi" w:hAnsiTheme="minorBidi"/>
        </w:rPr>
        <w:t>TrxG</w:t>
      </w:r>
      <w:proofErr w:type="spellEnd"/>
      <w:r w:rsidRPr="006C2FCF">
        <w:rPr>
          <w:rFonts w:asciiTheme="minorBidi" w:hAnsiTheme="minorBidi"/>
        </w:rPr>
        <w:t xml:space="preserve">) signature was defined a priori from 22 genes covering the H3K4-methyltransferase COMPASS machinery and associated H3K27 demethylases (KMT2A–E, SETD1A/B, ASH1L; the WRAD core subunits ASH2L, WDR5, RBBP5 and DPY30; the MLL-associated/targeting factors MEN1, PSIP1, CXXC1 and HCFC1; the MLL3/4 COMPASS-like subunits NCOA6, PAXIP1 and PAGR1; and KDM6A, KDM6B and KDM4C); all 22 genes were present in the model. Each member gene was z-scored across </w:t>
      </w:r>
      <w:proofErr w:type="spellStart"/>
      <w:r w:rsidRPr="006C2FCF">
        <w:rPr>
          <w:rFonts w:asciiTheme="minorBidi" w:hAnsiTheme="minorBidi"/>
        </w:rPr>
        <w:t>metacells</w:t>
      </w:r>
      <w:proofErr w:type="spellEnd"/>
      <w:r w:rsidRPr="006C2FCF">
        <w:rPr>
          <w:rFonts w:asciiTheme="minorBidi" w:hAnsiTheme="minorBidi"/>
        </w:rPr>
        <w:t xml:space="preserve"> and the signature score of a </w:t>
      </w:r>
      <w:proofErr w:type="spellStart"/>
      <w:r w:rsidRPr="006C2FCF">
        <w:rPr>
          <w:rFonts w:asciiTheme="minorBidi" w:hAnsiTheme="minorBidi"/>
        </w:rPr>
        <w:t>metacell</w:t>
      </w:r>
      <w:proofErr w:type="spellEnd"/>
      <w:r w:rsidRPr="006C2FCF">
        <w:rPr>
          <w:rFonts w:asciiTheme="minorBidi" w:hAnsiTheme="minorBidi"/>
        </w:rPr>
        <w:t xml:space="preserve"> was taken as the unweighted mean of these z-scores, so that lowly and highly expressed members contribute equally. </w:t>
      </w:r>
      <w:proofErr w:type="spellStart"/>
      <w:r w:rsidRPr="006C2FCF">
        <w:rPr>
          <w:rFonts w:asciiTheme="minorBidi" w:hAnsiTheme="minorBidi"/>
        </w:rPr>
        <w:t>Metacells</w:t>
      </w:r>
      <w:proofErr w:type="spellEnd"/>
      <w:r w:rsidRPr="006C2FCF">
        <w:rPr>
          <w:rFonts w:asciiTheme="minorBidi" w:hAnsiTheme="minorBidi"/>
        </w:rPr>
        <w:t xml:space="preserve"> were stratified into UBE2E3-high (top quartile, n = 250; log</w:t>
      </w:r>
      <w:r w:rsidRPr="006C2FCF">
        <w:rPr>
          <w:rFonts w:ascii="Cambria Math" w:hAnsi="Cambria Math" w:cs="Cambria Math"/>
        </w:rPr>
        <w:t>₂</w:t>
      </w:r>
      <w:r w:rsidRPr="006C2FCF">
        <w:rPr>
          <w:rFonts w:asciiTheme="minorBidi" w:hAnsiTheme="minorBidi"/>
        </w:rPr>
        <w:t xml:space="preserve"> expression ≥ −13.45) and UBE2E3-low (bottom quartile, n = 250; log</w:t>
      </w:r>
      <w:r w:rsidRPr="006C2FCF">
        <w:rPr>
          <w:rFonts w:ascii="Cambria Math" w:hAnsi="Cambria Math" w:cs="Cambria Math"/>
        </w:rPr>
        <w:t>₂</w:t>
      </w:r>
      <w:r w:rsidRPr="006C2FCF">
        <w:rPr>
          <w:rFonts w:asciiTheme="minorBidi" w:hAnsiTheme="minorBidi"/>
        </w:rPr>
        <w:t xml:space="preserve"> expression ≤ −14.52) groups, and signature scores and individual gene levels were compared between groups with a two-sided Mann</w:t>
      </w:r>
      <w:r>
        <w:rPr>
          <w:rFonts w:asciiTheme="minorBidi" w:hAnsiTheme="minorBidi"/>
        </w:rPr>
        <w:t>-</w:t>
      </w:r>
      <w:r w:rsidRPr="006C2FCF">
        <w:rPr>
          <w:rFonts w:asciiTheme="minorBidi" w:hAnsiTheme="minorBidi"/>
        </w:rPr>
        <w:t xml:space="preserve">Whitney U test. Correlation P values are from the two-sided t-test on Pearson's r with n − 2 = 998 degrees of freedom; no multiple-testing correction was applied to the two pre-specified genes (KMT2C, KDM4C) or to the signature, which were tested as hypotheses rather than discovered by screening. Analyses used Python 3.12 with </w:t>
      </w:r>
      <w:proofErr w:type="spellStart"/>
      <w:r w:rsidRPr="006C2FCF">
        <w:rPr>
          <w:rFonts w:asciiTheme="minorBidi" w:hAnsiTheme="minorBidi"/>
        </w:rPr>
        <w:t>metacells</w:t>
      </w:r>
      <w:proofErr w:type="spellEnd"/>
      <w:r w:rsidRPr="006C2FCF">
        <w:rPr>
          <w:rFonts w:asciiTheme="minorBidi" w:hAnsiTheme="minorBidi"/>
        </w:rPr>
        <w:t xml:space="preserve"> 0.9.5, </w:t>
      </w:r>
      <w:proofErr w:type="spellStart"/>
      <w:r w:rsidRPr="006C2FCF">
        <w:rPr>
          <w:rFonts w:asciiTheme="minorBidi" w:hAnsiTheme="minorBidi"/>
        </w:rPr>
        <w:t>anndata</w:t>
      </w:r>
      <w:proofErr w:type="spellEnd"/>
      <w:r w:rsidRPr="006C2FCF">
        <w:rPr>
          <w:rFonts w:asciiTheme="minorBidi" w:hAnsiTheme="minorBidi"/>
        </w:rPr>
        <w:t xml:space="preserve">, </w:t>
      </w:r>
      <w:proofErr w:type="spellStart"/>
      <w:r w:rsidRPr="006C2FCF">
        <w:rPr>
          <w:rFonts w:asciiTheme="minorBidi" w:hAnsiTheme="minorBidi"/>
        </w:rPr>
        <w:t>scanpy</w:t>
      </w:r>
      <w:proofErr w:type="spellEnd"/>
      <w:r w:rsidRPr="006C2FCF">
        <w:rPr>
          <w:rFonts w:asciiTheme="minorBidi" w:hAnsiTheme="minorBidi"/>
        </w:rPr>
        <w:t>, NumPy, SciPy and Matplotlib.</w:t>
      </w:r>
    </w:p>
    <w:p w14:paraId="3F9B1AAB" w14:textId="77777777" w:rsidR="006C7D2A" w:rsidRPr="00330C5D" w:rsidRDefault="006C7D2A" w:rsidP="00330C5D">
      <w:pPr>
        <w:spacing w:line="360" w:lineRule="auto"/>
        <w:jc w:val="both"/>
        <w:rPr>
          <w:rFonts w:asciiTheme="minorBidi" w:hAnsiTheme="minorBidi"/>
          <w:b/>
          <w:bCs/>
        </w:rPr>
      </w:pPr>
    </w:p>
    <w:p w14:paraId="3C5AE405" w14:textId="77777777" w:rsidR="004E76DD" w:rsidRPr="00330C5D" w:rsidRDefault="004E76DD" w:rsidP="00330C5D">
      <w:pPr>
        <w:spacing w:line="360" w:lineRule="auto"/>
        <w:jc w:val="both"/>
        <w:rPr>
          <w:rFonts w:asciiTheme="minorBidi" w:hAnsiTheme="minorBidi"/>
          <w:b/>
          <w:bCs/>
        </w:rPr>
      </w:pPr>
      <w:r w:rsidRPr="00330C5D">
        <w:rPr>
          <w:rFonts w:asciiTheme="minorBidi" w:hAnsiTheme="minorBidi"/>
          <w:b/>
          <w:bCs/>
        </w:rPr>
        <w:t>BCOR gene sets</w:t>
      </w:r>
      <w:r w:rsidR="004C6F9C" w:rsidRPr="00330C5D">
        <w:rPr>
          <w:rFonts w:asciiTheme="minorBidi" w:hAnsiTheme="minorBidi"/>
          <w:b/>
          <w:bCs/>
        </w:rPr>
        <w:t xml:space="preserve"> (Figure 3</w:t>
      </w:r>
      <w:r w:rsidR="005D25E7" w:rsidRPr="00330C5D">
        <w:rPr>
          <w:rFonts w:asciiTheme="minorBidi" w:hAnsiTheme="minorBidi"/>
          <w:b/>
          <w:bCs/>
        </w:rPr>
        <w:t>A</w:t>
      </w:r>
      <w:r w:rsidR="004C6F9C" w:rsidRPr="00330C5D">
        <w:rPr>
          <w:rFonts w:asciiTheme="minorBidi" w:hAnsiTheme="minorBidi"/>
          <w:b/>
          <w:bCs/>
        </w:rPr>
        <w:t>)</w:t>
      </w:r>
    </w:p>
    <w:p w14:paraId="05EA5BC0" w14:textId="1AB25B43" w:rsidR="004E76DD" w:rsidRPr="00330C5D" w:rsidRDefault="004E76DD" w:rsidP="00330C5D">
      <w:pPr>
        <w:spacing w:line="360" w:lineRule="auto"/>
        <w:jc w:val="both"/>
        <w:rPr>
          <w:rFonts w:asciiTheme="minorBidi" w:hAnsiTheme="minorBidi"/>
        </w:rPr>
      </w:pPr>
      <w:r w:rsidRPr="00330C5D">
        <w:rPr>
          <w:rFonts w:asciiTheme="minorBidi" w:hAnsiTheme="minorBidi"/>
        </w:rPr>
        <w:t>Raw counts were downloaded from GSE104690</w:t>
      </w:r>
      <w:r w:rsidR="00FE4FC0" w:rsidRPr="00330C5D">
        <w:rPr>
          <w:rFonts w:asciiTheme="minorBidi" w:hAnsiTheme="minorBidi"/>
        </w:rPr>
        <w:fldChar w:fldCharType="begin"/>
      </w:r>
      <w:r w:rsidR="0085005F">
        <w:rPr>
          <w:rFonts w:asciiTheme="minorBidi" w:hAnsiTheme="minorBidi"/>
        </w:rPr>
        <w:instrText xml:space="preserve"> ADDIN ZOTERO_ITEM CSL_CITATION {"citationID":"FvZ9qk4k","properties":{"unsorted":false,"formattedCitation":"\\super 7\\nosupersub{}","plainCitation":"7","noteIndex":0},"citationItems":[{"id":3756,"uris":["http://zotero.org/users/local/eCJUxClJ/items/DDXBP4EY"],"itemData":{"id":3756,"type":"article-journal","abstract":"Polycomb group proteins regulate self-renewal and differentiation in many stem cell systems. When assembled into two canonical complexes, PRC1 and PRC2, they sequentially deposit H3K27me3 and H2AK119ub histone marks and establish repressive chromatin, referred to as Polycomb domains. Non-canonical PRC1 complexes retain RING1/RNF2 E3-ubiquitin ligases but have unique sets of accessory subunits. How these non-canonical complexes recognize and regulate their gene targets remains poorly understood. Here, we show that the BCL6 co-repressor (BCOR), a member of the PRC1.1 complex, is critical for maintaining primed pluripotency in human embryonic stem cells (ESCs). BCOR depletion leads to the erosion of Polycomb domains at key developmental loci and the initiation of differentiation along endoderm and mesoderm lineages. The C terminus of BCOR regulates the assembly and targeting of the PRC1.1 complex, while the N terminus contributes to BCOR-PRC1.1 repressor function. Our findings advance understanding of Polycomb targeting and repression in ESCs and could apply broadly across developmental systems.","container-title":"Cell Stem Cell","DOI":"10.1016/j.stem.2017.12.002","ISSN":"1875-9777","issue":"2","journalAbbreviation":"Cell Stem Cell","language":"eng","page":"235-251.e9","PMID":"29337181","PMCID":"PMC5797497","source":"PubMed","title":"A Non-canonical BCOR-PRC1.1 Complex Represses Differentiation Programs in Human ESCs","volume":"22","author":[{"family":"Wang","given":"Zheng"},{"family":"Gearhart","given":"Micah D."},{"family":"Lee","given":"Yu-Wei"},{"family":"Kumar","given":"Ishan"},{"family":"Ramazanov","given":"Bulat"},{"family":"Zhang","given":"Yan"},{"family":"Hernandez","given":"Charles"},{"family":"Lu","given":"Alice Y."},{"family":"Neuenkirchen","given":"Nils"},{"family":"Deng","given":"Jingjing"},{"family":"Jin","given":"Jiaqi"},{"family":"Kluger","given":"Yuval"},{"family":"Neubert","given":"Thomas A."},{"family":"Bardwell","given":"Vivian J."},{"family":"Ivanova","given":"Natalia B."}],"issued":{"date-parts":[["2018",2,1]]}}}],"schema":"https://github.com/citation-style-language/schema/raw/master/csl-citation.json"} </w:instrText>
      </w:r>
      <w:r w:rsidR="00FE4FC0" w:rsidRPr="00330C5D">
        <w:rPr>
          <w:rFonts w:asciiTheme="minorBidi" w:hAnsiTheme="minorBidi"/>
        </w:rPr>
        <w:fldChar w:fldCharType="separate"/>
      </w:r>
      <w:r w:rsidR="0085005F" w:rsidRPr="0085005F">
        <w:rPr>
          <w:rFonts w:ascii="Arial" w:hAnsiTheme="minorHAnsi" w:cs="Arial"/>
          <w:szCs w:val="24"/>
          <w:vertAlign w:val="superscript"/>
          <w:lang w:bidi="he-IL"/>
        </w:rPr>
        <w:t>7</w:t>
      </w:r>
      <w:r w:rsidR="00FE4FC0" w:rsidRPr="00330C5D">
        <w:rPr>
          <w:rFonts w:asciiTheme="minorBidi" w:hAnsiTheme="minorBidi"/>
        </w:rPr>
        <w:fldChar w:fldCharType="end"/>
      </w:r>
      <w:r w:rsidRPr="00330C5D">
        <w:rPr>
          <w:rFonts w:asciiTheme="minorBidi" w:hAnsiTheme="minorBidi"/>
        </w:rPr>
        <w:t xml:space="preserve"> and filtered for two BCOR shRNA treated samples and two control samples. Count matrix was processed with R package DESEq2 V1.50.2</w:t>
      </w:r>
      <w:r w:rsidR="00FE4FC0" w:rsidRPr="00330C5D">
        <w:rPr>
          <w:rFonts w:asciiTheme="minorBidi" w:hAnsiTheme="minorBidi"/>
        </w:rPr>
        <w:fldChar w:fldCharType="begin"/>
      </w:r>
      <w:r w:rsidR="0085005F">
        <w:rPr>
          <w:rFonts w:asciiTheme="minorBidi" w:hAnsiTheme="minorBidi"/>
        </w:rPr>
        <w:instrText xml:space="preserve"> ADDIN ZOTERO_ITEM CSL_CITATION {"citationID":"AiG4FQSr","properties":{"unsorted":false,"formattedCitation":"\\super 8\\nosupersub{}","plainCitation":"8","noteIndex":0},"citationItems":[{"id":3949,"uris":["http://zotero.org/users/local/eCJUxClJ/items/NQWMF2HI"],"itemData":{"id":3949,"type":"article-journal","abstract":"Abstract\n            \n              In comparative high-throughput sequencing assays, a fundamental task is the analysis of count data, such as read counts per gene in RNA-seq, for evidence of systematic changes across experimental conditions. Small replicate numbers, discreteness, large dynamic range and the presence of outliers require a suitable statistical approach. We present\n              DESeq2\n              , a method for differential analysis of count data, using shrinkage estimation for dispersions and fold changes to improve stability and interpretability of estimates. This enables a more quantitative analysis focused on the strength rather than the mere presence of differential expression. The\n              DESeq2\n              package is available at\n              http://www.bioconductor.org/packages/release/bioc/html/DESeq2.html\n              .","container-title":"Genome Biology","DOI":"10.1186/s13059-014-0550-8","ISSN":"1474-760X","issue":"12","journalAbbreviation":"Genome Biol","language":"en","page":"550","source":"DOI.org (Crossref)","title":"Moderated estimation of fold change and dispersion for RNA-seq data with DESeq2","volume":"15","author":[{"family":"Love","given":"Michael I"},{"family":"Huber","given":"Wolfgang"},{"family":"Anders","given":"Simon"}],"issued":{"date-parts":[["2014",12,5]]}}}],"schema":"https://github.com/citation-style-language/schema/raw/master/csl-citation.json"} </w:instrText>
      </w:r>
      <w:r w:rsidR="00FE4FC0" w:rsidRPr="00330C5D">
        <w:rPr>
          <w:rFonts w:asciiTheme="minorBidi" w:hAnsiTheme="minorBidi"/>
        </w:rPr>
        <w:fldChar w:fldCharType="separate"/>
      </w:r>
      <w:r w:rsidR="0085005F" w:rsidRPr="0085005F">
        <w:rPr>
          <w:rFonts w:ascii="Arial" w:hAnsiTheme="minorHAnsi" w:cs="Arial"/>
          <w:szCs w:val="24"/>
          <w:vertAlign w:val="superscript"/>
          <w:lang w:bidi="he-IL"/>
        </w:rPr>
        <w:t>8</w:t>
      </w:r>
      <w:r w:rsidR="00FE4FC0" w:rsidRPr="00330C5D">
        <w:rPr>
          <w:rFonts w:asciiTheme="minorBidi" w:hAnsiTheme="minorBidi"/>
        </w:rPr>
        <w:fldChar w:fldCharType="end"/>
      </w:r>
      <w:r w:rsidRPr="00330C5D">
        <w:rPr>
          <w:rFonts w:asciiTheme="minorBidi" w:hAnsiTheme="minorBidi"/>
        </w:rPr>
        <w:t xml:space="preserve">. For the term BCOR-UP, genes were defined by Log2 Fold Change &gt; 2 and adjusted p-value &lt; 1E-3. For the term BCOR-DOWN, genes were defined by Log2 Fold Change &lt; (-2) and adjusted p-value &lt; 1E -2. </w:t>
      </w:r>
    </w:p>
    <w:p w14:paraId="0ACE969E" w14:textId="77777777" w:rsidR="005D25E7" w:rsidRPr="00330C5D" w:rsidRDefault="005D25E7" w:rsidP="00330C5D">
      <w:pPr>
        <w:spacing w:line="360" w:lineRule="auto"/>
        <w:jc w:val="both"/>
        <w:rPr>
          <w:rFonts w:asciiTheme="minorBidi" w:hAnsiTheme="minorBidi"/>
          <w:b/>
          <w:bCs/>
        </w:rPr>
      </w:pPr>
      <w:r w:rsidRPr="00330C5D">
        <w:rPr>
          <w:rFonts w:asciiTheme="minorBidi" w:hAnsiTheme="minorBidi"/>
          <w:b/>
          <w:bCs/>
        </w:rPr>
        <w:t>AML specific and AML overlapping gene sets (Figure 3B)</w:t>
      </w:r>
    </w:p>
    <w:p w14:paraId="3274D1EA" w14:textId="50D6DA29" w:rsidR="005D25E7" w:rsidRPr="00330C5D" w:rsidRDefault="005D25E7" w:rsidP="00330C5D">
      <w:pPr>
        <w:spacing w:line="360" w:lineRule="auto"/>
        <w:jc w:val="both"/>
        <w:rPr>
          <w:rFonts w:asciiTheme="minorBidi" w:hAnsiTheme="minorBidi"/>
        </w:rPr>
      </w:pPr>
      <w:r w:rsidRPr="00330C5D">
        <w:rPr>
          <w:rFonts w:asciiTheme="minorBidi" w:hAnsiTheme="minorBidi"/>
        </w:rPr>
        <w:t>Gene lists are first extracted from Table 6 of  van den Boom</w:t>
      </w:r>
      <w:r w:rsidR="004954B8">
        <w:rPr>
          <w:rFonts w:asciiTheme="minorBidi" w:hAnsiTheme="minorBidi"/>
        </w:rPr>
        <w:fldChar w:fldCharType="begin"/>
      </w:r>
      <w:r w:rsidR="0085005F">
        <w:rPr>
          <w:rFonts w:asciiTheme="minorBidi" w:hAnsiTheme="minorBidi"/>
        </w:rPr>
        <w:instrText xml:space="preserve"> ADDIN ZOTERO_ITEM CSL_CITATION {"citationID":"NVmYcPW9","properties":{"unsorted":false,"formattedCitation":"\\super 9\\nosupersub{}","plainCitation":"9","noteIndex":0},"citationItems":[{"id":544,"uris":["http://zotero.org/users/local/eCJUxClJ/items/7CAJM3IU"],"itemData":{"id":544,"type":"article-journal","container-title":"Cell Reports","DOI":"10.1016/j.celrep.2015.12.034","ISSN":"22111247","issue":"2","journalAbbreviation":"Cell Reports","language":"en","page":"332-346","source":"DOI.org (Crossref)","title":"Non-canonical PRC1.1 Targets Active Genes Independent of H3K27me3 and Is Essential for Leukemogenesis","volume":"14","author":[{"family":"Boom","given":"Vincent","non-dropping-particle":"van den"},{"family":"Maat","given":"Henny"},{"family":"Geugien","given":"Marjan"},{"family":"Rodríguez López","given":"Aida"},{"family":"Sotoca","given":"Ana M."},{"family":"Jaques","given":"Jennifer"},{"family":"Brouwers-Vos","given":"Annet Z."},{"family":"Fusetti","given":"Fabrizia"},{"family":"Groen","given":"Richard W.J."},{"family":"Yuan","given":"Huipin"},{"family":"Martens","given":"Anton C.M."},{"family":"Stunnenberg","given":"Hendrik G."},{"family":"Vellenga","given":"Edo"},{"family":"Martens","given":"Joost H.A."},{"family":"Schuringa","given":"Jan Jacob"}],"issued":{"date-parts":[["2016",1]]}}}],"schema":"https://github.com/citation-style-language/schema/raw/master/csl-citation.json"} </w:instrText>
      </w:r>
      <w:r w:rsidR="004954B8">
        <w:rPr>
          <w:rFonts w:asciiTheme="minorBidi" w:hAnsiTheme="minorBidi"/>
        </w:rPr>
        <w:fldChar w:fldCharType="separate"/>
      </w:r>
      <w:r w:rsidR="0085005F" w:rsidRPr="0085005F">
        <w:rPr>
          <w:rFonts w:ascii="Arial" w:hAnsiTheme="minorHAnsi" w:cs="Arial"/>
          <w:szCs w:val="24"/>
          <w:vertAlign w:val="superscript"/>
          <w:lang w:bidi="he-IL"/>
        </w:rPr>
        <w:t>9</w:t>
      </w:r>
      <w:r w:rsidR="004954B8">
        <w:rPr>
          <w:rFonts w:asciiTheme="minorBidi" w:hAnsiTheme="minorBidi"/>
        </w:rPr>
        <w:fldChar w:fldCharType="end"/>
      </w:r>
      <w:r w:rsidR="004954B8">
        <w:rPr>
          <w:rFonts w:asciiTheme="minorBidi" w:hAnsiTheme="minorBidi"/>
        </w:rPr>
        <w:t xml:space="preserve"> </w:t>
      </w:r>
      <w:r w:rsidRPr="00330C5D">
        <w:rPr>
          <w:rFonts w:asciiTheme="minorBidi" w:hAnsiTheme="minorBidi"/>
        </w:rPr>
        <w:t xml:space="preserve">and overlapped with the differentially expressed genes for UBE2E3 KD vs NTC. The final list was filtered by adjusted p-value &lt;0.05 and separated between an upregulated list and a downregulated list. </w:t>
      </w:r>
    </w:p>
    <w:p w14:paraId="46A5BF6C" w14:textId="77777777" w:rsidR="004E76DD" w:rsidRPr="00330C5D" w:rsidRDefault="004E76DD" w:rsidP="00330C5D">
      <w:pPr>
        <w:spacing w:line="360" w:lineRule="auto"/>
        <w:jc w:val="both"/>
        <w:rPr>
          <w:rFonts w:asciiTheme="minorBidi" w:hAnsiTheme="minorBidi"/>
          <w:b/>
          <w:bCs/>
        </w:rPr>
      </w:pPr>
      <w:r w:rsidRPr="00330C5D">
        <w:rPr>
          <w:rFonts w:asciiTheme="minorBidi" w:hAnsiTheme="minorBidi"/>
          <w:b/>
          <w:bCs/>
        </w:rPr>
        <w:t>MGA deletion gene sets</w:t>
      </w:r>
      <w:r w:rsidR="004C6F9C" w:rsidRPr="00330C5D">
        <w:rPr>
          <w:rFonts w:asciiTheme="minorBidi" w:hAnsiTheme="minorBidi"/>
          <w:b/>
          <w:bCs/>
        </w:rPr>
        <w:t xml:space="preserve"> (Figure 3</w:t>
      </w:r>
      <w:r w:rsidR="005D25E7" w:rsidRPr="00330C5D">
        <w:rPr>
          <w:rFonts w:asciiTheme="minorBidi" w:hAnsiTheme="minorBidi"/>
          <w:b/>
          <w:bCs/>
        </w:rPr>
        <w:t>C</w:t>
      </w:r>
      <w:r w:rsidR="004C6F9C" w:rsidRPr="00330C5D">
        <w:rPr>
          <w:rFonts w:asciiTheme="minorBidi" w:hAnsiTheme="minorBidi"/>
          <w:b/>
          <w:bCs/>
        </w:rPr>
        <w:t>)</w:t>
      </w:r>
    </w:p>
    <w:p w14:paraId="5FAD5BAA" w14:textId="2880AC71" w:rsidR="004B0564" w:rsidRPr="00330C5D" w:rsidRDefault="004E76DD" w:rsidP="00330C5D">
      <w:pPr>
        <w:spacing w:line="360" w:lineRule="auto"/>
        <w:jc w:val="both"/>
        <w:rPr>
          <w:rFonts w:asciiTheme="minorBidi" w:hAnsiTheme="minorBidi"/>
        </w:rPr>
      </w:pPr>
      <w:r w:rsidRPr="00330C5D">
        <w:rPr>
          <w:rFonts w:asciiTheme="minorBidi" w:hAnsiTheme="minorBidi"/>
        </w:rPr>
        <w:t xml:space="preserve">Raw counts were downloaded from </w:t>
      </w:r>
      <w:bookmarkStart w:id="0" w:name="_Hlk235190741"/>
      <w:r w:rsidRPr="00330C5D">
        <w:rPr>
          <w:rFonts w:asciiTheme="minorBidi" w:hAnsiTheme="minorBidi"/>
        </w:rPr>
        <w:t>GSE253748</w:t>
      </w:r>
      <w:bookmarkEnd w:id="0"/>
      <w:r w:rsidR="00FE4FC0" w:rsidRPr="00330C5D">
        <w:rPr>
          <w:rFonts w:asciiTheme="minorBidi" w:hAnsiTheme="minorBidi"/>
        </w:rPr>
        <w:fldChar w:fldCharType="begin"/>
      </w:r>
      <w:r w:rsidR="0085005F">
        <w:rPr>
          <w:rFonts w:asciiTheme="minorBidi" w:hAnsiTheme="minorBidi"/>
        </w:rPr>
        <w:instrText xml:space="preserve"> ADDIN ZOTERO_ITEM CSL_CITATION {"citationID":"E6My6qKh","properties":{"unsorted":false,"formattedCitation":"\\super 10\\nosupersub{}","plainCitation":"10","noteIndex":0},"citationItems":[{"id":3991,"uris":["http://zotero.org/users/local/eCJUxClJ/items/PUWT3APH"],"itemData":{"id":3991,"type":"article-journal","abstract":"Abstract\n            \n              MGA (Max-gene associated) is a dual-specificity transcription factor that negatively regulates MYC-target genes to inhibit proliferation and promote differentiation. Loss-of-function mutations in\n              MGA\n              have been commonly identified in several hematological neoplasms, including acute myeloid leukemia (AML) with\n              RUNX1::RUNX1T1\n              , however, very little is known about the impact of these\n              MGA\n              alterations on normal hematopoiesis or disease progression. We show that representative\n              MGA\n              mutations identified in patient samples abolish protein-protein interactions and transcriptional activity. Using a series of human and mouse model systems, including a newly developed conditional knock-out mouse strain, we demonstrate that loss of\n              MGA\n              results in upregulation of MYC and E2F targets, cell cycle genes, mTOR signaling, and oxidative phosphorylation in normal hematopoietic cells, leading to enhanced proliferation. The loss of\n              MGA\n              induces an open chromatin state at promoters of genes involved in cell cycle and proliferation.\n              RUNX1::RUNX1T1\n              expression in\n              Mga-\n              deficient murine hematopoietic cells leads to a more aggressive AML with a significantly shortened latency. These data show that MGA regulates multiple pro-proliferative pathways in hematopoietic cells and cooperates with the RUNX1::RUNX1T1 fusion oncoprotein to enhance leukemogenesis.","container-title":"Leukemia","DOI":"10.1038/s41375-024-02193-y","ISSN":"0887-6924, 1476-5551","issue":"5","journalAbbreviation":"Leukemia","language":"en","page":"991-1002","source":"DOI.org (Crossref)","title":"Functional characterization of cooperating MGA mutations in RUNX1::RUNX1T1 acute myeloid leukemia","title-short":"Functional characterization of cooperating MGA mutations in RUNX1","volume":"38","author":[{"family":"Thomas","given":"Melvin E."},{"family":"Qi","given":"Wenqing"},{"family":"Walsh","given":"Michael P."},{"family":"Ma","given":"Jing"},{"family":"Westover","given":"Tamara"},{"family":"Abdelhamed","given":"Sherif"},{"family":"Ezzell","given":"Lauren J."},{"family":"Rolle","given":"Chandra"},{"family":"Xiong","given":"Emily"},{"family":"Rosikiewicz","given":"Wojciech"},{"family":"Xu","given":"Beisi"},{"family":"Loughran","given":"Allister J."},{"family":"Pruett-Miller","given":"Shondra M."},{"family":"Janke","given":"Laura J."},{"family":"Klco","given":"Jeffery M."}],"issued":{"date-parts":[["2024",5]]}}}],"schema":"https://github.com/citation-style-language/schema/raw/master/csl-citation.json"} </w:instrText>
      </w:r>
      <w:r w:rsidR="00FE4FC0" w:rsidRPr="00330C5D">
        <w:rPr>
          <w:rFonts w:asciiTheme="minorBidi" w:hAnsiTheme="minorBidi"/>
        </w:rPr>
        <w:fldChar w:fldCharType="separate"/>
      </w:r>
      <w:r w:rsidR="0085005F" w:rsidRPr="0085005F">
        <w:rPr>
          <w:rFonts w:ascii="Arial" w:hAnsiTheme="minorHAnsi" w:cs="Arial"/>
          <w:szCs w:val="24"/>
          <w:vertAlign w:val="superscript"/>
          <w:lang w:bidi="he-IL"/>
        </w:rPr>
        <w:t>10</w:t>
      </w:r>
      <w:r w:rsidR="00FE4FC0" w:rsidRPr="00330C5D">
        <w:rPr>
          <w:rFonts w:asciiTheme="minorBidi" w:hAnsiTheme="minorBidi"/>
        </w:rPr>
        <w:fldChar w:fldCharType="end"/>
      </w:r>
      <w:r w:rsidR="00FE4FC0" w:rsidRPr="00330C5D">
        <w:rPr>
          <w:rFonts w:asciiTheme="minorBidi" w:hAnsiTheme="minorBidi"/>
        </w:rPr>
        <w:t xml:space="preserve"> </w:t>
      </w:r>
      <w:r w:rsidRPr="00330C5D">
        <w:rPr>
          <w:rFonts w:asciiTheme="minorBidi" w:hAnsiTheme="minorBidi"/>
        </w:rPr>
        <w:t>and filtered for three MGA deleted samples and three WT samples. Count matrix was processed with R package DESEq2 V1.50.2</w:t>
      </w:r>
      <w:r w:rsidR="00FE4FC0" w:rsidRPr="00330C5D">
        <w:rPr>
          <w:rFonts w:asciiTheme="minorBidi" w:hAnsiTheme="minorBidi"/>
        </w:rPr>
        <w:fldChar w:fldCharType="begin"/>
      </w:r>
      <w:r w:rsidR="0085005F">
        <w:rPr>
          <w:rFonts w:asciiTheme="minorBidi" w:hAnsiTheme="minorBidi"/>
        </w:rPr>
        <w:instrText xml:space="preserve"> ADDIN ZOTERO_ITEM CSL_CITATION {"citationID":"puZzonVE","properties":{"unsorted":false,"formattedCitation":"\\super 8\\nosupersub{}","plainCitation":"8","noteIndex":0},"citationItems":[{"id":3949,"uris":["http://zotero.org/users/local/eCJUxClJ/items/NQWMF2HI"],"itemData":{"id":3949,"type":"article-journal","abstract":"Abstract\n            \n              In comparative high-throughput sequencing assays, a fundamental task is the analysis of count data, such as read counts per gene in RNA-seq, for evidence of systematic changes across experimental conditions. Small replicate numbers, discreteness, large dynamic range and the presence of outliers require a suitable statistical approach. We present\n              DESeq2\n              , a method for differential analysis of count data, using shrinkage estimation for dispersions and fold changes to improve stability and interpretability of estimates. This enables a more quantitative analysis focused on the strength rather than the mere presence of differential expression. The\n              DESeq2\n              package is available at\n              http://www.bioconductor.org/packages/release/bioc/html/DESeq2.html\n              .","container-title":"Genome Biology","DOI":"10.1186/s13059-014-0550-8","ISSN":"1474-760X","issue":"12","journalAbbreviation":"Genome Biol","language":"en","page":"550","source":"DOI.org (Crossref)","title":"Moderated estimation of fold change and dispersion for RNA-seq data with DESeq2","volume":"15","author":[{"family":"Love","given":"Michael I"},{"family":"Huber","given":"Wolfgang"},{"family":"Anders","given":"Simon"}],"issued":{"date-parts":[["2014",12,5]]}}}],"schema":"https://github.com/citation-style-language/schema/raw/master/csl-citation.json"} </w:instrText>
      </w:r>
      <w:r w:rsidR="00FE4FC0" w:rsidRPr="00330C5D">
        <w:rPr>
          <w:rFonts w:asciiTheme="minorBidi" w:hAnsiTheme="minorBidi"/>
        </w:rPr>
        <w:fldChar w:fldCharType="separate"/>
      </w:r>
      <w:r w:rsidR="0085005F" w:rsidRPr="0085005F">
        <w:rPr>
          <w:rFonts w:ascii="Arial" w:hAnsiTheme="minorHAnsi" w:cs="Arial"/>
          <w:szCs w:val="24"/>
          <w:vertAlign w:val="superscript"/>
          <w:lang w:bidi="he-IL"/>
        </w:rPr>
        <w:t>8</w:t>
      </w:r>
      <w:r w:rsidR="00FE4FC0" w:rsidRPr="00330C5D">
        <w:rPr>
          <w:rFonts w:asciiTheme="minorBidi" w:hAnsiTheme="minorBidi"/>
        </w:rPr>
        <w:fldChar w:fldCharType="end"/>
      </w:r>
      <w:r w:rsidRPr="00330C5D">
        <w:rPr>
          <w:rFonts w:asciiTheme="minorBidi" w:hAnsiTheme="minorBidi"/>
        </w:rPr>
        <w:t xml:space="preserve">. For the term MGA deletion UP, genes were defined by Log2 Fold Change &gt; 1 and adjusted p-value &lt; 1E-3. For the term MGA deletion DOWN, genes were defined by Log2 Fold Change &lt; (-1) and adjusted p-value &lt; 5E -3. </w:t>
      </w:r>
    </w:p>
    <w:p w14:paraId="18A262E6" w14:textId="2677A163" w:rsidR="004E76DD" w:rsidRPr="00330C5D" w:rsidRDefault="007A686B" w:rsidP="00330C5D">
      <w:pPr>
        <w:spacing w:line="360" w:lineRule="auto"/>
        <w:jc w:val="both"/>
        <w:rPr>
          <w:rFonts w:asciiTheme="minorBidi" w:hAnsiTheme="minorBidi"/>
          <w:color w:val="000000"/>
        </w:rPr>
      </w:pPr>
      <w:r w:rsidRPr="00330C5D">
        <w:rPr>
          <w:rFonts w:asciiTheme="minorBidi" w:hAnsiTheme="minorBidi"/>
          <w:color w:val="000000"/>
        </w:rPr>
        <w:t>Additional reference sets comprised the van Galen</w:t>
      </w:r>
      <w:r w:rsidRPr="00330C5D">
        <w:rPr>
          <w:rFonts w:asciiTheme="minorBidi" w:hAnsiTheme="minorBidi"/>
          <w:color w:val="000000"/>
        </w:rPr>
        <w:fldChar w:fldCharType="begin"/>
      </w:r>
      <w:r w:rsidR="0085005F">
        <w:rPr>
          <w:rFonts w:asciiTheme="minorBidi" w:hAnsiTheme="minorBidi"/>
          <w:color w:val="000000"/>
        </w:rPr>
        <w:instrText xml:space="preserve"> ADDIN ZOTERO_ITEM CSL_CITATION {"citationID":"urGf5z3A","properties":{"unsorted":false,"formattedCitation":"\\super 11\\nosupersub{}","plainCitation":"11","noteIndex":0},"citationItems":[{"id":1472,"uris":["http://zotero.org/users/local/eCJUxClJ/items/SVSTN5QS"],"itemData":{"id":1472,"type":"article-journal","abstract":"Acute myeloid leukemia (AML) is a heterogeneous disease that resides within a complex microenvironment, complicating efforts to understand how different cell types contribute to disease progression. We combined single-cell RNA sequencing and genotyping to profile 38,410 cells from 40 bone marrow aspirates, including 16 AML patients and five healthy donors. We then applied a machine learning classifier to distinguish a spectrum of malignant cell types whose abundances varied between patients and between subclones in the same tumor. Cell type compositions correlated with prototypic genetic lesions, including an association of FLT3-ITD with abundant progenitor-like cells. Primitive AML cells exhibited dysregulated transcriptional programs with co-expression of stemness and myeloid priming genes and had prognostic significance. Differentiated monocyte-like AML cells expressed diverse immunomodulatory genes and suppressed T cell activity in vitro. In conclusion, we provide single-cell technologies and an atlas of AML cell states, regulators, and markers with implications for precision medicine and immune therapies. VIDEO ABSTRACT.","container-title":"Cell","DOI":"10.1016/j.cell.2019.01.031","ISSN":"1097-4172","issue":"6","journalAbbreviation":"Cell","language":"eng","page":"1265-1281.e24","PMID":"30827681","PMCID":"PMC6515904","source":"PubMed","title":"Single-Cell RNA-Seq Reveals AML Hierarchies Relevant to Disease Progression and Immunity","volume":"176","author":[{"family":"Galen","given":"Peter","non-dropping-particle":"van"},{"family":"Hovestadt","given":"Volker"},{"family":"Wadsworth Ii","given":"Marc H."},{"family":"Hughes","given":"Travis K."},{"family":"Griffin","given":"Gabriel K."},{"family":"Battaglia","given":"Sofia"},{"family":"Verga","given":"Julia A."},{"family":"Stephansky","given":"Jason"},{"family":"Pastika","given":"Timothy J."},{"family":"Lombardi Story","given":"Jennifer"},{"family":"Pinkus","given":"Geraldine S."},{"family":"Pozdnyakova","given":"Olga"},{"family":"Galinsky","given":"Ilene"},{"family":"Stone","given":"Richard M."},{"family":"Graubert","given":"Timothy A."},{"family":"Shalek","given":"Alex K."},{"family":"Aster","given":"Jon C."},{"family":"Lane","given":"Andrew A."},{"family":"Bernstein","given":"Bradley E."}],"issued":{"date-parts":[["2019",3,7]]}}}],"schema":"https://github.com/citation-style-language/schema/raw/master/csl-citation.json"} </w:instrText>
      </w:r>
      <w:r w:rsidRPr="00330C5D">
        <w:rPr>
          <w:rFonts w:asciiTheme="minorBidi" w:hAnsiTheme="minorBidi"/>
          <w:color w:val="000000"/>
        </w:rPr>
        <w:fldChar w:fldCharType="separate"/>
      </w:r>
      <w:r w:rsidR="0085005F" w:rsidRPr="0085005F">
        <w:rPr>
          <w:rFonts w:ascii="Arial" w:hAnsiTheme="minorHAnsi" w:cs="Arial"/>
          <w:color w:val="000000"/>
          <w:szCs w:val="24"/>
          <w:vertAlign w:val="superscript"/>
          <w:lang w:bidi="he-IL"/>
        </w:rPr>
        <w:t>11</w:t>
      </w:r>
      <w:r w:rsidRPr="00330C5D">
        <w:rPr>
          <w:rFonts w:asciiTheme="minorBidi" w:hAnsiTheme="minorBidi"/>
          <w:color w:val="000000"/>
        </w:rPr>
        <w:fldChar w:fldCharType="end"/>
      </w:r>
      <w:r w:rsidRPr="00330C5D">
        <w:rPr>
          <w:rFonts w:asciiTheme="minorBidi" w:hAnsiTheme="minorBidi"/>
          <w:color w:val="000000"/>
        </w:rPr>
        <w:t> (GSE116256), Zeng single-cell AML state signatures</w:t>
      </w:r>
      <w:r w:rsidR="004B0564" w:rsidRPr="00330C5D">
        <w:rPr>
          <w:rFonts w:asciiTheme="minorBidi" w:hAnsiTheme="minorBidi"/>
          <w:color w:val="000000"/>
        </w:rPr>
        <w:fldChar w:fldCharType="begin"/>
      </w:r>
      <w:r w:rsidR="0085005F">
        <w:rPr>
          <w:rFonts w:asciiTheme="minorBidi" w:hAnsiTheme="minorBidi"/>
          <w:color w:val="000000"/>
        </w:rPr>
        <w:instrText xml:space="preserve"> ADDIN ZOTERO_ITEM CSL_CITATION {"citationID":"tHPJUisy","properties":{"unsorted":false,"formattedCitation":"\\super 12\\nosupersub{}","plainCitation":"12","noteIndex":0},"citationItems":[{"id":4139,"uris":["http://zotero.org/users/local/eCJUxClJ/items/LWB826TJ"],"itemData":{"id":4139,"type":"article-journal","abstract":"The treatment landscape of acute myeloid leukemia (AML) is evolving, with promising therapies entering clinical translation, yet patient responses remain heterogeneous, and biomarkers for tailoring treatment are lacking. To understand how disease heterogeneity links with therapy response, we determined the leukemia cell hierarchy makeup from bulk transcriptomes of more than 1,000 patients through deconvolution using single-cell reference profiles of leukemia stem, progenitor and mature cell types. Leukemia hierarchy composition was associated with functional, genomic and clinical properties and converged into four overall classes, spanning Primitive, Mature, GMP and Intermediate. Critically, variation in hierarchy composition along the Primitive versus GMP or Primitive versus Mature axes were associated with response to chemotherapy or drug sensitivity profiles of targeted therapies, respectively. A seven-gene biomarker derived from the Primitive versus Mature axis was associated with response to 105 investigational drugs. Cellular hierarchy composition constitutes a novel framework for understanding disease biology and advancing precision medicine in AML.","container-title":"Nature Medicine","DOI":"10.1038/s41591-022-01819-x","ISSN":"1546-170X","issue":"6","journalAbbreviation":"Nat Med","language":"eng","page":"1212-1223","PMID":"35618837","source":"PubMed","title":"A cellular hierarchy framework for understanding heterogeneity and predicting drug response in acute myeloid leukemia","volume":"28","author":[{"family":"Zeng","given":"Andy G. X."},{"family":"Bansal","given":"Suraj"},{"family":"Jin","given":"Liqing"},{"family":"Mitchell","given":"Amanda"},{"family":"Chen","given":"Weihsu Claire"},{"family":"Abbas","given":"Hussein A."},{"family":"Chan-Seng-Yue","given":"Michelle"},{"family":"Voisin","given":"Veronique"},{"family":"Galen","given":"Peter","non-dropping-particle":"van"},{"family":"Tierens","given":"Anne"},{"family":"Cheok","given":"Meyling"},{"family":"Preudhomme","given":"Claude"},{"family":"Dombret","given":"Hervé"},{"family":"Daver","given":"Naval"},{"family":"Futreal","given":"P. Andrew"},{"family":"Minden","given":"Mark D."},{"family":"Kennedy","given":"James A."},{"family":"Wang","given":"Jean C. Y."},{"family":"Dick","given":"John E."}],"issued":{"date-parts":[["2022",6]]}}}],"schema":"https://github.com/citation-style-language/schema/raw/master/csl-citation.json"} </w:instrText>
      </w:r>
      <w:r w:rsidR="004B0564" w:rsidRPr="00330C5D">
        <w:rPr>
          <w:rFonts w:asciiTheme="minorBidi" w:hAnsiTheme="minorBidi"/>
          <w:color w:val="000000"/>
        </w:rPr>
        <w:fldChar w:fldCharType="separate"/>
      </w:r>
      <w:r w:rsidR="0085005F" w:rsidRPr="0085005F">
        <w:rPr>
          <w:rFonts w:ascii="Arial" w:hAnsiTheme="minorHAnsi" w:cs="Arial"/>
          <w:color w:val="000000"/>
          <w:szCs w:val="24"/>
          <w:vertAlign w:val="superscript"/>
          <w:lang w:bidi="he-IL"/>
        </w:rPr>
        <w:t>12</w:t>
      </w:r>
      <w:r w:rsidR="004B0564" w:rsidRPr="00330C5D">
        <w:rPr>
          <w:rFonts w:asciiTheme="minorBidi" w:hAnsiTheme="minorBidi"/>
          <w:color w:val="000000"/>
        </w:rPr>
        <w:fldChar w:fldCharType="end"/>
      </w:r>
      <w:r w:rsidRPr="00330C5D">
        <w:rPr>
          <w:rFonts w:asciiTheme="minorBidi" w:hAnsiTheme="minorBidi"/>
          <w:color w:val="000000"/>
        </w:rPr>
        <w:t>  and the LSC17 / LSC</w:t>
      </w:r>
      <w:r w:rsidRPr="00330C5D">
        <w:rPr>
          <w:rFonts w:ascii="Cambria Math" w:hAnsi="Cambria Math" w:cs="Cambria Math"/>
          <w:color w:val="000000"/>
        </w:rPr>
        <w:t>⁺</w:t>
      </w:r>
      <w:r w:rsidRPr="00330C5D">
        <w:rPr>
          <w:rFonts w:asciiTheme="minorBidi" w:hAnsiTheme="minorBidi"/>
          <w:color w:val="000000"/>
        </w:rPr>
        <w:t>-versus-LSC</w:t>
      </w:r>
      <w:r w:rsidRPr="00330C5D">
        <w:rPr>
          <w:rFonts w:ascii="Cambria Math" w:hAnsi="Cambria Math" w:cs="Cambria Math"/>
          <w:color w:val="000000"/>
        </w:rPr>
        <w:t>⁻</w:t>
      </w:r>
      <w:r w:rsidRPr="00330C5D">
        <w:rPr>
          <w:rFonts w:asciiTheme="minorBidi" w:hAnsiTheme="minorBidi"/>
          <w:color w:val="000000"/>
        </w:rPr>
        <w:t xml:space="preserve"> signatures (GSE76008</w:t>
      </w:r>
      <w:r w:rsidR="004B0564" w:rsidRPr="00330C5D">
        <w:rPr>
          <w:rFonts w:asciiTheme="minorBidi" w:hAnsiTheme="minorBidi"/>
          <w:color w:val="000000"/>
        </w:rPr>
        <w:fldChar w:fldCharType="begin"/>
      </w:r>
      <w:r w:rsidR="0085005F">
        <w:rPr>
          <w:rFonts w:asciiTheme="minorBidi" w:hAnsiTheme="minorBidi"/>
          <w:color w:val="000000"/>
        </w:rPr>
        <w:instrText xml:space="preserve"> ADDIN ZOTERO_ITEM CSL_CITATION {"citationID":"NATjWXQl","properties":{"unsorted":false,"formattedCitation":"\\super 13\\nosupersub{}","plainCitation":"13","noteIndex":0},"citationItems":[{"id":1471,"uris":["http://zotero.org/users/local/eCJUxClJ/items/76QQ9RFW"],"itemData":{"id":1471,"type":"article-journal","container-title":"Nature","DOI":"10.1038/nature20598","ISSN":"0028-0836, 1476-4687","issue":"7633","journalAbbreviation":"Nature","language":"en","page":"433-437","source":"DOI.org (Crossref)","title":"A 17-gene stemness score for rapid determination of risk in acute leukaemia","volume":"540","author":[{"family":"Ng","given":"Stanley W. K."},{"family":"Mitchell","given":"Amanda"},{"family":"Kennedy","given":"James A."},{"family":"Chen","given":"Weihsu C."},{"family":"McLeod","given":"Jessica"},{"family":"Ibrahimova","given":"Narmin"},{"family":"Arruda","given":"Andrea"},{"family":"Popescu","given":"Andreea"},{"family":"Gupta","given":"Vikas"},{"family":"Schimmer","given":"Aaron D."},{"family":"Schuh","given":"Andre C."},{"family":"Yee","given":"Karen W."},{"family":"Bullinger","given":"Lars"},{"family":"Herold","given":"Tobias"},{"family":"Görlich","given":"Dennis"},{"family":"Büchner","given":"Thomas"},{"family":"Hiddemann","given":"Wolfgang"},{"family":"Berdel","given":"Wolfgang E."},{"family":"Wörmann","given":"Bernhard"},{"family":"Cheok","given":"Meyling"},{"family":"Preudhomme","given":"Claude"},{"family":"Dombret","given":"Hervé"},{"family":"Metzeler","given":"Klaus"},{"family":"Buske","given":"Christian"},{"family":"Löwenberg","given":"Bob"},{"family":"Valk","given":"Peter J. M."},{"family":"Zandstra","given":"Peter W."},{"family":"Minden","given":"Mark D."},{"family":"Dick","given":"John E."},{"family":"Wang","given":"Jean C. Y."}],"issued":{"date-parts":[["2016",12]]}}}],"schema":"https://github.com/citation-style-language/schema/raw/master/csl-citation.json"} </w:instrText>
      </w:r>
      <w:r w:rsidR="004B0564" w:rsidRPr="00330C5D">
        <w:rPr>
          <w:rFonts w:asciiTheme="minorBidi" w:hAnsiTheme="minorBidi"/>
          <w:color w:val="000000"/>
        </w:rPr>
        <w:fldChar w:fldCharType="separate"/>
      </w:r>
      <w:r w:rsidR="0085005F" w:rsidRPr="0085005F">
        <w:rPr>
          <w:rFonts w:ascii="Arial" w:hAnsiTheme="minorHAnsi" w:cs="Arial"/>
          <w:color w:val="000000"/>
          <w:szCs w:val="24"/>
          <w:vertAlign w:val="superscript"/>
          <w:lang w:bidi="he-IL"/>
        </w:rPr>
        <w:t>13</w:t>
      </w:r>
      <w:r w:rsidR="004B0564" w:rsidRPr="00330C5D">
        <w:rPr>
          <w:rFonts w:asciiTheme="minorBidi" w:hAnsiTheme="minorBidi"/>
          <w:color w:val="000000"/>
        </w:rPr>
        <w:fldChar w:fldCharType="end"/>
      </w:r>
      <w:r w:rsidRPr="00330C5D">
        <w:rPr>
          <w:rFonts w:asciiTheme="minorBidi" w:hAnsiTheme="minorBidi"/>
          <w:color w:val="000000"/>
        </w:rPr>
        <w:t xml:space="preserve">). Enrichment of the combined AML gene list was tested with </w:t>
      </w:r>
      <w:proofErr w:type="spellStart"/>
      <w:r w:rsidRPr="00330C5D">
        <w:rPr>
          <w:rFonts w:asciiTheme="minorBidi" w:hAnsiTheme="minorBidi"/>
          <w:color w:val="000000"/>
        </w:rPr>
        <w:t>fgsea</w:t>
      </w:r>
      <w:proofErr w:type="spellEnd"/>
      <w:r w:rsidRPr="00330C5D">
        <w:rPr>
          <w:rFonts w:asciiTheme="minorBidi" w:hAnsiTheme="minorBidi"/>
          <w:color w:val="000000"/>
        </w:rPr>
        <w:t xml:space="preserve"> version 1.28.0 using a ranked gene list of the comparison of UBE2E3 KD versus control and visualized using a</w:t>
      </w:r>
      <w:r w:rsidR="004B0564" w:rsidRPr="00330C5D">
        <w:rPr>
          <w:rFonts w:asciiTheme="minorBidi" w:hAnsiTheme="minorBidi"/>
          <w:color w:val="000000"/>
        </w:rPr>
        <w:t xml:space="preserve"> </w:t>
      </w:r>
      <w:r w:rsidR="0031665F" w:rsidRPr="00330C5D">
        <w:rPr>
          <w:rFonts w:asciiTheme="minorBidi" w:hAnsiTheme="minorBidi"/>
          <w:color w:val="000000"/>
        </w:rPr>
        <w:t>summary bar plot (Figure 5E, Supplementary Figure S</w:t>
      </w:r>
      <w:r w:rsidR="00794169">
        <w:rPr>
          <w:rFonts w:asciiTheme="minorBidi" w:hAnsiTheme="minorBidi"/>
          <w:color w:val="000000"/>
        </w:rPr>
        <w:t>4</w:t>
      </w:r>
      <w:r w:rsidR="0031665F" w:rsidRPr="00330C5D">
        <w:rPr>
          <w:rFonts w:asciiTheme="minorBidi" w:hAnsiTheme="minorBidi"/>
          <w:color w:val="000000"/>
        </w:rPr>
        <w:t>)</w:t>
      </w:r>
      <w:r w:rsidR="004B0564" w:rsidRPr="00330C5D">
        <w:rPr>
          <w:rFonts w:asciiTheme="minorBidi" w:hAnsiTheme="minorBidi"/>
          <w:color w:val="000000"/>
        </w:rPr>
        <w:t xml:space="preserve"> and</w:t>
      </w:r>
      <w:r w:rsidRPr="00330C5D">
        <w:rPr>
          <w:rFonts w:asciiTheme="minorBidi" w:hAnsiTheme="minorBidi"/>
          <w:color w:val="000000"/>
        </w:rPr>
        <w:t xml:space="preserve"> dot plot with ggplot2.</w:t>
      </w:r>
    </w:p>
    <w:p w14:paraId="28B8D8BD" w14:textId="77777777" w:rsidR="000E1FCA" w:rsidRPr="00330C5D" w:rsidRDefault="000E1FCA" w:rsidP="00330C5D">
      <w:pPr>
        <w:spacing w:line="360" w:lineRule="auto"/>
        <w:jc w:val="both"/>
        <w:rPr>
          <w:rFonts w:asciiTheme="minorBidi" w:hAnsiTheme="minorBidi"/>
        </w:rPr>
      </w:pPr>
    </w:p>
    <w:p w14:paraId="565F9390" w14:textId="77777777" w:rsidR="003C4D5A" w:rsidRPr="00330C5D" w:rsidRDefault="003C4D5A" w:rsidP="00330C5D">
      <w:pPr>
        <w:spacing w:before="240" w:after="80" w:line="360" w:lineRule="auto"/>
        <w:jc w:val="both"/>
        <w:rPr>
          <w:rFonts w:asciiTheme="minorBidi" w:hAnsiTheme="minorBidi"/>
          <w:color w:val="000000" w:themeColor="text1"/>
        </w:rPr>
      </w:pPr>
      <w:r w:rsidRPr="00330C5D">
        <w:rPr>
          <w:rFonts w:asciiTheme="minorBidi" w:hAnsiTheme="minorBidi"/>
          <w:b/>
          <w:color w:val="000000" w:themeColor="text1"/>
        </w:rPr>
        <w:t>Xenotransplantation and in vivo engraftment</w:t>
      </w:r>
    </w:p>
    <w:p w14:paraId="2BACF167" w14:textId="77777777" w:rsidR="003C4D5A" w:rsidRPr="00330C5D" w:rsidRDefault="003C4D5A" w:rsidP="00330C5D">
      <w:pPr>
        <w:spacing w:line="360" w:lineRule="auto"/>
        <w:jc w:val="both"/>
        <w:rPr>
          <w:rFonts w:asciiTheme="minorBidi" w:hAnsiTheme="minorBidi"/>
          <w:b/>
          <w:color w:val="000000" w:themeColor="text1"/>
        </w:rPr>
      </w:pPr>
      <w:r w:rsidRPr="00330C5D">
        <w:rPr>
          <w:rFonts w:asciiTheme="minorBidi" w:hAnsiTheme="minorBidi"/>
          <w:b/>
          <w:color w:val="000000" w:themeColor="text1"/>
        </w:rPr>
        <w:t>Animals</w:t>
      </w:r>
    </w:p>
    <w:p w14:paraId="24B5BA16" w14:textId="2E2FFB86" w:rsidR="004B0564" w:rsidRPr="00330C5D" w:rsidRDefault="004B0564" w:rsidP="00330C5D">
      <w:pPr>
        <w:pStyle w:val="isselectedend"/>
        <w:spacing w:line="360" w:lineRule="auto"/>
        <w:jc w:val="both"/>
        <w:rPr>
          <w:rFonts w:asciiTheme="minorBidi" w:hAnsiTheme="minorBidi" w:cstheme="minorBidi"/>
          <w:sz w:val="22"/>
          <w:szCs w:val="22"/>
        </w:rPr>
      </w:pPr>
      <w:r w:rsidRPr="00330C5D">
        <w:rPr>
          <w:rFonts w:asciiTheme="minorBidi" w:hAnsiTheme="minorBidi" w:cstheme="minorBidi"/>
          <w:sz w:val="22"/>
          <w:szCs w:val="22"/>
        </w:rPr>
        <w:t>Ten-to-twelve-week old male or female immunodeficient NOD/SCID-3/GM/SF mice (NS-GF) were obtained from Dr. Connie J. Eaves and bred in our facility</w:t>
      </w:r>
      <w:r w:rsidRPr="00330C5D">
        <w:rPr>
          <w:rFonts w:asciiTheme="minorBidi" w:hAnsiTheme="minorBidi" w:cstheme="minorBidi"/>
          <w:sz w:val="22"/>
          <w:szCs w:val="22"/>
        </w:rPr>
        <w:fldChar w:fldCharType="begin"/>
      </w:r>
      <w:r w:rsidR="0085005F">
        <w:rPr>
          <w:rFonts w:asciiTheme="minorBidi" w:hAnsiTheme="minorBidi" w:cstheme="minorBidi"/>
          <w:sz w:val="22"/>
          <w:szCs w:val="22"/>
        </w:rPr>
        <w:instrText xml:space="preserve"> ADDIN ZOTERO_ITEM CSL_CITATION {"citationID":"BYhWyRvS","properties":{"unsorted":false,"formattedCitation":"\\super 14\\nosupersub{}","plainCitation":"14","noteIndex":0},"citationItems":[{"id":586,"uris":["http://zotero.org/users/local/eCJUxClJ/items/MT93TMRQ"],"itemData":{"id":586,"type":"article-journal","container-title":"Leukemia","DOI":"10.1038/sj.leu.2403222","ISSN":"0887-6924, 1476-5551","issue":"2","journalAbbreviation":"Leukemia","language":"en","page":"341-347","source":"DOI.org (Crossref)","title":"NOD/SCID mice engineered to express human IL-3, GM-CSF and Steel factor constitutively mobilize engrafted human progenitors and compromise human stem cell regeneration","volume":"18","author":[{"family":"Nicolini","given":"F E"},{"family":"Cashman","given":"J D"},{"family":"Hogge","given":"D E"},{"family":"Humphries","given":"R K"},{"family":"Eaves","given":"C J"}],"issued":{"date-parts":[["2004",2]]}}}],"schema":"https://github.com/citation-style-language/schema/raw/master/csl-citation.json"} </w:instrText>
      </w:r>
      <w:r w:rsidRPr="00330C5D">
        <w:rPr>
          <w:rFonts w:asciiTheme="minorBidi" w:hAnsiTheme="minorBidi" w:cstheme="minorBidi"/>
          <w:sz w:val="22"/>
          <w:szCs w:val="22"/>
        </w:rPr>
        <w:fldChar w:fldCharType="separate"/>
      </w:r>
      <w:r w:rsidR="0085005F" w:rsidRPr="0085005F">
        <w:rPr>
          <w:rFonts w:ascii="Arial" w:hAnsiTheme="minorHAnsi" w:cs="Arial"/>
          <w:sz w:val="22"/>
          <w:vertAlign w:val="superscript"/>
          <w:lang w:bidi="he-IL"/>
        </w:rPr>
        <w:t>14</w:t>
      </w:r>
      <w:r w:rsidRPr="00330C5D">
        <w:rPr>
          <w:rFonts w:asciiTheme="minorBidi" w:hAnsiTheme="minorBidi" w:cstheme="minorBidi"/>
          <w:sz w:val="22"/>
          <w:szCs w:val="22"/>
        </w:rPr>
        <w:fldChar w:fldCharType="end"/>
      </w:r>
      <w:r w:rsidRPr="00330C5D">
        <w:rPr>
          <w:rFonts w:asciiTheme="minorBidi" w:hAnsiTheme="minorBidi" w:cstheme="minorBidi"/>
          <w:sz w:val="22"/>
          <w:szCs w:val="22"/>
        </w:rPr>
        <w:t>. Ten-to-</w:t>
      </w:r>
      <w:proofErr w:type="gramStart"/>
      <w:r w:rsidRPr="00330C5D">
        <w:rPr>
          <w:rFonts w:asciiTheme="minorBidi" w:hAnsiTheme="minorBidi" w:cstheme="minorBidi"/>
          <w:sz w:val="22"/>
          <w:szCs w:val="22"/>
        </w:rPr>
        <w:t xml:space="preserve">twelve-week </w:t>
      </w:r>
      <w:r w:rsidRPr="00330C5D">
        <w:rPr>
          <w:rFonts w:asciiTheme="minorBidi" w:hAnsiTheme="minorBidi" w:cstheme="minorBidi"/>
          <w:sz w:val="22"/>
          <w:szCs w:val="22"/>
        </w:rPr>
        <w:lastRenderedPageBreak/>
        <w:t>old</w:t>
      </w:r>
      <w:proofErr w:type="gramEnd"/>
      <w:r w:rsidRPr="00330C5D">
        <w:rPr>
          <w:rFonts w:asciiTheme="minorBidi" w:hAnsiTheme="minorBidi" w:cstheme="minorBidi"/>
          <w:sz w:val="22"/>
          <w:szCs w:val="22"/>
        </w:rPr>
        <w:t xml:space="preserve"> female immunodeficient NOD.Cg-</w:t>
      </w:r>
      <w:r w:rsidRPr="00330C5D">
        <w:rPr>
          <w:rFonts w:asciiTheme="minorBidi" w:hAnsiTheme="minorBidi" w:cstheme="minorBidi"/>
          <w:i/>
          <w:sz w:val="22"/>
          <w:szCs w:val="22"/>
        </w:rPr>
        <w:t>Prkdc</w:t>
      </w:r>
      <w:r w:rsidRPr="00330C5D">
        <w:rPr>
          <w:rFonts w:asciiTheme="minorBidi" w:hAnsiTheme="minorBidi" w:cstheme="minorBidi"/>
          <w:i/>
          <w:sz w:val="22"/>
          <w:szCs w:val="22"/>
          <w:vertAlign w:val="superscript"/>
        </w:rPr>
        <w:t>scid</w:t>
      </w:r>
      <w:r w:rsidRPr="00330C5D">
        <w:rPr>
          <w:rFonts w:asciiTheme="minorBidi" w:hAnsiTheme="minorBidi" w:cstheme="minorBidi"/>
          <w:i/>
          <w:sz w:val="22"/>
          <w:szCs w:val="22"/>
        </w:rPr>
        <w:t>Il2rg</w:t>
      </w:r>
      <w:r w:rsidRPr="00330C5D">
        <w:rPr>
          <w:rFonts w:asciiTheme="minorBidi" w:hAnsiTheme="minorBidi" w:cstheme="minorBidi"/>
          <w:i/>
          <w:sz w:val="22"/>
          <w:szCs w:val="22"/>
          <w:vertAlign w:val="superscript"/>
        </w:rPr>
        <w:t>tm1Wjl</w:t>
      </w:r>
      <w:r w:rsidRPr="00330C5D">
        <w:rPr>
          <w:rFonts w:asciiTheme="minorBidi" w:hAnsiTheme="minorBidi" w:cstheme="minorBidi"/>
          <w:sz w:val="22"/>
          <w:szCs w:val="22"/>
        </w:rPr>
        <w:t>/</w:t>
      </w:r>
      <w:proofErr w:type="spellStart"/>
      <w:r w:rsidRPr="00330C5D">
        <w:rPr>
          <w:rFonts w:asciiTheme="minorBidi" w:hAnsiTheme="minorBidi" w:cstheme="minorBidi"/>
          <w:sz w:val="22"/>
          <w:szCs w:val="22"/>
        </w:rPr>
        <w:t>SzJ</w:t>
      </w:r>
      <w:proofErr w:type="spellEnd"/>
      <w:r w:rsidRPr="00330C5D">
        <w:rPr>
          <w:rFonts w:asciiTheme="minorBidi" w:hAnsiTheme="minorBidi" w:cstheme="minorBidi"/>
          <w:sz w:val="22"/>
          <w:szCs w:val="22"/>
        </w:rPr>
        <w:t xml:space="preserve"> mice (NSG, Jackson Laboratory, #005557) were obtained from the University Health Network. The mice were housed in micro-isolator cages with temperature-controlled conditions under a 12-hr light-dark cycle with access to drinking water and food. Only one experimental procedure was performed on each </w:t>
      </w:r>
      <w:proofErr w:type="gramStart"/>
      <w:r w:rsidRPr="00330C5D">
        <w:rPr>
          <w:rFonts w:asciiTheme="minorBidi" w:hAnsiTheme="minorBidi" w:cstheme="minorBidi"/>
          <w:sz w:val="22"/>
          <w:szCs w:val="22"/>
        </w:rPr>
        <w:t>mouse</w:t>
      </w:r>
      <w:proofErr w:type="gramEnd"/>
      <w:r w:rsidRPr="00330C5D">
        <w:rPr>
          <w:rFonts w:asciiTheme="minorBidi" w:hAnsiTheme="minorBidi" w:cstheme="minorBidi"/>
          <w:sz w:val="22"/>
          <w:szCs w:val="22"/>
        </w:rPr>
        <w:t xml:space="preserve"> and all mice were drug naive before the experiment. All animal studies were performed in accordance with the University Health Network Animal Use Protocol 1251.</w:t>
      </w:r>
    </w:p>
    <w:p w14:paraId="6AB0A446" w14:textId="77777777" w:rsidR="004B0564" w:rsidRPr="00330C5D" w:rsidRDefault="004B0564" w:rsidP="00330C5D">
      <w:pPr>
        <w:pStyle w:val="isselectedend"/>
        <w:spacing w:line="360" w:lineRule="auto"/>
        <w:jc w:val="both"/>
        <w:rPr>
          <w:rFonts w:asciiTheme="minorBidi" w:hAnsiTheme="minorBidi" w:cstheme="minorBidi"/>
          <w:sz w:val="22"/>
          <w:szCs w:val="22"/>
        </w:rPr>
      </w:pPr>
      <w:r w:rsidRPr="00330C5D">
        <w:rPr>
          <w:rFonts w:asciiTheme="minorBidi" w:hAnsiTheme="minorBidi" w:cstheme="minorBidi"/>
          <w:sz w:val="22"/>
          <w:szCs w:val="22"/>
        </w:rPr>
        <w:t>Equal numbers of 8227 cells or primary AML cells were transduced with the specified UBE2E3 shRNA sequence or non-target control sequence. Transduction efficiency was determined by the percentage of GFP</w:t>
      </w:r>
      <w:r w:rsidRPr="00330C5D">
        <w:rPr>
          <w:rFonts w:ascii="Cambria Math" w:hAnsi="Cambria Math" w:cs="Cambria Math"/>
          <w:sz w:val="22"/>
          <w:szCs w:val="22"/>
        </w:rPr>
        <w:t>⁺</w:t>
      </w:r>
      <w:r w:rsidRPr="00330C5D">
        <w:rPr>
          <w:rFonts w:asciiTheme="minorBidi" w:hAnsiTheme="minorBidi" w:cstheme="minorBidi"/>
          <w:sz w:val="22"/>
          <w:szCs w:val="22"/>
        </w:rPr>
        <w:t xml:space="preserve"> cells with flow cytometry before injection. In all experiments, the difference in transduction efficiency between groups was less than 5%.</w:t>
      </w:r>
    </w:p>
    <w:p w14:paraId="159AF9CF" w14:textId="77777777" w:rsidR="004B0564" w:rsidRPr="00330C5D" w:rsidRDefault="004B0564" w:rsidP="00330C5D">
      <w:pPr>
        <w:pStyle w:val="isselectedend"/>
        <w:spacing w:line="360" w:lineRule="auto"/>
        <w:jc w:val="both"/>
        <w:rPr>
          <w:rFonts w:asciiTheme="minorBidi" w:hAnsiTheme="minorBidi" w:cstheme="minorBidi"/>
          <w:sz w:val="22"/>
          <w:szCs w:val="22"/>
        </w:rPr>
      </w:pPr>
      <w:r w:rsidRPr="00330C5D">
        <w:rPr>
          <w:rFonts w:asciiTheme="minorBidi" w:hAnsiTheme="minorBidi" w:cstheme="minorBidi"/>
          <w:sz w:val="22"/>
          <w:szCs w:val="22"/>
        </w:rPr>
        <w:t>For 8227 cells, 1 × 10</w:t>
      </w:r>
      <w:r w:rsidRPr="00330C5D">
        <w:rPr>
          <w:rFonts w:asciiTheme="minorBidi" w:hAnsiTheme="minorBidi" w:cstheme="minorBidi"/>
          <w:sz w:val="22"/>
          <w:szCs w:val="22"/>
          <w:vertAlign w:val="superscript"/>
        </w:rPr>
        <w:t>6</w:t>
      </w:r>
      <w:r w:rsidRPr="00330C5D">
        <w:rPr>
          <w:rFonts w:asciiTheme="minorBidi" w:hAnsiTheme="minorBidi" w:cstheme="minorBidi"/>
          <w:sz w:val="22"/>
          <w:szCs w:val="22"/>
        </w:rPr>
        <w:t xml:space="preserve"> transduced cells were injected into the right femur of NS-GF mice. Mice were sub-lethally irradiated (2 Gy) and received intraperitoneal α-CD122 (200 </w:t>
      </w:r>
      <w:proofErr w:type="spellStart"/>
      <w:r w:rsidRPr="00330C5D">
        <w:rPr>
          <w:rFonts w:asciiTheme="minorBidi" w:hAnsiTheme="minorBidi" w:cstheme="minorBidi"/>
          <w:sz w:val="22"/>
          <w:szCs w:val="22"/>
        </w:rPr>
        <w:t>μg</w:t>
      </w:r>
      <w:proofErr w:type="spellEnd"/>
      <w:r w:rsidRPr="00330C5D">
        <w:rPr>
          <w:rFonts w:asciiTheme="minorBidi" w:hAnsiTheme="minorBidi" w:cstheme="minorBidi"/>
          <w:sz w:val="22"/>
          <w:szCs w:val="22"/>
        </w:rPr>
        <w:t>) 24-hr prior to injection. To measure leukemic engraftment, mice were sacrificed 10 weeks after injection, bone marrow was flushed from the left femur, and the percentage of human GFP</w:t>
      </w:r>
      <w:r w:rsidRPr="00330C5D">
        <w:rPr>
          <w:rFonts w:asciiTheme="minorBidi" w:hAnsiTheme="minorBidi" w:cstheme="minorBidi"/>
          <w:sz w:val="22"/>
          <w:szCs w:val="22"/>
          <w:vertAlign w:val="superscript"/>
        </w:rPr>
        <w:t>+</w:t>
      </w:r>
      <w:r w:rsidRPr="00330C5D">
        <w:rPr>
          <w:rFonts w:asciiTheme="minorBidi" w:hAnsiTheme="minorBidi" w:cstheme="minorBidi"/>
          <w:sz w:val="22"/>
          <w:szCs w:val="22"/>
        </w:rPr>
        <w:t>CD45</w:t>
      </w:r>
      <w:r w:rsidRPr="00330C5D">
        <w:rPr>
          <w:rFonts w:ascii="Cambria Math" w:hAnsi="Cambria Math" w:cs="Cambria Math"/>
          <w:sz w:val="22"/>
          <w:szCs w:val="22"/>
        </w:rPr>
        <w:t>⁺</w:t>
      </w:r>
      <w:r w:rsidRPr="00330C5D">
        <w:rPr>
          <w:rFonts w:asciiTheme="minorBidi" w:hAnsiTheme="minorBidi" w:cstheme="minorBidi"/>
          <w:sz w:val="22"/>
          <w:szCs w:val="22"/>
        </w:rPr>
        <w:t xml:space="preserve"> cells </w:t>
      </w:r>
      <w:proofErr w:type="gramStart"/>
      <w:r w:rsidRPr="00330C5D">
        <w:rPr>
          <w:rFonts w:asciiTheme="minorBidi" w:hAnsiTheme="minorBidi" w:cstheme="minorBidi"/>
          <w:sz w:val="22"/>
          <w:szCs w:val="22"/>
        </w:rPr>
        <w:t>was</w:t>
      </w:r>
      <w:proofErr w:type="gramEnd"/>
      <w:r w:rsidRPr="00330C5D">
        <w:rPr>
          <w:rFonts w:asciiTheme="minorBidi" w:hAnsiTheme="minorBidi" w:cstheme="minorBidi"/>
          <w:sz w:val="22"/>
          <w:szCs w:val="22"/>
        </w:rPr>
        <w:t xml:space="preserve"> determined with flow cytometry.</w:t>
      </w:r>
    </w:p>
    <w:p w14:paraId="756E2EA5" w14:textId="77777777" w:rsidR="004B0564" w:rsidRPr="00330C5D" w:rsidRDefault="004B0564" w:rsidP="00330C5D">
      <w:pPr>
        <w:pStyle w:val="isselectedend"/>
        <w:spacing w:line="360" w:lineRule="auto"/>
        <w:jc w:val="both"/>
        <w:rPr>
          <w:rFonts w:asciiTheme="minorBidi" w:hAnsiTheme="minorBidi" w:cstheme="minorBidi"/>
          <w:sz w:val="22"/>
          <w:szCs w:val="22"/>
        </w:rPr>
      </w:pPr>
      <w:r w:rsidRPr="00330C5D">
        <w:rPr>
          <w:rFonts w:asciiTheme="minorBidi" w:hAnsiTheme="minorBidi" w:cstheme="minorBidi"/>
          <w:sz w:val="22"/>
          <w:szCs w:val="22"/>
        </w:rPr>
        <w:t>For primary AML cells, 1 × 10⁶ transduced cells were injected into the right femur of NSG mice, which were sub-lethally irradiated (2 Gy) 24-hr prior to injection. Eight weeks after injection of primary AML cells, mice were sacrificed, bone marrow was flushed from the left femur, and the GFP</w:t>
      </w:r>
      <w:r w:rsidRPr="00330C5D">
        <w:rPr>
          <w:rFonts w:ascii="Cambria Math" w:hAnsi="Cambria Math" w:cs="Cambria Math"/>
          <w:sz w:val="22"/>
          <w:szCs w:val="22"/>
        </w:rPr>
        <w:t>⁺</w:t>
      </w:r>
      <w:r w:rsidRPr="00330C5D">
        <w:rPr>
          <w:rFonts w:asciiTheme="minorBidi" w:hAnsiTheme="minorBidi" w:cstheme="minorBidi"/>
          <w:sz w:val="22"/>
          <w:szCs w:val="22"/>
        </w:rPr>
        <w:t>CD45</w:t>
      </w:r>
      <w:r w:rsidRPr="00330C5D">
        <w:rPr>
          <w:rFonts w:ascii="Cambria Math" w:hAnsi="Cambria Math" w:cs="Cambria Math"/>
          <w:sz w:val="22"/>
          <w:szCs w:val="22"/>
        </w:rPr>
        <w:t>⁺</w:t>
      </w:r>
      <w:r w:rsidRPr="00330C5D">
        <w:rPr>
          <w:rFonts w:asciiTheme="minorBidi" w:hAnsiTheme="minorBidi" w:cstheme="minorBidi"/>
          <w:sz w:val="22"/>
          <w:szCs w:val="22"/>
        </w:rPr>
        <w:t>CD33</w:t>
      </w:r>
      <w:r w:rsidRPr="00330C5D">
        <w:rPr>
          <w:rFonts w:ascii="Cambria Math" w:hAnsi="Cambria Math" w:cs="Cambria Math"/>
          <w:sz w:val="22"/>
          <w:szCs w:val="22"/>
        </w:rPr>
        <w:t>⁺</w:t>
      </w:r>
      <w:r w:rsidRPr="00330C5D">
        <w:rPr>
          <w:rFonts w:asciiTheme="minorBidi" w:hAnsiTheme="minorBidi" w:cstheme="minorBidi"/>
          <w:sz w:val="22"/>
          <w:szCs w:val="22"/>
        </w:rPr>
        <w:t xml:space="preserve"> population was quantified with flow cytometry. Cells harvested from the left femurs in the primary engraftment were used for secondary engraftment. 1 × 10⁶ cells were reinjected into the right femur of untreated NSG mice. Eight weeks later, mice were sacrificed, bone marrow was flushed out from the left femur, and the GFP</w:t>
      </w:r>
      <w:r w:rsidRPr="00330C5D">
        <w:rPr>
          <w:rFonts w:ascii="Cambria Math" w:hAnsi="Cambria Math" w:cs="Cambria Math"/>
          <w:sz w:val="22"/>
          <w:szCs w:val="22"/>
        </w:rPr>
        <w:t>⁺</w:t>
      </w:r>
      <w:r w:rsidRPr="00330C5D">
        <w:rPr>
          <w:rFonts w:asciiTheme="minorBidi" w:hAnsiTheme="minorBidi" w:cstheme="minorBidi"/>
          <w:sz w:val="22"/>
          <w:szCs w:val="22"/>
        </w:rPr>
        <w:t>CD45</w:t>
      </w:r>
      <w:r w:rsidRPr="00330C5D">
        <w:rPr>
          <w:rFonts w:ascii="Cambria Math" w:hAnsi="Cambria Math" w:cs="Cambria Math"/>
          <w:sz w:val="22"/>
          <w:szCs w:val="22"/>
        </w:rPr>
        <w:t>⁺</w:t>
      </w:r>
      <w:r w:rsidRPr="00330C5D">
        <w:rPr>
          <w:rFonts w:asciiTheme="minorBidi" w:hAnsiTheme="minorBidi" w:cstheme="minorBidi"/>
          <w:sz w:val="22"/>
          <w:szCs w:val="22"/>
        </w:rPr>
        <w:t>CD33</w:t>
      </w:r>
      <w:r w:rsidRPr="00330C5D">
        <w:rPr>
          <w:rFonts w:ascii="Cambria Math" w:hAnsi="Cambria Math" w:cs="Cambria Math"/>
          <w:sz w:val="22"/>
          <w:szCs w:val="22"/>
        </w:rPr>
        <w:t>⁺</w:t>
      </w:r>
      <w:r w:rsidRPr="00330C5D">
        <w:rPr>
          <w:rFonts w:asciiTheme="minorBidi" w:hAnsiTheme="minorBidi" w:cstheme="minorBidi"/>
          <w:sz w:val="22"/>
          <w:szCs w:val="22"/>
        </w:rPr>
        <w:t xml:space="preserve"> population was quantified with flow cytometry.</w:t>
      </w:r>
    </w:p>
    <w:p w14:paraId="1F0075D7" w14:textId="77777777" w:rsidR="003C4D5A" w:rsidRPr="00330C5D" w:rsidRDefault="003C4D5A" w:rsidP="00330C5D">
      <w:pPr>
        <w:spacing w:before="240" w:after="80" w:line="360" w:lineRule="auto"/>
        <w:jc w:val="both"/>
        <w:rPr>
          <w:rFonts w:asciiTheme="minorBidi" w:hAnsiTheme="minorBidi"/>
          <w:b/>
          <w:color w:val="000000" w:themeColor="text1"/>
          <w:lang w:val="en-CA"/>
        </w:rPr>
      </w:pPr>
    </w:p>
    <w:p w14:paraId="6FB5835B" w14:textId="77777777" w:rsidR="00E31E3B" w:rsidRPr="00330C5D" w:rsidRDefault="00AF28FD" w:rsidP="00330C5D">
      <w:pPr>
        <w:spacing w:before="240" w:after="80" w:line="360" w:lineRule="auto"/>
        <w:jc w:val="both"/>
        <w:rPr>
          <w:rFonts w:asciiTheme="minorBidi" w:hAnsiTheme="minorBidi"/>
          <w:b/>
          <w:color w:val="000000" w:themeColor="text1"/>
        </w:rPr>
      </w:pPr>
      <w:r w:rsidRPr="00330C5D">
        <w:rPr>
          <w:rFonts w:asciiTheme="minorBidi" w:hAnsiTheme="minorBidi"/>
          <w:b/>
          <w:color w:val="000000" w:themeColor="text1"/>
        </w:rPr>
        <w:t>Antibodies and primers</w:t>
      </w:r>
    </w:p>
    <w:p w14:paraId="217D3A7D" w14:textId="77777777" w:rsidR="00A654A0" w:rsidRPr="00330C5D" w:rsidRDefault="00A654A0" w:rsidP="00330C5D">
      <w:pPr>
        <w:tabs>
          <w:tab w:val="left" w:pos="3957"/>
        </w:tabs>
        <w:spacing w:line="360" w:lineRule="auto"/>
        <w:jc w:val="both"/>
        <w:rPr>
          <w:rFonts w:asciiTheme="minorBidi" w:hAnsiTheme="minorBidi"/>
        </w:rPr>
      </w:pPr>
      <w:r w:rsidRPr="00330C5D">
        <w:rPr>
          <w:rFonts w:asciiTheme="minorBidi" w:hAnsiTheme="minorBidi"/>
        </w:rPr>
        <w:t>Table S1: Antibodies</w:t>
      </w:r>
    </w:p>
    <w:tbl>
      <w:tblPr>
        <w:tblStyle w:val="TableGrid"/>
        <w:tblW w:w="0" w:type="auto"/>
        <w:tblLook w:val="04A0" w:firstRow="1" w:lastRow="0" w:firstColumn="1" w:lastColumn="0" w:noHBand="0" w:noVBand="1"/>
      </w:tblPr>
      <w:tblGrid>
        <w:gridCol w:w="3312"/>
        <w:gridCol w:w="2160"/>
        <w:gridCol w:w="2160"/>
      </w:tblGrid>
      <w:tr w:rsidR="00A654A0" w:rsidRPr="00330C5D" w14:paraId="1FC45A82" w14:textId="77777777" w:rsidTr="00E367BD">
        <w:tc>
          <w:tcPr>
            <w:tcW w:w="3312" w:type="dxa"/>
          </w:tcPr>
          <w:p w14:paraId="5C398D9F" w14:textId="77777777" w:rsidR="00A654A0" w:rsidRPr="00330C5D" w:rsidRDefault="00A654A0" w:rsidP="00330C5D">
            <w:pPr>
              <w:spacing w:line="360" w:lineRule="auto"/>
              <w:jc w:val="both"/>
              <w:rPr>
                <w:rFonts w:asciiTheme="minorBidi" w:hAnsiTheme="minorBidi"/>
                <w:color w:val="000000" w:themeColor="text1"/>
              </w:rPr>
            </w:pPr>
            <w:r w:rsidRPr="00330C5D">
              <w:rPr>
                <w:rFonts w:asciiTheme="minorBidi" w:hAnsiTheme="minorBidi"/>
                <w:b/>
                <w:color w:val="000000" w:themeColor="text1"/>
              </w:rPr>
              <w:t>Antibody</w:t>
            </w:r>
          </w:p>
        </w:tc>
        <w:tc>
          <w:tcPr>
            <w:tcW w:w="2160" w:type="dxa"/>
          </w:tcPr>
          <w:p w14:paraId="26FB0027" w14:textId="77777777" w:rsidR="00A654A0" w:rsidRPr="00330C5D" w:rsidRDefault="00A654A0" w:rsidP="00330C5D">
            <w:pPr>
              <w:spacing w:line="360" w:lineRule="auto"/>
              <w:jc w:val="both"/>
              <w:rPr>
                <w:rFonts w:asciiTheme="minorBidi" w:hAnsiTheme="minorBidi"/>
                <w:color w:val="000000" w:themeColor="text1"/>
              </w:rPr>
            </w:pPr>
            <w:r w:rsidRPr="00330C5D">
              <w:rPr>
                <w:rFonts w:asciiTheme="minorBidi" w:hAnsiTheme="minorBidi"/>
                <w:b/>
                <w:color w:val="000000" w:themeColor="text1"/>
              </w:rPr>
              <w:t>Manufacturer</w:t>
            </w:r>
          </w:p>
        </w:tc>
        <w:tc>
          <w:tcPr>
            <w:tcW w:w="2160" w:type="dxa"/>
          </w:tcPr>
          <w:p w14:paraId="0641A785" w14:textId="77777777" w:rsidR="00A654A0" w:rsidRPr="00330C5D" w:rsidRDefault="00A654A0" w:rsidP="00330C5D">
            <w:pPr>
              <w:spacing w:line="360" w:lineRule="auto"/>
              <w:jc w:val="both"/>
              <w:rPr>
                <w:rFonts w:asciiTheme="minorBidi" w:hAnsiTheme="minorBidi"/>
                <w:color w:val="000000" w:themeColor="text1"/>
              </w:rPr>
            </w:pPr>
            <w:r w:rsidRPr="00330C5D">
              <w:rPr>
                <w:rFonts w:asciiTheme="minorBidi" w:hAnsiTheme="minorBidi"/>
                <w:b/>
                <w:color w:val="000000" w:themeColor="text1"/>
              </w:rPr>
              <w:t>Catalog Number</w:t>
            </w:r>
          </w:p>
        </w:tc>
      </w:tr>
      <w:tr w:rsidR="00A654A0" w:rsidRPr="00330C5D" w14:paraId="4E56A1F4" w14:textId="77777777" w:rsidTr="00E367BD">
        <w:tc>
          <w:tcPr>
            <w:tcW w:w="3312" w:type="dxa"/>
          </w:tcPr>
          <w:p w14:paraId="4AD0E1C0" w14:textId="77777777" w:rsidR="00A654A0" w:rsidRPr="00330C5D" w:rsidRDefault="00A654A0" w:rsidP="00330C5D">
            <w:pPr>
              <w:spacing w:line="360" w:lineRule="auto"/>
              <w:jc w:val="both"/>
              <w:rPr>
                <w:rFonts w:asciiTheme="minorBidi" w:hAnsiTheme="minorBidi"/>
              </w:rPr>
            </w:pPr>
            <w:r w:rsidRPr="00330C5D">
              <w:rPr>
                <w:rFonts w:asciiTheme="minorBidi" w:hAnsiTheme="minorBidi"/>
              </w:rPr>
              <w:t>anti-JHDM1B</w:t>
            </w:r>
          </w:p>
        </w:tc>
        <w:tc>
          <w:tcPr>
            <w:tcW w:w="2160" w:type="dxa"/>
          </w:tcPr>
          <w:p w14:paraId="4A716940" w14:textId="77777777" w:rsidR="00A654A0" w:rsidRPr="00330C5D" w:rsidRDefault="00A654A0" w:rsidP="00330C5D">
            <w:pPr>
              <w:spacing w:line="360" w:lineRule="auto"/>
              <w:jc w:val="both"/>
              <w:rPr>
                <w:rFonts w:asciiTheme="minorBidi" w:hAnsiTheme="minorBidi"/>
              </w:rPr>
            </w:pPr>
            <w:r w:rsidRPr="00330C5D">
              <w:rPr>
                <w:rFonts w:asciiTheme="minorBidi" w:hAnsiTheme="minorBidi"/>
              </w:rPr>
              <w:t>Merck Millipore</w:t>
            </w:r>
          </w:p>
        </w:tc>
        <w:tc>
          <w:tcPr>
            <w:tcW w:w="2160" w:type="dxa"/>
          </w:tcPr>
          <w:p w14:paraId="7BDFA8AB" w14:textId="77777777" w:rsidR="00A654A0" w:rsidRPr="00330C5D" w:rsidRDefault="00A654A0" w:rsidP="00330C5D">
            <w:pPr>
              <w:spacing w:line="360" w:lineRule="auto"/>
              <w:jc w:val="both"/>
              <w:rPr>
                <w:rFonts w:asciiTheme="minorBidi" w:hAnsiTheme="minorBidi"/>
              </w:rPr>
            </w:pPr>
            <w:r w:rsidRPr="00330C5D">
              <w:rPr>
                <w:rFonts w:asciiTheme="minorBidi" w:hAnsiTheme="minorBidi"/>
              </w:rPr>
              <w:t>09-864</w:t>
            </w:r>
          </w:p>
        </w:tc>
      </w:tr>
      <w:tr w:rsidR="00A654A0" w:rsidRPr="00330C5D" w14:paraId="3B459D18" w14:textId="77777777" w:rsidTr="00E367BD">
        <w:tc>
          <w:tcPr>
            <w:tcW w:w="3312" w:type="dxa"/>
          </w:tcPr>
          <w:p w14:paraId="6C8FF4D1" w14:textId="77777777" w:rsidR="00A654A0" w:rsidRPr="00330C5D" w:rsidRDefault="00A654A0" w:rsidP="00330C5D">
            <w:pPr>
              <w:spacing w:line="360" w:lineRule="auto"/>
              <w:jc w:val="both"/>
              <w:rPr>
                <w:rFonts w:asciiTheme="minorBidi" w:hAnsiTheme="minorBidi"/>
              </w:rPr>
            </w:pPr>
            <w:r w:rsidRPr="00330C5D">
              <w:rPr>
                <w:rFonts w:asciiTheme="minorBidi" w:hAnsiTheme="minorBidi"/>
              </w:rPr>
              <w:lastRenderedPageBreak/>
              <w:t>Anti-actin</w:t>
            </w:r>
          </w:p>
        </w:tc>
        <w:tc>
          <w:tcPr>
            <w:tcW w:w="2160" w:type="dxa"/>
          </w:tcPr>
          <w:p w14:paraId="69AFD455" w14:textId="77777777" w:rsidR="00A654A0" w:rsidRPr="00330C5D" w:rsidRDefault="00A654A0" w:rsidP="00330C5D">
            <w:pPr>
              <w:spacing w:line="360" w:lineRule="auto"/>
              <w:jc w:val="both"/>
              <w:rPr>
                <w:rFonts w:asciiTheme="minorBidi" w:hAnsiTheme="minorBidi"/>
              </w:rPr>
            </w:pPr>
            <w:r w:rsidRPr="00330C5D">
              <w:rPr>
                <w:rFonts w:asciiTheme="minorBidi" w:hAnsiTheme="minorBidi"/>
              </w:rPr>
              <w:t>Santa Cruz</w:t>
            </w:r>
          </w:p>
        </w:tc>
        <w:tc>
          <w:tcPr>
            <w:tcW w:w="2160" w:type="dxa"/>
          </w:tcPr>
          <w:p w14:paraId="1971BBFD" w14:textId="77777777" w:rsidR="00A654A0" w:rsidRPr="00330C5D" w:rsidRDefault="00A654A0" w:rsidP="00330C5D">
            <w:pPr>
              <w:spacing w:line="360" w:lineRule="auto"/>
              <w:jc w:val="both"/>
              <w:rPr>
                <w:rFonts w:asciiTheme="minorBidi" w:hAnsiTheme="minorBidi"/>
              </w:rPr>
            </w:pPr>
            <w:r w:rsidRPr="00330C5D">
              <w:rPr>
                <w:rFonts w:asciiTheme="minorBidi" w:hAnsiTheme="minorBidi"/>
              </w:rPr>
              <w:t>sc-69879</w:t>
            </w:r>
          </w:p>
        </w:tc>
      </w:tr>
      <w:tr w:rsidR="00A654A0" w:rsidRPr="00330C5D" w14:paraId="4B935BE2" w14:textId="77777777" w:rsidTr="00E367BD">
        <w:tc>
          <w:tcPr>
            <w:tcW w:w="3312" w:type="dxa"/>
          </w:tcPr>
          <w:p w14:paraId="78A886CB" w14:textId="77777777" w:rsidR="00A654A0" w:rsidRPr="00330C5D" w:rsidRDefault="00A654A0" w:rsidP="00330C5D">
            <w:pPr>
              <w:spacing w:line="360" w:lineRule="auto"/>
              <w:jc w:val="both"/>
              <w:rPr>
                <w:rFonts w:asciiTheme="minorBidi" w:hAnsiTheme="minorBidi"/>
              </w:rPr>
            </w:pPr>
            <w:r w:rsidRPr="00330C5D">
              <w:rPr>
                <w:rFonts w:asciiTheme="minorBidi" w:hAnsiTheme="minorBidi"/>
              </w:rPr>
              <w:t>anti-HA</w:t>
            </w:r>
          </w:p>
        </w:tc>
        <w:tc>
          <w:tcPr>
            <w:tcW w:w="2160" w:type="dxa"/>
          </w:tcPr>
          <w:p w14:paraId="74481B38" w14:textId="77777777" w:rsidR="00A654A0" w:rsidRPr="00330C5D" w:rsidRDefault="00A654A0" w:rsidP="00330C5D">
            <w:pPr>
              <w:spacing w:line="360" w:lineRule="auto"/>
              <w:jc w:val="both"/>
              <w:rPr>
                <w:rFonts w:asciiTheme="minorBidi" w:hAnsiTheme="minorBidi"/>
              </w:rPr>
            </w:pPr>
            <w:r w:rsidRPr="00330C5D">
              <w:rPr>
                <w:rFonts w:asciiTheme="minorBidi" w:hAnsiTheme="minorBidi"/>
              </w:rPr>
              <w:t>Santa Cruz</w:t>
            </w:r>
          </w:p>
        </w:tc>
        <w:tc>
          <w:tcPr>
            <w:tcW w:w="2160" w:type="dxa"/>
          </w:tcPr>
          <w:p w14:paraId="0D492EC1" w14:textId="77777777" w:rsidR="00A654A0" w:rsidRPr="00330C5D" w:rsidRDefault="00A654A0" w:rsidP="00330C5D">
            <w:pPr>
              <w:spacing w:line="360" w:lineRule="auto"/>
              <w:jc w:val="both"/>
              <w:rPr>
                <w:rFonts w:asciiTheme="minorBidi" w:hAnsiTheme="minorBidi"/>
              </w:rPr>
            </w:pPr>
            <w:r w:rsidRPr="00330C5D">
              <w:rPr>
                <w:rFonts w:asciiTheme="minorBidi" w:hAnsiTheme="minorBidi"/>
              </w:rPr>
              <w:t>sc-7392</w:t>
            </w:r>
          </w:p>
        </w:tc>
      </w:tr>
      <w:tr w:rsidR="00A654A0" w:rsidRPr="00330C5D" w14:paraId="6E367AEA" w14:textId="77777777" w:rsidTr="00E367BD">
        <w:tc>
          <w:tcPr>
            <w:tcW w:w="3312" w:type="dxa"/>
          </w:tcPr>
          <w:p w14:paraId="6F38C8A9" w14:textId="77777777" w:rsidR="00A654A0" w:rsidRPr="00330C5D" w:rsidRDefault="00A654A0" w:rsidP="00330C5D">
            <w:pPr>
              <w:spacing w:line="360" w:lineRule="auto"/>
              <w:jc w:val="both"/>
              <w:rPr>
                <w:rFonts w:asciiTheme="minorBidi" w:hAnsiTheme="minorBidi"/>
              </w:rPr>
            </w:pPr>
            <w:r w:rsidRPr="00330C5D">
              <w:rPr>
                <w:rFonts w:asciiTheme="minorBidi" w:hAnsiTheme="minorBidi"/>
              </w:rPr>
              <w:t>anti-UBE2E3</w:t>
            </w:r>
          </w:p>
        </w:tc>
        <w:tc>
          <w:tcPr>
            <w:tcW w:w="2160" w:type="dxa"/>
          </w:tcPr>
          <w:p w14:paraId="7076FA3F" w14:textId="77777777" w:rsidR="00A654A0" w:rsidRPr="00330C5D" w:rsidRDefault="00A654A0" w:rsidP="00330C5D">
            <w:pPr>
              <w:spacing w:line="360" w:lineRule="auto"/>
              <w:jc w:val="both"/>
              <w:rPr>
                <w:rFonts w:asciiTheme="minorBidi" w:hAnsiTheme="minorBidi"/>
              </w:rPr>
            </w:pPr>
            <w:proofErr w:type="spellStart"/>
            <w:r w:rsidRPr="00330C5D">
              <w:rPr>
                <w:rFonts w:asciiTheme="minorBidi" w:hAnsiTheme="minorBidi"/>
              </w:rPr>
              <w:t>Proteintech</w:t>
            </w:r>
            <w:proofErr w:type="spellEnd"/>
          </w:p>
        </w:tc>
        <w:tc>
          <w:tcPr>
            <w:tcW w:w="2160" w:type="dxa"/>
          </w:tcPr>
          <w:p w14:paraId="1F6B30A9" w14:textId="77777777" w:rsidR="00A654A0" w:rsidRPr="00330C5D" w:rsidRDefault="00A654A0" w:rsidP="00330C5D">
            <w:pPr>
              <w:spacing w:line="360" w:lineRule="auto"/>
              <w:jc w:val="both"/>
              <w:rPr>
                <w:rFonts w:asciiTheme="minorBidi" w:hAnsiTheme="minorBidi"/>
              </w:rPr>
            </w:pPr>
            <w:r w:rsidRPr="00330C5D">
              <w:rPr>
                <w:rFonts w:asciiTheme="minorBidi" w:hAnsiTheme="minorBidi"/>
              </w:rPr>
              <w:t>15488-1-AP</w:t>
            </w:r>
          </w:p>
        </w:tc>
      </w:tr>
      <w:tr w:rsidR="00A654A0" w:rsidRPr="00330C5D" w14:paraId="1DEC81AF" w14:textId="77777777" w:rsidTr="00E367BD">
        <w:tc>
          <w:tcPr>
            <w:tcW w:w="3312" w:type="dxa"/>
          </w:tcPr>
          <w:p w14:paraId="3B1653B3" w14:textId="77777777" w:rsidR="00A654A0" w:rsidRPr="00330C5D" w:rsidRDefault="00A654A0" w:rsidP="00330C5D">
            <w:pPr>
              <w:spacing w:line="360" w:lineRule="auto"/>
              <w:jc w:val="both"/>
              <w:rPr>
                <w:rFonts w:asciiTheme="minorBidi" w:hAnsiTheme="minorBidi"/>
              </w:rPr>
            </w:pPr>
            <w:r w:rsidRPr="00330C5D">
              <w:rPr>
                <w:rFonts w:asciiTheme="minorBidi" w:hAnsiTheme="minorBidi"/>
              </w:rPr>
              <w:t>anti-BCOR</w:t>
            </w:r>
          </w:p>
        </w:tc>
        <w:tc>
          <w:tcPr>
            <w:tcW w:w="2160" w:type="dxa"/>
          </w:tcPr>
          <w:p w14:paraId="6295DB0F" w14:textId="77777777" w:rsidR="00A654A0" w:rsidRPr="00330C5D" w:rsidRDefault="00A654A0" w:rsidP="00330C5D">
            <w:pPr>
              <w:spacing w:line="360" w:lineRule="auto"/>
              <w:jc w:val="both"/>
              <w:rPr>
                <w:rFonts w:asciiTheme="minorBidi" w:hAnsiTheme="minorBidi"/>
              </w:rPr>
            </w:pPr>
            <w:r w:rsidRPr="00330C5D">
              <w:rPr>
                <w:rFonts w:asciiTheme="minorBidi" w:hAnsiTheme="minorBidi"/>
              </w:rPr>
              <w:t>Cell Signaling</w:t>
            </w:r>
          </w:p>
        </w:tc>
        <w:tc>
          <w:tcPr>
            <w:tcW w:w="2160" w:type="dxa"/>
          </w:tcPr>
          <w:p w14:paraId="2A01B0E8" w14:textId="77777777" w:rsidR="00A654A0" w:rsidRPr="00330C5D" w:rsidRDefault="00A654A0" w:rsidP="00330C5D">
            <w:pPr>
              <w:spacing w:line="360" w:lineRule="auto"/>
              <w:jc w:val="both"/>
              <w:rPr>
                <w:rFonts w:asciiTheme="minorBidi" w:hAnsiTheme="minorBidi"/>
              </w:rPr>
            </w:pPr>
            <w:r w:rsidRPr="00330C5D">
              <w:rPr>
                <w:rFonts w:asciiTheme="minorBidi" w:hAnsiTheme="minorBidi"/>
              </w:rPr>
              <w:t>E6V3R</w:t>
            </w:r>
          </w:p>
        </w:tc>
      </w:tr>
      <w:tr w:rsidR="00A654A0" w:rsidRPr="00330C5D" w14:paraId="2AB727C1" w14:textId="77777777" w:rsidTr="00E367BD">
        <w:tc>
          <w:tcPr>
            <w:tcW w:w="3312" w:type="dxa"/>
          </w:tcPr>
          <w:p w14:paraId="1537E268" w14:textId="77777777" w:rsidR="00A654A0" w:rsidRPr="00330C5D" w:rsidRDefault="00A654A0" w:rsidP="00330C5D">
            <w:pPr>
              <w:spacing w:line="360" w:lineRule="auto"/>
              <w:jc w:val="both"/>
              <w:rPr>
                <w:rFonts w:asciiTheme="minorBidi" w:hAnsiTheme="minorBidi"/>
              </w:rPr>
            </w:pPr>
            <w:r w:rsidRPr="00330C5D">
              <w:rPr>
                <w:rFonts w:asciiTheme="minorBidi" w:hAnsiTheme="minorBidi"/>
              </w:rPr>
              <w:t>anti-Vimentin</w:t>
            </w:r>
          </w:p>
        </w:tc>
        <w:tc>
          <w:tcPr>
            <w:tcW w:w="2160" w:type="dxa"/>
          </w:tcPr>
          <w:p w14:paraId="1BF55C5E" w14:textId="77777777" w:rsidR="00A654A0" w:rsidRPr="00330C5D" w:rsidRDefault="00A654A0" w:rsidP="00330C5D">
            <w:pPr>
              <w:spacing w:line="360" w:lineRule="auto"/>
              <w:jc w:val="both"/>
              <w:rPr>
                <w:rFonts w:asciiTheme="minorBidi" w:hAnsiTheme="minorBidi"/>
              </w:rPr>
            </w:pPr>
            <w:r w:rsidRPr="00330C5D">
              <w:rPr>
                <w:rFonts w:asciiTheme="minorBidi" w:hAnsiTheme="minorBidi"/>
              </w:rPr>
              <w:t>Abcam</w:t>
            </w:r>
          </w:p>
        </w:tc>
        <w:tc>
          <w:tcPr>
            <w:tcW w:w="2160" w:type="dxa"/>
          </w:tcPr>
          <w:p w14:paraId="2EE5388C" w14:textId="77777777" w:rsidR="00A654A0" w:rsidRPr="00330C5D" w:rsidRDefault="00A654A0" w:rsidP="00330C5D">
            <w:pPr>
              <w:spacing w:line="360" w:lineRule="auto"/>
              <w:jc w:val="both"/>
              <w:rPr>
                <w:rFonts w:asciiTheme="minorBidi" w:hAnsiTheme="minorBidi"/>
              </w:rPr>
            </w:pPr>
            <w:r w:rsidRPr="00330C5D">
              <w:rPr>
                <w:rFonts w:asciiTheme="minorBidi" w:hAnsiTheme="minorBidi"/>
              </w:rPr>
              <w:t>ab8978</w:t>
            </w:r>
          </w:p>
        </w:tc>
      </w:tr>
      <w:tr w:rsidR="00A654A0" w:rsidRPr="00330C5D" w14:paraId="35444B7B" w14:textId="77777777" w:rsidTr="00E367BD">
        <w:tc>
          <w:tcPr>
            <w:tcW w:w="3312" w:type="dxa"/>
          </w:tcPr>
          <w:p w14:paraId="4F7CE93C" w14:textId="77777777" w:rsidR="00A654A0" w:rsidRPr="00330C5D" w:rsidRDefault="00A654A0" w:rsidP="00330C5D">
            <w:pPr>
              <w:spacing w:line="360" w:lineRule="auto"/>
              <w:jc w:val="both"/>
              <w:rPr>
                <w:rFonts w:asciiTheme="minorBidi" w:hAnsiTheme="minorBidi"/>
              </w:rPr>
            </w:pPr>
            <w:r w:rsidRPr="00330C5D">
              <w:rPr>
                <w:rFonts w:asciiTheme="minorBidi" w:hAnsiTheme="minorBidi"/>
              </w:rPr>
              <w:t>anti-Normal IgG Rabbit</w:t>
            </w:r>
          </w:p>
        </w:tc>
        <w:tc>
          <w:tcPr>
            <w:tcW w:w="2160" w:type="dxa"/>
          </w:tcPr>
          <w:p w14:paraId="060C7FA3" w14:textId="77777777" w:rsidR="00A654A0" w:rsidRPr="00330C5D" w:rsidRDefault="00A654A0" w:rsidP="00330C5D">
            <w:pPr>
              <w:spacing w:line="360" w:lineRule="auto"/>
              <w:jc w:val="both"/>
              <w:rPr>
                <w:rFonts w:asciiTheme="minorBidi" w:hAnsiTheme="minorBidi"/>
              </w:rPr>
            </w:pPr>
            <w:r w:rsidRPr="00330C5D">
              <w:rPr>
                <w:rFonts w:asciiTheme="minorBidi" w:hAnsiTheme="minorBidi"/>
              </w:rPr>
              <w:t>Cell Signaling</w:t>
            </w:r>
          </w:p>
        </w:tc>
        <w:tc>
          <w:tcPr>
            <w:tcW w:w="2160" w:type="dxa"/>
          </w:tcPr>
          <w:p w14:paraId="288945B7" w14:textId="77777777" w:rsidR="00A654A0" w:rsidRPr="00330C5D" w:rsidRDefault="00A654A0" w:rsidP="00330C5D">
            <w:pPr>
              <w:spacing w:line="360" w:lineRule="auto"/>
              <w:jc w:val="both"/>
              <w:rPr>
                <w:rFonts w:asciiTheme="minorBidi" w:hAnsiTheme="minorBidi"/>
              </w:rPr>
            </w:pPr>
            <w:r w:rsidRPr="00330C5D">
              <w:rPr>
                <w:rFonts w:asciiTheme="minorBidi" w:hAnsiTheme="minorBidi"/>
              </w:rPr>
              <w:t>#2729</w:t>
            </w:r>
          </w:p>
        </w:tc>
      </w:tr>
      <w:tr w:rsidR="00A654A0" w:rsidRPr="00330C5D" w14:paraId="483CAA57" w14:textId="77777777" w:rsidTr="00E367BD">
        <w:tc>
          <w:tcPr>
            <w:tcW w:w="3312" w:type="dxa"/>
          </w:tcPr>
          <w:p w14:paraId="18108AE6" w14:textId="77777777" w:rsidR="00A654A0" w:rsidRPr="00330C5D" w:rsidRDefault="00A654A0" w:rsidP="00330C5D">
            <w:pPr>
              <w:spacing w:line="360" w:lineRule="auto"/>
              <w:jc w:val="both"/>
              <w:rPr>
                <w:rFonts w:asciiTheme="minorBidi" w:hAnsiTheme="minorBidi"/>
              </w:rPr>
            </w:pPr>
            <w:r w:rsidRPr="00330C5D">
              <w:rPr>
                <w:rFonts w:asciiTheme="minorBidi" w:hAnsiTheme="minorBidi"/>
              </w:rPr>
              <w:t>anti-Normal IgG Mouse</w:t>
            </w:r>
          </w:p>
        </w:tc>
        <w:tc>
          <w:tcPr>
            <w:tcW w:w="2160" w:type="dxa"/>
          </w:tcPr>
          <w:p w14:paraId="4DAD4B88" w14:textId="77777777" w:rsidR="00A654A0" w:rsidRPr="00330C5D" w:rsidRDefault="00A654A0" w:rsidP="00330C5D">
            <w:pPr>
              <w:spacing w:line="360" w:lineRule="auto"/>
              <w:jc w:val="both"/>
              <w:rPr>
                <w:rFonts w:asciiTheme="minorBidi" w:hAnsiTheme="minorBidi"/>
              </w:rPr>
            </w:pPr>
            <w:r w:rsidRPr="00330C5D">
              <w:rPr>
                <w:rFonts w:asciiTheme="minorBidi" w:hAnsiTheme="minorBidi"/>
              </w:rPr>
              <w:t>Cell Signaling</w:t>
            </w:r>
          </w:p>
        </w:tc>
        <w:tc>
          <w:tcPr>
            <w:tcW w:w="2160" w:type="dxa"/>
          </w:tcPr>
          <w:p w14:paraId="0C37802B" w14:textId="77777777" w:rsidR="00A654A0" w:rsidRPr="00330C5D" w:rsidRDefault="00A654A0" w:rsidP="00330C5D">
            <w:pPr>
              <w:spacing w:line="360" w:lineRule="auto"/>
              <w:jc w:val="both"/>
              <w:rPr>
                <w:rFonts w:asciiTheme="minorBidi" w:hAnsiTheme="minorBidi"/>
              </w:rPr>
            </w:pPr>
            <w:r w:rsidRPr="00330C5D">
              <w:rPr>
                <w:rFonts w:asciiTheme="minorBidi" w:hAnsiTheme="minorBidi"/>
              </w:rPr>
              <w:t>#5415</w:t>
            </w:r>
          </w:p>
        </w:tc>
      </w:tr>
      <w:tr w:rsidR="00A654A0" w:rsidRPr="00330C5D" w14:paraId="57DF0AF0" w14:textId="77777777" w:rsidTr="00E367BD">
        <w:tc>
          <w:tcPr>
            <w:tcW w:w="3312" w:type="dxa"/>
          </w:tcPr>
          <w:p w14:paraId="5A5FB8B3" w14:textId="77777777" w:rsidR="00A654A0" w:rsidRPr="00330C5D" w:rsidRDefault="00A654A0" w:rsidP="00330C5D">
            <w:pPr>
              <w:spacing w:line="360" w:lineRule="auto"/>
              <w:jc w:val="both"/>
              <w:rPr>
                <w:rFonts w:asciiTheme="minorBidi" w:hAnsiTheme="minorBidi"/>
              </w:rPr>
            </w:pPr>
            <w:r w:rsidRPr="00330C5D">
              <w:rPr>
                <w:rFonts w:asciiTheme="minorBidi" w:hAnsiTheme="minorBidi"/>
              </w:rPr>
              <w:t>anti-RING1B</w:t>
            </w:r>
          </w:p>
        </w:tc>
        <w:tc>
          <w:tcPr>
            <w:tcW w:w="2160" w:type="dxa"/>
          </w:tcPr>
          <w:p w14:paraId="253D96DA" w14:textId="77777777" w:rsidR="00A654A0" w:rsidRPr="00330C5D" w:rsidRDefault="00A654A0" w:rsidP="00330C5D">
            <w:pPr>
              <w:spacing w:line="360" w:lineRule="auto"/>
              <w:jc w:val="both"/>
              <w:rPr>
                <w:rFonts w:asciiTheme="minorBidi" w:hAnsiTheme="minorBidi"/>
              </w:rPr>
            </w:pPr>
            <w:r w:rsidRPr="00330C5D">
              <w:rPr>
                <w:rFonts w:asciiTheme="minorBidi" w:hAnsiTheme="minorBidi"/>
              </w:rPr>
              <w:t>Cell Signaling</w:t>
            </w:r>
          </w:p>
        </w:tc>
        <w:tc>
          <w:tcPr>
            <w:tcW w:w="2160" w:type="dxa"/>
          </w:tcPr>
          <w:p w14:paraId="46D0EB48" w14:textId="77777777" w:rsidR="00A654A0" w:rsidRPr="00330C5D" w:rsidRDefault="00A654A0" w:rsidP="00330C5D">
            <w:pPr>
              <w:spacing w:line="360" w:lineRule="auto"/>
              <w:jc w:val="both"/>
              <w:rPr>
                <w:rFonts w:asciiTheme="minorBidi" w:hAnsiTheme="minorBidi"/>
              </w:rPr>
            </w:pPr>
            <w:r w:rsidRPr="00330C5D">
              <w:rPr>
                <w:rFonts w:asciiTheme="minorBidi" w:hAnsiTheme="minorBidi"/>
              </w:rPr>
              <w:t>#5694</w:t>
            </w:r>
          </w:p>
        </w:tc>
      </w:tr>
      <w:tr w:rsidR="00A654A0" w:rsidRPr="00330C5D" w14:paraId="1D9386FF" w14:textId="77777777" w:rsidTr="00E367BD">
        <w:tc>
          <w:tcPr>
            <w:tcW w:w="3312" w:type="dxa"/>
          </w:tcPr>
          <w:p w14:paraId="22B3749A" w14:textId="77777777" w:rsidR="00A654A0" w:rsidRPr="00330C5D" w:rsidRDefault="00A654A0" w:rsidP="00330C5D">
            <w:pPr>
              <w:spacing w:line="360" w:lineRule="auto"/>
              <w:jc w:val="both"/>
              <w:rPr>
                <w:rFonts w:asciiTheme="minorBidi" w:hAnsiTheme="minorBidi"/>
              </w:rPr>
            </w:pPr>
            <w:r w:rsidRPr="00330C5D">
              <w:rPr>
                <w:rFonts w:asciiTheme="minorBidi" w:hAnsiTheme="minorBidi"/>
              </w:rPr>
              <w:t>anti-RING1A</w:t>
            </w:r>
          </w:p>
        </w:tc>
        <w:tc>
          <w:tcPr>
            <w:tcW w:w="2160" w:type="dxa"/>
          </w:tcPr>
          <w:p w14:paraId="598D027F" w14:textId="77777777" w:rsidR="00A654A0" w:rsidRPr="00330C5D" w:rsidRDefault="00A654A0" w:rsidP="00330C5D">
            <w:pPr>
              <w:spacing w:line="360" w:lineRule="auto"/>
              <w:jc w:val="both"/>
              <w:rPr>
                <w:rFonts w:asciiTheme="minorBidi" w:hAnsiTheme="minorBidi"/>
              </w:rPr>
            </w:pPr>
            <w:r w:rsidRPr="00330C5D">
              <w:rPr>
                <w:rFonts w:asciiTheme="minorBidi" w:hAnsiTheme="minorBidi"/>
              </w:rPr>
              <w:t>Cell Signaling</w:t>
            </w:r>
          </w:p>
        </w:tc>
        <w:tc>
          <w:tcPr>
            <w:tcW w:w="2160" w:type="dxa"/>
          </w:tcPr>
          <w:p w14:paraId="11A5B814" w14:textId="77777777" w:rsidR="00A654A0" w:rsidRPr="00330C5D" w:rsidRDefault="00A654A0" w:rsidP="00330C5D">
            <w:pPr>
              <w:spacing w:line="360" w:lineRule="auto"/>
              <w:jc w:val="both"/>
              <w:rPr>
                <w:rFonts w:asciiTheme="minorBidi" w:hAnsiTheme="minorBidi"/>
              </w:rPr>
            </w:pPr>
            <w:r w:rsidRPr="00330C5D">
              <w:rPr>
                <w:rFonts w:asciiTheme="minorBidi" w:hAnsiTheme="minorBidi"/>
              </w:rPr>
              <w:t>#13069</w:t>
            </w:r>
          </w:p>
        </w:tc>
      </w:tr>
      <w:tr w:rsidR="00201B68" w:rsidRPr="00330C5D" w14:paraId="014D37AA" w14:textId="77777777" w:rsidTr="00E367BD">
        <w:tc>
          <w:tcPr>
            <w:tcW w:w="3312" w:type="dxa"/>
          </w:tcPr>
          <w:p w14:paraId="284133EC" w14:textId="1A8A679A" w:rsidR="00201B68" w:rsidRPr="00330C5D" w:rsidRDefault="00201B68" w:rsidP="00330C5D">
            <w:pPr>
              <w:spacing w:line="360" w:lineRule="auto"/>
              <w:jc w:val="both"/>
              <w:rPr>
                <w:rFonts w:asciiTheme="minorBidi" w:hAnsiTheme="minorBidi"/>
              </w:rPr>
            </w:pPr>
            <w:r>
              <w:rPr>
                <w:rFonts w:asciiTheme="minorBidi" w:hAnsiTheme="minorBidi"/>
              </w:rPr>
              <w:t>anti-PCGF1</w:t>
            </w:r>
          </w:p>
        </w:tc>
        <w:tc>
          <w:tcPr>
            <w:tcW w:w="2160" w:type="dxa"/>
          </w:tcPr>
          <w:p w14:paraId="6871B1FC" w14:textId="3F933C45" w:rsidR="00201B68" w:rsidRPr="00330C5D" w:rsidRDefault="00201B68" w:rsidP="00330C5D">
            <w:pPr>
              <w:spacing w:line="360" w:lineRule="auto"/>
              <w:jc w:val="both"/>
              <w:rPr>
                <w:rFonts w:asciiTheme="minorBidi" w:hAnsiTheme="minorBidi"/>
              </w:rPr>
            </w:pPr>
            <w:proofErr w:type="spellStart"/>
            <w:r>
              <w:rPr>
                <w:rFonts w:asciiTheme="minorBidi" w:hAnsiTheme="minorBidi"/>
              </w:rPr>
              <w:t>Proteintech</w:t>
            </w:r>
            <w:proofErr w:type="spellEnd"/>
          </w:p>
        </w:tc>
        <w:tc>
          <w:tcPr>
            <w:tcW w:w="2160" w:type="dxa"/>
          </w:tcPr>
          <w:p w14:paraId="6CC5F4CC" w14:textId="20869538" w:rsidR="00201B68" w:rsidRPr="00330C5D" w:rsidRDefault="00201B68" w:rsidP="00330C5D">
            <w:pPr>
              <w:spacing w:line="360" w:lineRule="auto"/>
              <w:jc w:val="both"/>
              <w:rPr>
                <w:rFonts w:asciiTheme="minorBidi" w:hAnsiTheme="minorBidi"/>
              </w:rPr>
            </w:pPr>
            <w:r>
              <w:rPr>
                <w:rFonts w:asciiTheme="minorBidi" w:hAnsiTheme="minorBidi"/>
              </w:rPr>
              <w:t>15581-1-AP</w:t>
            </w:r>
          </w:p>
        </w:tc>
      </w:tr>
      <w:tr w:rsidR="00201B68" w:rsidRPr="00330C5D" w14:paraId="33CB92D3" w14:textId="77777777" w:rsidTr="00E367BD">
        <w:tc>
          <w:tcPr>
            <w:tcW w:w="3312" w:type="dxa"/>
          </w:tcPr>
          <w:p w14:paraId="2F8C8701" w14:textId="6370551E" w:rsidR="00201B68" w:rsidRPr="00330C5D" w:rsidRDefault="00201B68" w:rsidP="00330C5D">
            <w:pPr>
              <w:spacing w:line="360" w:lineRule="auto"/>
              <w:jc w:val="both"/>
              <w:rPr>
                <w:rFonts w:asciiTheme="minorBidi" w:hAnsiTheme="minorBidi"/>
              </w:rPr>
            </w:pPr>
            <w:r>
              <w:rPr>
                <w:rFonts w:asciiTheme="minorBidi" w:hAnsiTheme="minorBidi"/>
              </w:rPr>
              <w:t>anti-PCGF6</w:t>
            </w:r>
          </w:p>
        </w:tc>
        <w:tc>
          <w:tcPr>
            <w:tcW w:w="2160" w:type="dxa"/>
          </w:tcPr>
          <w:p w14:paraId="3D240702" w14:textId="471AE142" w:rsidR="00201B68" w:rsidRPr="00330C5D" w:rsidRDefault="00201B68" w:rsidP="00330C5D">
            <w:pPr>
              <w:spacing w:line="360" w:lineRule="auto"/>
              <w:jc w:val="both"/>
              <w:rPr>
                <w:rFonts w:asciiTheme="minorBidi" w:hAnsiTheme="minorBidi"/>
              </w:rPr>
            </w:pPr>
            <w:proofErr w:type="spellStart"/>
            <w:r>
              <w:rPr>
                <w:rFonts w:asciiTheme="minorBidi" w:hAnsiTheme="minorBidi"/>
              </w:rPr>
              <w:t>Proteintech</w:t>
            </w:r>
            <w:proofErr w:type="spellEnd"/>
          </w:p>
        </w:tc>
        <w:tc>
          <w:tcPr>
            <w:tcW w:w="2160" w:type="dxa"/>
          </w:tcPr>
          <w:p w14:paraId="2A2DA2CE" w14:textId="569F5B64" w:rsidR="00201B68" w:rsidRPr="00330C5D" w:rsidRDefault="00201B68" w:rsidP="00330C5D">
            <w:pPr>
              <w:spacing w:line="360" w:lineRule="auto"/>
              <w:jc w:val="both"/>
              <w:rPr>
                <w:rFonts w:asciiTheme="minorBidi" w:hAnsiTheme="minorBidi"/>
              </w:rPr>
            </w:pPr>
            <w:r>
              <w:rPr>
                <w:rFonts w:asciiTheme="minorBidi" w:hAnsiTheme="minorBidi"/>
              </w:rPr>
              <w:t>24103-1-AP</w:t>
            </w:r>
          </w:p>
        </w:tc>
      </w:tr>
      <w:tr w:rsidR="00A654A0" w:rsidRPr="00330C5D" w14:paraId="5DF0F55D" w14:textId="77777777" w:rsidTr="00E367BD">
        <w:tc>
          <w:tcPr>
            <w:tcW w:w="3312" w:type="dxa"/>
          </w:tcPr>
          <w:p w14:paraId="3FAEB329" w14:textId="77777777" w:rsidR="00A654A0" w:rsidRPr="00330C5D" w:rsidRDefault="00A654A0" w:rsidP="00330C5D">
            <w:pPr>
              <w:spacing w:line="360" w:lineRule="auto"/>
              <w:jc w:val="both"/>
              <w:rPr>
                <w:rFonts w:asciiTheme="minorBidi" w:hAnsiTheme="minorBidi"/>
              </w:rPr>
            </w:pPr>
            <w:r w:rsidRPr="00330C5D">
              <w:rPr>
                <w:rFonts w:asciiTheme="minorBidi" w:hAnsiTheme="minorBidi"/>
              </w:rPr>
              <w:t>anti-HA</w:t>
            </w:r>
          </w:p>
        </w:tc>
        <w:tc>
          <w:tcPr>
            <w:tcW w:w="2160" w:type="dxa"/>
          </w:tcPr>
          <w:p w14:paraId="2C1C1386" w14:textId="77777777" w:rsidR="00A654A0" w:rsidRPr="00330C5D" w:rsidRDefault="00A654A0" w:rsidP="00330C5D">
            <w:pPr>
              <w:spacing w:line="360" w:lineRule="auto"/>
              <w:jc w:val="both"/>
              <w:rPr>
                <w:rFonts w:asciiTheme="minorBidi" w:hAnsiTheme="minorBidi"/>
              </w:rPr>
            </w:pPr>
            <w:r w:rsidRPr="00330C5D">
              <w:rPr>
                <w:rFonts w:asciiTheme="minorBidi" w:hAnsiTheme="minorBidi"/>
              </w:rPr>
              <w:t>Cell Signaling</w:t>
            </w:r>
          </w:p>
        </w:tc>
        <w:tc>
          <w:tcPr>
            <w:tcW w:w="2160" w:type="dxa"/>
          </w:tcPr>
          <w:p w14:paraId="4C25B72C" w14:textId="77777777" w:rsidR="00A654A0" w:rsidRPr="00330C5D" w:rsidRDefault="00A654A0" w:rsidP="00330C5D">
            <w:pPr>
              <w:spacing w:line="360" w:lineRule="auto"/>
              <w:jc w:val="both"/>
              <w:rPr>
                <w:rFonts w:asciiTheme="minorBidi" w:hAnsiTheme="minorBidi"/>
              </w:rPr>
            </w:pPr>
            <w:r w:rsidRPr="00330C5D">
              <w:rPr>
                <w:rFonts w:asciiTheme="minorBidi" w:hAnsiTheme="minorBidi"/>
              </w:rPr>
              <w:t>#3724</w:t>
            </w:r>
          </w:p>
        </w:tc>
      </w:tr>
      <w:tr w:rsidR="00453E7F" w:rsidRPr="00330C5D" w14:paraId="00CE81E4" w14:textId="77777777" w:rsidTr="00E367BD">
        <w:tc>
          <w:tcPr>
            <w:tcW w:w="3312" w:type="dxa"/>
          </w:tcPr>
          <w:p w14:paraId="0001DD96" w14:textId="77777777" w:rsidR="00453E7F" w:rsidRPr="00330C5D" w:rsidRDefault="00453E7F" w:rsidP="00330C5D">
            <w:pPr>
              <w:spacing w:line="360" w:lineRule="auto"/>
              <w:jc w:val="both"/>
              <w:rPr>
                <w:rFonts w:asciiTheme="minorBidi" w:hAnsiTheme="minorBidi"/>
              </w:rPr>
            </w:pPr>
            <w:r w:rsidRPr="00330C5D">
              <w:rPr>
                <w:rFonts w:asciiTheme="minorBidi" w:hAnsiTheme="minorBidi"/>
              </w:rPr>
              <w:t>Anti-H3</w:t>
            </w:r>
          </w:p>
        </w:tc>
        <w:tc>
          <w:tcPr>
            <w:tcW w:w="2160" w:type="dxa"/>
          </w:tcPr>
          <w:p w14:paraId="629E6D13" w14:textId="77777777" w:rsidR="00453E7F" w:rsidRPr="00330C5D" w:rsidRDefault="00453E7F" w:rsidP="00330C5D">
            <w:pPr>
              <w:spacing w:line="360" w:lineRule="auto"/>
              <w:jc w:val="both"/>
              <w:rPr>
                <w:rFonts w:asciiTheme="minorBidi" w:hAnsiTheme="minorBidi"/>
              </w:rPr>
            </w:pPr>
            <w:r w:rsidRPr="00330C5D">
              <w:rPr>
                <w:rFonts w:asciiTheme="minorBidi" w:hAnsiTheme="minorBidi"/>
              </w:rPr>
              <w:t>Cell Signaling</w:t>
            </w:r>
          </w:p>
        </w:tc>
        <w:tc>
          <w:tcPr>
            <w:tcW w:w="2160" w:type="dxa"/>
          </w:tcPr>
          <w:p w14:paraId="72CB6AD6" w14:textId="77777777" w:rsidR="00453E7F" w:rsidRPr="00330C5D" w:rsidRDefault="00453E7F" w:rsidP="00330C5D">
            <w:pPr>
              <w:spacing w:line="360" w:lineRule="auto"/>
              <w:jc w:val="both"/>
              <w:rPr>
                <w:rFonts w:asciiTheme="minorBidi" w:hAnsiTheme="minorBidi"/>
              </w:rPr>
            </w:pPr>
            <w:r w:rsidRPr="00330C5D">
              <w:rPr>
                <w:rFonts w:asciiTheme="minorBidi" w:hAnsiTheme="minorBidi"/>
              </w:rPr>
              <w:t>#4499</w:t>
            </w:r>
          </w:p>
        </w:tc>
      </w:tr>
      <w:tr w:rsidR="00A654A0" w:rsidRPr="00330C5D" w14:paraId="520FF186" w14:textId="77777777" w:rsidTr="00E367BD">
        <w:tc>
          <w:tcPr>
            <w:tcW w:w="3312" w:type="dxa"/>
          </w:tcPr>
          <w:p w14:paraId="0D59BBC2" w14:textId="77777777" w:rsidR="00A654A0" w:rsidRPr="00330C5D" w:rsidRDefault="00A654A0" w:rsidP="00330C5D">
            <w:pPr>
              <w:spacing w:line="360" w:lineRule="auto"/>
              <w:jc w:val="both"/>
              <w:rPr>
                <w:rFonts w:asciiTheme="minorBidi" w:hAnsiTheme="minorBidi"/>
              </w:rPr>
            </w:pPr>
            <w:r w:rsidRPr="00330C5D">
              <w:rPr>
                <w:rFonts w:asciiTheme="minorBidi" w:hAnsiTheme="minorBidi"/>
              </w:rPr>
              <w:t>anti-UBE2E3</w:t>
            </w:r>
          </w:p>
        </w:tc>
        <w:tc>
          <w:tcPr>
            <w:tcW w:w="2160" w:type="dxa"/>
          </w:tcPr>
          <w:p w14:paraId="4684B03C" w14:textId="77777777" w:rsidR="00A654A0" w:rsidRPr="00330C5D" w:rsidRDefault="00A654A0" w:rsidP="00330C5D">
            <w:pPr>
              <w:spacing w:line="360" w:lineRule="auto"/>
              <w:jc w:val="both"/>
              <w:rPr>
                <w:rFonts w:asciiTheme="minorBidi" w:hAnsiTheme="minorBidi"/>
              </w:rPr>
            </w:pPr>
            <w:r w:rsidRPr="00330C5D">
              <w:rPr>
                <w:rFonts w:asciiTheme="minorBidi" w:hAnsiTheme="minorBidi"/>
              </w:rPr>
              <w:t>Abcam</w:t>
            </w:r>
          </w:p>
        </w:tc>
        <w:tc>
          <w:tcPr>
            <w:tcW w:w="2160" w:type="dxa"/>
          </w:tcPr>
          <w:p w14:paraId="6B69B9F6" w14:textId="77777777" w:rsidR="00A654A0" w:rsidRPr="00330C5D" w:rsidRDefault="00A654A0" w:rsidP="00330C5D">
            <w:pPr>
              <w:spacing w:line="360" w:lineRule="auto"/>
              <w:jc w:val="both"/>
              <w:rPr>
                <w:rFonts w:asciiTheme="minorBidi" w:hAnsiTheme="minorBidi"/>
              </w:rPr>
            </w:pPr>
            <w:r w:rsidRPr="00330C5D">
              <w:rPr>
                <w:rFonts w:asciiTheme="minorBidi" w:hAnsiTheme="minorBidi"/>
              </w:rPr>
              <w:t>ab128098</w:t>
            </w:r>
          </w:p>
        </w:tc>
      </w:tr>
      <w:tr w:rsidR="0085005F" w:rsidRPr="00330C5D" w14:paraId="2F3122E9" w14:textId="77777777" w:rsidTr="00E367BD">
        <w:tc>
          <w:tcPr>
            <w:tcW w:w="3312" w:type="dxa"/>
          </w:tcPr>
          <w:p w14:paraId="5734693B" w14:textId="7031EE83" w:rsidR="0085005F" w:rsidRPr="00330C5D" w:rsidRDefault="0085005F" w:rsidP="00330C5D">
            <w:pPr>
              <w:spacing w:line="360" w:lineRule="auto"/>
              <w:jc w:val="both"/>
              <w:rPr>
                <w:rFonts w:asciiTheme="minorBidi" w:hAnsiTheme="minorBidi"/>
              </w:rPr>
            </w:pPr>
            <w:r>
              <w:rPr>
                <w:rFonts w:asciiTheme="minorBidi" w:hAnsiTheme="minorBidi"/>
              </w:rPr>
              <w:t>anti-IPO11</w:t>
            </w:r>
          </w:p>
        </w:tc>
        <w:tc>
          <w:tcPr>
            <w:tcW w:w="2160" w:type="dxa"/>
          </w:tcPr>
          <w:p w14:paraId="10B5D00F" w14:textId="1BD579D5" w:rsidR="0085005F" w:rsidRPr="00330C5D" w:rsidRDefault="00B52CD0" w:rsidP="00330C5D">
            <w:pPr>
              <w:spacing w:line="360" w:lineRule="auto"/>
              <w:jc w:val="both"/>
              <w:rPr>
                <w:rFonts w:asciiTheme="minorBidi" w:hAnsiTheme="minorBidi"/>
              </w:rPr>
            </w:pPr>
            <w:proofErr w:type="spellStart"/>
            <w:r w:rsidRPr="004764C5">
              <w:rPr>
                <w:rFonts w:ascii="Arial" w:hAnsi="Arial" w:cs="Arial"/>
                <w:color w:val="000000" w:themeColor="text1"/>
              </w:rPr>
              <w:t>OriGene</w:t>
            </w:r>
            <w:proofErr w:type="spellEnd"/>
            <w:r w:rsidRPr="004764C5">
              <w:rPr>
                <w:rFonts w:ascii="Arial" w:hAnsi="Arial" w:cs="Arial"/>
                <w:color w:val="000000" w:themeColor="text1"/>
              </w:rPr>
              <w:t xml:space="preserve"> </w:t>
            </w:r>
          </w:p>
        </w:tc>
        <w:tc>
          <w:tcPr>
            <w:tcW w:w="2160" w:type="dxa"/>
          </w:tcPr>
          <w:p w14:paraId="29FB77D6" w14:textId="00104F19" w:rsidR="0085005F" w:rsidRPr="00330C5D" w:rsidRDefault="00B52CD0" w:rsidP="00330C5D">
            <w:pPr>
              <w:spacing w:line="360" w:lineRule="auto"/>
              <w:jc w:val="both"/>
              <w:rPr>
                <w:rFonts w:asciiTheme="minorBidi" w:hAnsiTheme="minorBidi"/>
              </w:rPr>
            </w:pPr>
            <w:r>
              <w:rPr>
                <w:rFonts w:asciiTheme="minorBidi" w:hAnsiTheme="minorBidi"/>
              </w:rPr>
              <w:t>AP52222</w:t>
            </w:r>
          </w:p>
        </w:tc>
      </w:tr>
      <w:tr w:rsidR="00A654A0" w:rsidRPr="00330C5D" w14:paraId="7719342A" w14:textId="77777777" w:rsidTr="00E367BD">
        <w:tc>
          <w:tcPr>
            <w:tcW w:w="3312" w:type="dxa"/>
          </w:tcPr>
          <w:p w14:paraId="48B195BE" w14:textId="77777777" w:rsidR="00A654A0" w:rsidRPr="00330C5D" w:rsidRDefault="00A654A0" w:rsidP="00330C5D">
            <w:pPr>
              <w:spacing w:line="360" w:lineRule="auto"/>
              <w:jc w:val="both"/>
              <w:rPr>
                <w:rFonts w:asciiTheme="minorBidi" w:hAnsiTheme="minorBidi"/>
              </w:rPr>
            </w:pPr>
            <w:r w:rsidRPr="00330C5D">
              <w:rPr>
                <w:rFonts w:asciiTheme="minorBidi" w:hAnsiTheme="minorBidi"/>
              </w:rPr>
              <w:t>anti-Rabbit HRP-linked</w:t>
            </w:r>
          </w:p>
        </w:tc>
        <w:tc>
          <w:tcPr>
            <w:tcW w:w="2160" w:type="dxa"/>
          </w:tcPr>
          <w:p w14:paraId="5FCA81B9" w14:textId="77777777" w:rsidR="00A654A0" w:rsidRPr="00330C5D" w:rsidRDefault="00A654A0" w:rsidP="00330C5D">
            <w:pPr>
              <w:spacing w:line="360" w:lineRule="auto"/>
              <w:jc w:val="both"/>
              <w:rPr>
                <w:rFonts w:asciiTheme="minorBidi" w:hAnsiTheme="minorBidi"/>
              </w:rPr>
            </w:pPr>
            <w:r w:rsidRPr="00330C5D">
              <w:rPr>
                <w:rFonts w:asciiTheme="minorBidi" w:hAnsiTheme="minorBidi"/>
              </w:rPr>
              <w:t>Cell Signaling</w:t>
            </w:r>
          </w:p>
        </w:tc>
        <w:tc>
          <w:tcPr>
            <w:tcW w:w="2160" w:type="dxa"/>
          </w:tcPr>
          <w:p w14:paraId="76DF7F07" w14:textId="77777777" w:rsidR="00A654A0" w:rsidRPr="00330C5D" w:rsidRDefault="00A654A0" w:rsidP="00330C5D">
            <w:pPr>
              <w:spacing w:line="360" w:lineRule="auto"/>
              <w:jc w:val="both"/>
              <w:rPr>
                <w:rFonts w:asciiTheme="minorBidi" w:hAnsiTheme="minorBidi"/>
              </w:rPr>
            </w:pPr>
            <w:r w:rsidRPr="00330C5D">
              <w:rPr>
                <w:rFonts w:asciiTheme="minorBidi" w:hAnsiTheme="minorBidi"/>
              </w:rPr>
              <w:t>#7074</w:t>
            </w:r>
          </w:p>
        </w:tc>
      </w:tr>
      <w:tr w:rsidR="00A654A0" w:rsidRPr="00330C5D" w14:paraId="32D22F4B" w14:textId="77777777" w:rsidTr="00E367BD">
        <w:tc>
          <w:tcPr>
            <w:tcW w:w="3312" w:type="dxa"/>
          </w:tcPr>
          <w:p w14:paraId="1CF31C6E" w14:textId="77777777" w:rsidR="00A654A0" w:rsidRPr="00330C5D" w:rsidRDefault="00A654A0" w:rsidP="00330C5D">
            <w:pPr>
              <w:spacing w:line="360" w:lineRule="auto"/>
              <w:jc w:val="both"/>
              <w:rPr>
                <w:rFonts w:asciiTheme="minorBidi" w:hAnsiTheme="minorBidi"/>
              </w:rPr>
            </w:pPr>
            <w:r w:rsidRPr="00330C5D">
              <w:rPr>
                <w:rFonts w:asciiTheme="minorBidi" w:hAnsiTheme="minorBidi"/>
              </w:rPr>
              <w:t>anti-Mouse HRP-linked</w:t>
            </w:r>
          </w:p>
        </w:tc>
        <w:tc>
          <w:tcPr>
            <w:tcW w:w="2160" w:type="dxa"/>
          </w:tcPr>
          <w:p w14:paraId="35967477" w14:textId="77777777" w:rsidR="00A654A0" w:rsidRPr="00330C5D" w:rsidRDefault="00A654A0" w:rsidP="00330C5D">
            <w:pPr>
              <w:spacing w:line="360" w:lineRule="auto"/>
              <w:jc w:val="both"/>
              <w:rPr>
                <w:rFonts w:asciiTheme="minorBidi" w:hAnsiTheme="minorBidi"/>
              </w:rPr>
            </w:pPr>
            <w:r w:rsidRPr="00330C5D">
              <w:rPr>
                <w:rFonts w:asciiTheme="minorBidi" w:hAnsiTheme="minorBidi"/>
              </w:rPr>
              <w:t>Cell Signaling</w:t>
            </w:r>
          </w:p>
        </w:tc>
        <w:tc>
          <w:tcPr>
            <w:tcW w:w="2160" w:type="dxa"/>
          </w:tcPr>
          <w:p w14:paraId="67FEBE2A" w14:textId="77777777" w:rsidR="00A654A0" w:rsidRPr="00330C5D" w:rsidRDefault="00A654A0" w:rsidP="00330C5D">
            <w:pPr>
              <w:spacing w:line="360" w:lineRule="auto"/>
              <w:jc w:val="both"/>
              <w:rPr>
                <w:rFonts w:asciiTheme="minorBidi" w:hAnsiTheme="minorBidi"/>
              </w:rPr>
            </w:pPr>
            <w:r w:rsidRPr="00330C5D">
              <w:rPr>
                <w:rFonts w:asciiTheme="minorBidi" w:hAnsiTheme="minorBidi"/>
              </w:rPr>
              <w:t>#7076</w:t>
            </w:r>
          </w:p>
        </w:tc>
      </w:tr>
      <w:tr w:rsidR="0079356D" w:rsidRPr="00330C5D" w14:paraId="680FA9C5" w14:textId="77777777" w:rsidTr="00E367BD">
        <w:tc>
          <w:tcPr>
            <w:tcW w:w="3312" w:type="dxa"/>
          </w:tcPr>
          <w:p w14:paraId="446D2883" w14:textId="77777777" w:rsidR="0079356D" w:rsidRPr="00330C5D" w:rsidRDefault="0079356D" w:rsidP="00330C5D">
            <w:pPr>
              <w:spacing w:line="360" w:lineRule="auto"/>
              <w:jc w:val="both"/>
              <w:rPr>
                <w:rFonts w:asciiTheme="minorBidi" w:hAnsiTheme="minorBidi"/>
              </w:rPr>
            </w:pPr>
            <w:r w:rsidRPr="00330C5D">
              <w:rPr>
                <w:rFonts w:asciiTheme="minorBidi" w:hAnsiTheme="minorBidi"/>
              </w:rPr>
              <w:t>IgG XP</w:t>
            </w:r>
            <w:r w:rsidRPr="00330C5D">
              <w:rPr>
                <w:rFonts w:asciiTheme="minorBidi" w:hAnsiTheme="minorBidi"/>
                <w:vertAlign w:val="superscript"/>
              </w:rPr>
              <w:t>®</w:t>
            </w:r>
            <w:r w:rsidRPr="00330C5D">
              <w:rPr>
                <w:rFonts w:asciiTheme="minorBidi" w:hAnsiTheme="minorBidi"/>
              </w:rPr>
              <w:t xml:space="preserve"> Isotype Control </w:t>
            </w:r>
          </w:p>
        </w:tc>
        <w:tc>
          <w:tcPr>
            <w:tcW w:w="2160" w:type="dxa"/>
          </w:tcPr>
          <w:p w14:paraId="2AB80262" w14:textId="77777777" w:rsidR="0079356D" w:rsidRPr="00330C5D" w:rsidRDefault="0079356D" w:rsidP="00330C5D">
            <w:pPr>
              <w:spacing w:line="360" w:lineRule="auto"/>
              <w:jc w:val="both"/>
              <w:rPr>
                <w:rFonts w:asciiTheme="minorBidi" w:hAnsiTheme="minorBidi"/>
              </w:rPr>
            </w:pPr>
            <w:r w:rsidRPr="00330C5D">
              <w:rPr>
                <w:rFonts w:asciiTheme="minorBidi" w:hAnsiTheme="minorBidi"/>
              </w:rPr>
              <w:t>Cell Signaling</w:t>
            </w:r>
          </w:p>
        </w:tc>
        <w:tc>
          <w:tcPr>
            <w:tcW w:w="2160" w:type="dxa"/>
          </w:tcPr>
          <w:p w14:paraId="70402671" w14:textId="77777777" w:rsidR="0079356D" w:rsidRPr="00330C5D" w:rsidRDefault="0079356D" w:rsidP="00330C5D">
            <w:pPr>
              <w:spacing w:line="360" w:lineRule="auto"/>
              <w:jc w:val="both"/>
              <w:rPr>
                <w:rFonts w:asciiTheme="minorBidi" w:hAnsiTheme="minorBidi"/>
              </w:rPr>
            </w:pPr>
            <w:r w:rsidRPr="00330C5D">
              <w:rPr>
                <w:rFonts w:asciiTheme="minorBidi" w:hAnsiTheme="minorBidi"/>
              </w:rPr>
              <w:t>#66362</w:t>
            </w:r>
          </w:p>
        </w:tc>
      </w:tr>
    </w:tbl>
    <w:p w14:paraId="3BF0D9FC" w14:textId="77777777" w:rsidR="00A654A0" w:rsidRPr="00330C5D" w:rsidRDefault="00A654A0" w:rsidP="00330C5D">
      <w:pPr>
        <w:tabs>
          <w:tab w:val="left" w:pos="3957"/>
        </w:tabs>
        <w:spacing w:line="360" w:lineRule="auto"/>
        <w:jc w:val="both"/>
        <w:rPr>
          <w:rFonts w:asciiTheme="minorBidi" w:hAnsiTheme="minorBidi"/>
        </w:rPr>
      </w:pPr>
    </w:p>
    <w:p w14:paraId="21E77636" w14:textId="77777777" w:rsidR="005A184F" w:rsidRPr="00330C5D" w:rsidRDefault="005A184F" w:rsidP="00330C5D">
      <w:pPr>
        <w:tabs>
          <w:tab w:val="left" w:pos="3957"/>
        </w:tabs>
        <w:spacing w:line="360" w:lineRule="auto"/>
        <w:jc w:val="both"/>
        <w:rPr>
          <w:rFonts w:asciiTheme="minorBidi" w:hAnsiTheme="minorBidi"/>
        </w:rPr>
      </w:pPr>
      <w:r w:rsidRPr="00330C5D">
        <w:rPr>
          <w:rFonts w:asciiTheme="minorBidi" w:hAnsiTheme="minorBidi"/>
        </w:rPr>
        <w:t xml:space="preserve">Table S2: </w:t>
      </w:r>
      <w:proofErr w:type="spellStart"/>
      <w:r w:rsidRPr="00330C5D">
        <w:rPr>
          <w:rFonts w:asciiTheme="minorBidi" w:hAnsiTheme="minorBidi"/>
        </w:rPr>
        <w:t>qRT</w:t>
      </w:r>
      <w:proofErr w:type="spellEnd"/>
      <w:r w:rsidRPr="00330C5D">
        <w:rPr>
          <w:rFonts w:asciiTheme="minorBidi" w:hAnsiTheme="minorBidi"/>
        </w:rPr>
        <w:t>-PCR primers</w:t>
      </w:r>
    </w:p>
    <w:tbl>
      <w:tblPr>
        <w:tblW w:w="7364" w:type="dxa"/>
        <w:tblLook w:val="04A0" w:firstRow="1" w:lastRow="0" w:firstColumn="1" w:lastColumn="0" w:noHBand="0" w:noVBand="1"/>
      </w:tblPr>
      <w:tblGrid>
        <w:gridCol w:w="2405"/>
        <w:gridCol w:w="4959"/>
      </w:tblGrid>
      <w:tr w:rsidR="005A184F" w:rsidRPr="00330C5D" w14:paraId="64DCC9DF" w14:textId="77777777" w:rsidTr="002E7203">
        <w:trPr>
          <w:trHeight w:val="290"/>
        </w:trPr>
        <w:tc>
          <w:tcPr>
            <w:tcW w:w="24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7AEAB0A" w14:textId="77777777" w:rsidR="005A184F" w:rsidRPr="00330C5D" w:rsidRDefault="005A184F" w:rsidP="00330C5D">
            <w:pPr>
              <w:spacing w:after="0" w:line="360" w:lineRule="auto"/>
              <w:jc w:val="both"/>
              <w:rPr>
                <w:rFonts w:asciiTheme="minorBidi" w:eastAsia="Times New Roman" w:hAnsiTheme="minorBidi"/>
              </w:rPr>
            </w:pPr>
            <w:r w:rsidRPr="00330C5D">
              <w:rPr>
                <w:rFonts w:asciiTheme="minorBidi" w:eastAsia="Times New Roman" w:hAnsiTheme="minorBidi"/>
              </w:rPr>
              <w:t>Gene</w:t>
            </w:r>
          </w:p>
        </w:tc>
        <w:tc>
          <w:tcPr>
            <w:tcW w:w="4959" w:type="dxa"/>
            <w:tcBorders>
              <w:top w:val="single" w:sz="4" w:space="0" w:color="auto"/>
              <w:left w:val="nil"/>
              <w:bottom w:val="single" w:sz="4" w:space="0" w:color="auto"/>
              <w:right w:val="single" w:sz="4" w:space="0" w:color="auto"/>
            </w:tcBorders>
            <w:shd w:val="clear" w:color="000000" w:fill="FFFFFF"/>
            <w:noWrap/>
            <w:vAlign w:val="center"/>
            <w:hideMark/>
          </w:tcPr>
          <w:p w14:paraId="12E48C08" w14:textId="77777777" w:rsidR="005A184F" w:rsidRPr="00330C5D" w:rsidRDefault="005A184F" w:rsidP="00330C5D">
            <w:pPr>
              <w:spacing w:after="0" w:line="360" w:lineRule="auto"/>
              <w:jc w:val="both"/>
              <w:rPr>
                <w:rFonts w:asciiTheme="minorBidi" w:eastAsia="Times New Roman" w:hAnsiTheme="minorBidi"/>
                <w:color w:val="000000"/>
              </w:rPr>
            </w:pPr>
            <w:r w:rsidRPr="00330C5D">
              <w:rPr>
                <w:rFonts w:asciiTheme="minorBidi" w:eastAsia="Times New Roman" w:hAnsiTheme="minorBidi"/>
                <w:color w:val="000000"/>
              </w:rPr>
              <w:t>Sequence</w:t>
            </w:r>
          </w:p>
        </w:tc>
      </w:tr>
      <w:tr w:rsidR="005A184F" w:rsidRPr="00330C5D" w14:paraId="5EEEEBCA" w14:textId="77777777" w:rsidTr="002E7203">
        <w:trPr>
          <w:trHeight w:val="290"/>
        </w:trPr>
        <w:tc>
          <w:tcPr>
            <w:tcW w:w="2405" w:type="dxa"/>
            <w:tcBorders>
              <w:top w:val="nil"/>
              <w:left w:val="single" w:sz="4" w:space="0" w:color="auto"/>
              <w:bottom w:val="single" w:sz="4" w:space="0" w:color="auto"/>
              <w:right w:val="single" w:sz="4" w:space="0" w:color="auto"/>
            </w:tcBorders>
            <w:shd w:val="clear" w:color="000000" w:fill="FFFFFF"/>
            <w:noWrap/>
            <w:vAlign w:val="center"/>
            <w:hideMark/>
          </w:tcPr>
          <w:p w14:paraId="05396E58" w14:textId="77777777" w:rsidR="005A184F" w:rsidRPr="00330C5D" w:rsidRDefault="005A184F" w:rsidP="00330C5D">
            <w:pPr>
              <w:spacing w:after="0" w:line="360" w:lineRule="auto"/>
              <w:jc w:val="both"/>
              <w:rPr>
                <w:rFonts w:asciiTheme="minorBidi" w:eastAsia="Times New Roman" w:hAnsiTheme="minorBidi"/>
                <w:color w:val="000000"/>
              </w:rPr>
            </w:pPr>
            <w:r w:rsidRPr="00330C5D">
              <w:rPr>
                <w:rFonts w:asciiTheme="minorBidi" w:eastAsia="Times New Roman" w:hAnsiTheme="minorBidi"/>
                <w:color w:val="000000"/>
              </w:rPr>
              <w:t>UBE2E3 Forward</w:t>
            </w:r>
          </w:p>
        </w:tc>
        <w:tc>
          <w:tcPr>
            <w:tcW w:w="4959" w:type="dxa"/>
            <w:tcBorders>
              <w:top w:val="nil"/>
              <w:left w:val="nil"/>
              <w:bottom w:val="single" w:sz="4" w:space="0" w:color="auto"/>
              <w:right w:val="single" w:sz="4" w:space="0" w:color="auto"/>
            </w:tcBorders>
            <w:shd w:val="clear" w:color="000000" w:fill="FFFFFF"/>
            <w:noWrap/>
            <w:vAlign w:val="center"/>
            <w:hideMark/>
          </w:tcPr>
          <w:p w14:paraId="074AE2E4" w14:textId="77777777" w:rsidR="005A184F" w:rsidRPr="00330C5D" w:rsidRDefault="005A184F" w:rsidP="00330C5D">
            <w:pPr>
              <w:spacing w:after="0" w:line="360" w:lineRule="auto"/>
              <w:jc w:val="both"/>
              <w:rPr>
                <w:rFonts w:asciiTheme="minorBidi" w:eastAsia="Times New Roman" w:hAnsiTheme="minorBidi"/>
              </w:rPr>
            </w:pPr>
            <w:r w:rsidRPr="00330C5D">
              <w:rPr>
                <w:rFonts w:asciiTheme="minorBidi" w:eastAsia="Times New Roman" w:hAnsiTheme="minorBidi"/>
              </w:rPr>
              <w:t>5-TGGAGTCCCGCTTTGACTATT-3</w:t>
            </w:r>
          </w:p>
        </w:tc>
      </w:tr>
      <w:tr w:rsidR="005A184F" w:rsidRPr="00330C5D" w14:paraId="0C56B344" w14:textId="77777777" w:rsidTr="002E7203">
        <w:trPr>
          <w:trHeight w:val="290"/>
        </w:trPr>
        <w:tc>
          <w:tcPr>
            <w:tcW w:w="2405" w:type="dxa"/>
            <w:tcBorders>
              <w:top w:val="nil"/>
              <w:left w:val="single" w:sz="4" w:space="0" w:color="auto"/>
              <w:bottom w:val="single" w:sz="4" w:space="0" w:color="auto"/>
              <w:right w:val="single" w:sz="4" w:space="0" w:color="auto"/>
            </w:tcBorders>
            <w:shd w:val="clear" w:color="000000" w:fill="FFFFFF"/>
            <w:noWrap/>
            <w:vAlign w:val="center"/>
            <w:hideMark/>
          </w:tcPr>
          <w:p w14:paraId="0ED88F9C" w14:textId="77777777" w:rsidR="005A184F" w:rsidRPr="00330C5D" w:rsidRDefault="005A184F" w:rsidP="00330C5D">
            <w:pPr>
              <w:spacing w:after="0" w:line="360" w:lineRule="auto"/>
              <w:jc w:val="both"/>
              <w:rPr>
                <w:rFonts w:asciiTheme="minorBidi" w:eastAsia="Times New Roman" w:hAnsiTheme="minorBidi"/>
                <w:color w:val="000000"/>
              </w:rPr>
            </w:pPr>
            <w:r w:rsidRPr="00330C5D">
              <w:rPr>
                <w:rFonts w:asciiTheme="minorBidi" w:eastAsia="Times New Roman" w:hAnsiTheme="minorBidi"/>
                <w:color w:val="000000"/>
              </w:rPr>
              <w:t>UBE2E3 Reverse</w:t>
            </w:r>
          </w:p>
        </w:tc>
        <w:tc>
          <w:tcPr>
            <w:tcW w:w="4959" w:type="dxa"/>
            <w:tcBorders>
              <w:top w:val="nil"/>
              <w:left w:val="nil"/>
              <w:bottom w:val="single" w:sz="4" w:space="0" w:color="auto"/>
              <w:right w:val="single" w:sz="4" w:space="0" w:color="auto"/>
            </w:tcBorders>
            <w:shd w:val="clear" w:color="000000" w:fill="FFFFFF"/>
            <w:noWrap/>
            <w:vAlign w:val="center"/>
            <w:hideMark/>
          </w:tcPr>
          <w:p w14:paraId="250A0461" w14:textId="77777777" w:rsidR="005A184F" w:rsidRPr="00330C5D" w:rsidRDefault="005A184F" w:rsidP="00330C5D">
            <w:pPr>
              <w:spacing w:after="0" w:line="360" w:lineRule="auto"/>
              <w:jc w:val="both"/>
              <w:rPr>
                <w:rFonts w:asciiTheme="minorBidi" w:eastAsia="Times New Roman" w:hAnsiTheme="minorBidi"/>
              </w:rPr>
            </w:pPr>
            <w:r w:rsidRPr="00330C5D">
              <w:rPr>
                <w:rFonts w:asciiTheme="minorBidi" w:eastAsia="Times New Roman" w:hAnsiTheme="minorBidi"/>
              </w:rPr>
              <w:t>5-ATCCTGTCGTGTTCTGCTCTG-3</w:t>
            </w:r>
          </w:p>
        </w:tc>
      </w:tr>
      <w:tr w:rsidR="005A184F" w:rsidRPr="00330C5D" w14:paraId="78E54E24" w14:textId="77777777" w:rsidTr="002E7203">
        <w:trPr>
          <w:trHeight w:val="290"/>
        </w:trPr>
        <w:tc>
          <w:tcPr>
            <w:tcW w:w="2405" w:type="dxa"/>
            <w:tcBorders>
              <w:top w:val="nil"/>
              <w:left w:val="single" w:sz="4" w:space="0" w:color="auto"/>
              <w:bottom w:val="single" w:sz="4" w:space="0" w:color="auto"/>
              <w:right w:val="single" w:sz="4" w:space="0" w:color="auto"/>
            </w:tcBorders>
            <w:shd w:val="clear" w:color="000000" w:fill="FFFFFF"/>
            <w:noWrap/>
            <w:vAlign w:val="center"/>
            <w:hideMark/>
          </w:tcPr>
          <w:p w14:paraId="7527E9C1" w14:textId="77777777" w:rsidR="005A184F" w:rsidRPr="00330C5D" w:rsidRDefault="005A184F" w:rsidP="00330C5D">
            <w:pPr>
              <w:spacing w:after="0" w:line="360" w:lineRule="auto"/>
              <w:jc w:val="both"/>
              <w:rPr>
                <w:rFonts w:asciiTheme="minorBidi" w:eastAsia="Times New Roman" w:hAnsiTheme="minorBidi"/>
                <w:color w:val="000000"/>
              </w:rPr>
            </w:pPr>
            <w:r w:rsidRPr="00330C5D">
              <w:rPr>
                <w:rFonts w:asciiTheme="minorBidi" w:eastAsia="Times New Roman" w:hAnsiTheme="minorBidi"/>
                <w:color w:val="000000"/>
              </w:rPr>
              <w:t>ABL1 Forward</w:t>
            </w:r>
          </w:p>
        </w:tc>
        <w:tc>
          <w:tcPr>
            <w:tcW w:w="4959" w:type="dxa"/>
            <w:tcBorders>
              <w:top w:val="nil"/>
              <w:left w:val="nil"/>
              <w:bottom w:val="single" w:sz="4" w:space="0" w:color="auto"/>
              <w:right w:val="single" w:sz="4" w:space="0" w:color="auto"/>
            </w:tcBorders>
            <w:shd w:val="clear" w:color="000000" w:fill="FFFFFF"/>
            <w:noWrap/>
            <w:vAlign w:val="center"/>
            <w:hideMark/>
          </w:tcPr>
          <w:p w14:paraId="173F77D8" w14:textId="77777777" w:rsidR="005A184F" w:rsidRPr="00330C5D" w:rsidRDefault="005A184F" w:rsidP="00330C5D">
            <w:pPr>
              <w:spacing w:after="0" w:line="360" w:lineRule="auto"/>
              <w:jc w:val="both"/>
              <w:rPr>
                <w:rFonts w:asciiTheme="minorBidi" w:eastAsia="Times New Roman" w:hAnsiTheme="minorBidi"/>
                <w:color w:val="000000"/>
              </w:rPr>
            </w:pPr>
            <w:r w:rsidRPr="00330C5D">
              <w:rPr>
                <w:rFonts w:asciiTheme="minorBidi" w:eastAsia="Times New Roman" w:hAnsiTheme="minorBidi"/>
                <w:color w:val="000000"/>
              </w:rPr>
              <w:t>5-TGGAGATAACACTCTAAGCATAACTAAAGGT-3</w:t>
            </w:r>
          </w:p>
        </w:tc>
      </w:tr>
      <w:tr w:rsidR="005A184F" w:rsidRPr="00330C5D" w14:paraId="4EFFCF92" w14:textId="77777777" w:rsidTr="002E7203">
        <w:trPr>
          <w:trHeight w:val="290"/>
        </w:trPr>
        <w:tc>
          <w:tcPr>
            <w:tcW w:w="2405" w:type="dxa"/>
            <w:tcBorders>
              <w:top w:val="nil"/>
              <w:left w:val="single" w:sz="4" w:space="0" w:color="auto"/>
              <w:bottom w:val="single" w:sz="4" w:space="0" w:color="auto"/>
              <w:right w:val="single" w:sz="4" w:space="0" w:color="auto"/>
            </w:tcBorders>
            <w:shd w:val="clear" w:color="000000" w:fill="FFFFFF"/>
            <w:noWrap/>
            <w:vAlign w:val="center"/>
            <w:hideMark/>
          </w:tcPr>
          <w:p w14:paraId="0FF3AF85" w14:textId="77777777" w:rsidR="005A184F" w:rsidRPr="00330C5D" w:rsidRDefault="005A184F" w:rsidP="00330C5D">
            <w:pPr>
              <w:spacing w:after="0" w:line="360" w:lineRule="auto"/>
              <w:jc w:val="both"/>
              <w:rPr>
                <w:rFonts w:asciiTheme="minorBidi" w:eastAsia="Times New Roman" w:hAnsiTheme="minorBidi"/>
                <w:color w:val="000000"/>
              </w:rPr>
            </w:pPr>
            <w:r w:rsidRPr="00330C5D">
              <w:rPr>
                <w:rFonts w:asciiTheme="minorBidi" w:eastAsia="Times New Roman" w:hAnsiTheme="minorBidi"/>
                <w:color w:val="000000"/>
              </w:rPr>
              <w:t>ABL1 Reverse</w:t>
            </w:r>
          </w:p>
        </w:tc>
        <w:tc>
          <w:tcPr>
            <w:tcW w:w="4959" w:type="dxa"/>
            <w:tcBorders>
              <w:top w:val="nil"/>
              <w:left w:val="nil"/>
              <w:bottom w:val="single" w:sz="4" w:space="0" w:color="auto"/>
              <w:right w:val="single" w:sz="4" w:space="0" w:color="auto"/>
            </w:tcBorders>
            <w:shd w:val="clear" w:color="000000" w:fill="FFFFFF"/>
            <w:noWrap/>
            <w:vAlign w:val="center"/>
            <w:hideMark/>
          </w:tcPr>
          <w:p w14:paraId="12A13F23" w14:textId="77777777" w:rsidR="005A184F" w:rsidRPr="00330C5D" w:rsidRDefault="005A184F" w:rsidP="00330C5D">
            <w:pPr>
              <w:spacing w:after="0" w:line="360" w:lineRule="auto"/>
              <w:jc w:val="both"/>
              <w:rPr>
                <w:rFonts w:asciiTheme="minorBidi" w:eastAsia="Times New Roman" w:hAnsiTheme="minorBidi"/>
              </w:rPr>
            </w:pPr>
            <w:r w:rsidRPr="00330C5D">
              <w:rPr>
                <w:rFonts w:asciiTheme="minorBidi" w:eastAsia="Times New Roman" w:hAnsiTheme="minorBidi"/>
              </w:rPr>
              <w:t>5-GATGTAGTTGCTTGGGACCCA-3</w:t>
            </w:r>
          </w:p>
        </w:tc>
      </w:tr>
      <w:tr w:rsidR="005A184F" w:rsidRPr="00330C5D" w14:paraId="4BC22E59" w14:textId="77777777" w:rsidTr="002E7203">
        <w:trPr>
          <w:trHeight w:val="290"/>
        </w:trPr>
        <w:tc>
          <w:tcPr>
            <w:tcW w:w="2405" w:type="dxa"/>
            <w:tcBorders>
              <w:top w:val="nil"/>
              <w:left w:val="single" w:sz="4" w:space="0" w:color="auto"/>
              <w:bottom w:val="single" w:sz="4" w:space="0" w:color="auto"/>
              <w:right w:val="single" w:sz="4" w:space="0" w:color="auto"/>
            </w:tcBorders>
            <w:shd w:val="clear" w:color="000000" w:fill="FFFFFF"/>
            <w:noWrap/>
            <w:vAlign w:val="center"/>
            <w:hideMark/>
          </w:tcPr>
          <w:p w14:paraId="46CAF42C" w14:textId="77777777" w:rsidR="005A184F" w:rsidRPr="00330C5D" w:rsidRDefault="005A184F" w:rsidP="00330C5D">
            <w:pPr>
              <w:spacing w:after="0" w:line="360" w:lineRule="auto"/>
              <w:jc w:val="both"/>
              <w:rPr>
                <w:rFonts w:asciiTheme="minorBidi" w:eastAsia="Times New Roman" w:hAnsiTheme="minorBidi"/>
              </w:rPr>
            </w:pPr>
            <w:r w:rsidRPr="00330C5D">
              <w:rPr>
                <w:rFonts w:asciiTheme="minorBidi" w:eastAsia="Times New Roman" w:hAnsiTheme="minorBidi"/>
              </w:rPr>
              <w:t>PCGF1 Reverse</w:t>
            </w:r>
          </w:p>
        </w:tc>
        <w:tc>
          <w:tcPr>
            <w:tcW w:w="4959" w:type="dxa"/>
            <w:tcBorders>
              <w:top w:val="nil"/>
              <w:left w:val="nil"/>
              <w:bottom w:val="single" w:sz="4" w:space="0" w:color="auto"/>
              <w:right w:val="single" w:sz="4" w:space="0" w:color="auto"/>
            </w:tcBorders>
            <w:shd w:val="clear" w:color="000000" w:fill="FFFFFF"/>
            <w:noWrap/>
            <w:vAlign w:val="center"/>
            <w:hideMark/>
          </w:tcPr>
          <w:p w14:paraId="7306178B" w14:textId="77777777" w:rsidR="005A184F" w:rsidRPr="00330C5D" w:rsidRDefault="005A184F" w:rsidP="00330C5D">
            <w:pPr>
              <w:spacing w:after="0" w:line="360" w:lineRule="auto"/>
              <w:jc w:val="both"/>
              <w:rPr>
                <w:rFonts w:asciiTheme="minorBidi" w:eastAsia="Times New Roman" w:hAnsiTheme="minorBidi"/>
              </w:rPr>
            </w:pPr>
            <w:r w:rsidRPr="00330C5D">
              <w:rPr>
                <w:rFonts w:asciiTheme="minorBidi" w:eastAsia="Times New Roman" w:hAnsiTheme="minorBidi"/>
              </w:rPr>
              <w:t>5-AAGCCTCGGGACTGATAGAA-3</w:t>
            </w:r>
          </w:p>
        </w:tc>
      </w:tr>
      <w:tr w:rsidR="005A184F" w:rsidRPr="00330C5D" w14:paraId="6DADC856" w14:textId="77777777" w:rsidTr="002E7203">
        <w:trPr>
          <w:trHeight w:val="290"/>
        </w:trPr>
        <w:tc>
          <w:tcPr>
            <w:tcW w:w="2405" w:type="dxa"/>
            <w:tcBorders>
              <w:top w:val="nil"/>
              <w:left w:val="single" w:sz="4" w:space="0" w:color="auto"/>
              <w:bottom w:val="single" w:sz="4" w:space="0" w:color="auto"/>
              <w:right w:val="single" w:sz="4" w:space="0" w:color="auto"/>
            </w:tcBorders>
            <w:shd w:val="clear" w:color="000000" w:fill="FFFFFF"/>
            <w:noWrap/>
            <w:vAlign w:val="center"/>
            <w:hideMark/>
          </w:tcPr>
          <w:p w14:paraId="7378FA19" w14:textId="77777777" w:rsidR="005A184F" w:rsidRPr="00330C5D" w:rsidRDefault="005A184F" w:rsidP="00330C5D">
            <w:pPr>
              <w:spacing w:after="0" w:line="360" w:lineRule="auto"/>
              <w:jc w:val="both"/>
              <w:rPr>
                <w:rFonts w:asciiTheme="minorBidi" w:eastAsia="Times New Roman" w:hAnsiTheme="minorBidi"/>
              </w:rPr>
            </w:pPr>
            <w:r w:rsidRPr="00330C5D">
              <w:rPr>
                <w:rFonts w:asciiTheme="minorBidi" w:eastAsia="Times New Roman" w:hAnsiTheme="minorBidi"/>
              </w:rPr>
              <w:t>PCGF1 Forward</w:t>
            </w:r>
          </w:p>
        </w:tc>
        <w:tc>
          <w:tcPr>
            <w:tcW w:w="4959" w:type="dxa"/>
            <w:tcBorders>
              <w:top w:val="nil"/>
              <w:left w:val="nil"/>
              <w:bottom w:val="single" w:sz="4" w:space="0" w:color="auto"/>
              <w:right w:val="single" w:sz="4" w:space="0" w:color="auto"/>
            </w:tcBorders>
            <w:shd w:val="clear" w:color="000000" w:fill="FFFFFF"/>
            <w:noWrap/>
            <w:vAlign w:val="center"/>
            <w:hideMark/>
          </w:tcPr>
          <w:p w14:paraId="031F9542" w14:textId="77777777" w:rsidR="005A184F" w:rsidRPr="00330C5D" w:rsidRDefault="005A184F" w:rsidP="00330C5D">
            <w:pPr>
              <w:spacing w:after="0" w:line="360" w:lineRule="auto"/>
              <w:jc w:val="both"/>
              <w:rPr>
                <w:rFonts w:asciiTheme="minorBidi" w:eastAsia="Times New Roman" w:hAnsiTheme="minorBidi"/>
              </w:rPr>
            </w:pPr>
            <w:r w:rsidRPr="00330C5D">
              <w:rPr>
                <w:rFonts w:asciiTheme="minorBidi" w:eastAsia="Times New Roman" w:hAnsiTheme="minorBidi"/>
              </w:rPr>
              <w:t>5-GGGTCATGCAGGACATAGTG-3</w:t>
            </w:r>
          </w:p>
        </w:tc>
      </w:tr>
      <w:tr w:rsidR="005A184F" w:rsidRPr="00330C5D" w14:paraId="68EA7947" w14:textId="77777777" w:rsidTr="002E7203">
        <w:trPr>
          <w:trHeight w:val="290"/>
        </w:trPr>
        <w:tc>
          <w:tcPr>
            <w:tcW w:w="2405" w:type="dxa"/>
            <w:tcBorders>
              <w:top w:val="nil"/>
              <w:left w:val="single" w:sz="4" w:space="0" w:color="auto"/>
              <w:bottom w:val="single" w:sz="4" w:space="0" w:color="auto"/>
              <w:right w:val="single" w:sz="4" w:space="0" w:color="auto"/>
            </w:tcBorders>
            <w:shd w:val="clear" w:color="000000" w:fill="FFFFFF"/>
            <w:noWrap/>
            <w:vAlign w:val="center"/>
            <w:hideMark/>
          </w:tcPr>
          <w:p w14:paraId="3EEB7066" w14:textId="77777777" w:rsidR="005A184F" w:rsidRPr="00330C5D" w:rsidRDefault="005A184F" w:rsidP="00330C5D">
            <w:pPr>
              <w:spacing w:after="0" w:line="360" w:lineRule="auto"/>
              <w:jc w:val="both"/>
              <w:rPr>
                <w:rFonts w:asciiTheme="minorBidi" w:eastAsia="Times New Roman" w:hAnsiTheme="minorBidi"/>
              </w:rPr>
            </w:pPr>
            <w:r w:rsidRPr="00330C5D">
              <w:rPr>
                <w:rFonts w:asciiTheme="minorBidi" w:eastAsia="Times New Roman" w:hAnsiTheme="minorBidi"/>
              </w:rPr>
              <w:t>BCOR Reverse</w:t>
            </w:r>
          </w:p>
        </w:tc>
        <w:tc>
          <w:tcPr>
            <w:tcW w:w="4959" w:type="dxa"/>
            <w:tcBorders>
              <w:top w:val="nil"/>
              <w:left w:val="nil"/>
              <w:bottom w:val="single" w:sz="4" w:space="0" w:color="auto"/>
              <w:right w:val="single" w:sz="4" w:space="0" w:color="auto"/>
            </w:tcBorders>
            <w:shd w:val="clear" w:color="000000" w:fill="FFFFFF"/>
            <w:noWrap/>
            <w:vAlign w:val="center"/>
            <w:hideMark/>
          </w:tcPr>
          <w:p w14:paraId="6943CBB3" w14:textId="77777777" w:rsidR="005A184F" w:rsidRPr="00330C5D" w:rsidRDefault="005A184F" w:rsidP="00330C5D">
            <w:pPr>
              <w:spacing w:after="0" w:line="360" w:lineRule="auto"/>
              <w:jc w:val="both"/>
              <w:rPr>
                <w:rFonts w:asciiTheme="minorBidi" w:eastAsia="Times New Roman" w:hAnsiTheme="minorBidi"/>
              </w:rPr>
            </w:pPr>
            <w:r w:rsidRPr="00330C5D">
              <w:rPr>
                <w:rFonts w:asciiTheme="minorBidi" w:eastAsia="Times New Roman" w:hAnsiTheme="minorBidi"/>
              </w:rPr>
              <w:t>5-TCTCGGAGTCTTTGGTTGCTGG-3</w:t>
            </w:r>
          </w:p>
        </w:tc>
      </w:tr>
      <w:tr w:rsidR="005A184F" w:rsidRPr="00330C5D" w14:paraId="255CDB3C" w14:textId="77777777" w:rsidTr="002E7203">
        <w:trPr>
          <w:trHeight w:val="290"/>
        </w:trPr>
        <w:tc>
          <w:tcPr>
            <w:tcW w:w="2405" w:type="dxa"/>
            <w:tcBorders>
              <w:top w:val="nil"/>
              <w:left w:val="single" w:sz="4" w:space="0" w:color="auto"/>
              <w:bottom w:val="single" w:sz="4" w:space="0" w:color="auto"/>
              <w:right w:val="single" w:sz="4" w:space="0" w:color="auto"/>
            </w:tcBorders>
            <w:shd w:val="clear" w:color="000000" w:fill="FFFFFF"/>
            <w:noWrap/>
            <w:vAlign w:val="center"/>
            <w:hideMark/>
          </w:tcPr>
          <w:p w14:paraId="063B7E2D" w14:textId="77777777" w:rsidR="005A184F" w:rsidRPr="00330C5D" w:rsidRDefault="005A184F" w:rsidP="00330C5D">
            <w:pPr>
              <w:spacing w:after="0" w:line="360" w:lineRule="auto"/>
              <w:jc w:val="both"/>
              <w:rPr>
                <w:rFonts w:asciiTheme="minorBidi" w:eastAsia="Times New Roman" w:hAnsiTheme="minorBidi"/>
              </w:rPr>
            </w:pPr>
            <w:r w:rsidRPr="00330C5D">
              <w:rPr>
                <w:rFonts w:asciiTheme="minorBidi" w:eastAsia="Times New Roman" w:hAnsiTheme="minorBidi"/>
              </w:rPr>
              <w:t>BCOR Forward</w:t>
            </w:r>
          </w:p>
        </w:tc>
        <w:tc>
          <w:tcPr>
            <w:tcW w:w="4959" w:type="dxa"/>
            <w:tcBorders>
              <w:top w:val="nil"/>
              <w:left w:val="nil"/>
              <w:bottom w:val="single" w:sz="4" w:space="0" w:color="auto"/>
              <w:right w:val="single" w:sz="4" w:space="0" w:color="auto"/>
            </w:tcBorders>
            <w:shd w:val="clear" w:color="000000" w:fill="FFFFFF"/>
            <w:noWrap/>
            <w:vAlign w:val="center"/>
            <w:hideMark/>
          </w:tcPr>
          <w:p w14:paraId="33642E9C" w14:textId="77777777" w:rsidR="005A184F" w:rsidRPr="00330C5D" w:rsidRDefault="005A184F" w:rsidP="00330C5D">
            <w:pPr>
              <w:spacing w:after="0" w:line="360" w:lineRule="auto"/>
              <w:jc w:val="both"/>
              <w:rPr>
                <w:rFonts w:asciiTheme="minorBidi" w:eastAsia="Times New Roman" w:hAnsiTheme="minorBidi"/>
              </w:rPr>
            </w:pPr>
            <w:r w:rsidRPr="00330C5D">
              <w:rPr>
                <w:rFonts w:asciiTheme="minorBidi" w:eastAsia="Times New Roman" w:hAnsiTheme="minorBidi"/>
              </w:rPr>
              <w:t>5-TGTCTACCCGCTGCTTACTGTG-3</w:t>
            </w:r>
          </w:p>
        </w:tc>
      </w:tr>
      <w:tr w:rsidR="005A184F" w:rsidRPr="00330C5D" w14:paraId="64344CA5" w14:textId="77777777" w:rsidTr="002E7203">
        <w:trPr>
          <w:trHeight w:val="290"/>
        </w:trPr>
        <w:tc>
          <w:tcPr>
            <w:tcW w:w="2405" w:type="dxa"/>
            <w:tcBorders>
              <w:top w:val="nil"/>
              <w:left w:val="single" w:sz="4" w:space="0" w:color="auto"/>
              <w:bottom w:val="single" w:sz="4" w:space="0" w:color="auto"/>
              <w:right w:val="single" w:sz="4" w:space="0" w:color="auto"/>
            </w:tcBorders>
            <w:shd w:val="clear" w:color="000000" w:fill="FFFFFF"/>
            <w:noWrap/>
            <w:vAlign w:val="center"/>
            <w:hideMark/>
          </w:tcPr>
          <w:p w14:paraId="765347FD" w14:textId="77777777" w:rsidR="005A184F" w:rsidRPr="00330C5D" w:rsidRDefault="005A184F" w:rsidP="00330C5D">
            <w:pPr>
              <w:spacing w:after="0" w:line="360" w:lineRule="auto"/>
              <w:jc w:val="both"/>
              <w:rPr>
                <w:rFonts w:asciiTheme="minorBidi" w:eastAsia="Times New Roman" w:hAnsiTheme="minorBidi"/>
              </w:rPr>
            </w:pPr>
            <w:r w:rsidRPr="00330C5D">
              <w:rPr>
                <w:rFonts w:asciiTheme="minorBidi" w:eastAsia="Times New Roman" w:hAnsiTheme="minorBidi"/>
              </w:rPr>
              <w:t>KDM2B Reverse</w:t>
            </w:r>
          </w:p>
        </w:tc>
        <w:tc>
          <w:tcPr>
            <w:tcW w:w="4959" w:type="dxa"/>
            <w:tcBorders>
              <w:top w:val="nil"/>
              <w:left w:val="nil"/>
              <w:bottom w:val="single" w:sz="4" w:space="0" w:color="auto"/>
              <w:right w:val="single" w:sz="4" w:space="0" w:color="auto"/>
            </w:tcBorders>
            <w:shd w:val="clear" w:color="000000" w:fill="FFFFFF"/>
            <w:noWrap/>
            <w:vAlign w:val="center"/>
            <w:hideMark/>
          </w:tcPr>
          <w:p w14:paraId="73FDA1C7" w14:textId="77777777" w:rsidR="005A184F" w:rsidRPr="00330C5D" w:rsidRDefault="005A184F" w:rsidP="00330C5D">
            <w:pPr>
              <w:spacing w:after="0" w:line="360" w:lineRule="auto"/>
              <w:jc w:val="both"/>
              <w:rPr>
                <w:rFonts w:asciiTheme="minorBidi" w:eastAsia="Times New Roman" w:hAnsiTheme="minorBidi"/>
              </w:rPr>
            </w:pPr>
            <w:r w:rsidRPr="00330C5D">
              <w:rPr>
                <w:rFonts w:asciiTheme="minorBidi" w:eastAsia="Times New Roman" w:hAnsiTheme="minorBidi"/>
              </w:rPr>
              <w:t>5-GGCATGGATCCAACCGGAA-3</w:t>
            </w:r>
          </w:p>
        </w:tc>
      </w:tr>
      <w:tr w:rsidR="005A184F" w:rsidRPr="00330C5D" w14:paraId="13ED8345" w14:textId="77777777" w:rsidTr="002E7203">
        <w:trPr>
          <w:trHeight w:val="290"/>
        </w:trPr>
        <w:tc>
          <w:tcPr>
            <w:tcW w:w="2405" w:type="dxa"/>
            <w:tcBorders>
              <w:top w:val="nil"/>
              <w:left w:val="single" w:sz="4" w:space="0" w:color="auto"/>
              <w:bottom w:val="single" w:sz="4" w:space="0" w:color="auto"/>
              <w:right w:val="single" w:sz="4" w:space="0" w:color="auto"/>
            </w:tcBorders>
            <w:shd w:val="clear" w:color="000000" w:fill="FFFFFF"/>
            <w:noWrap/>
            <w:vAlign w:val="center"/>
            <w:hideMark/>
          </w:tcPr>
          <w:p w14:paraId="456D51CC" w14:textId="77777777" w:rsidR="005A184F" w:rsidRPr="00330C5D" w:rsidRDefault="005A184F" w:rsidP="00330C5D">
            <w:pPr>
              <w:spacing w:after="0" w:line="360" w:lineRule="auto"/>
              <w:jc w:val="both"/>
              <w:rPr>
                <w:rFonts w:asciiTheme="minorBidi" w:eastAsia="Times New Roman" w:hAnsiTheme="minorBidi"/>
              </w:rPr>
            </w:pPr>
            <w:r w:rsidRPr="00330C5D">
              <w:rPr>
                <w:rFonts w:asciiTheme="minorBidi" w:eastAsia="Times New Roman" w:hAnsiTheme="minorBidi"/>
              </w:rPr>
              <w:lastRenderedPageBreak/>
              <w:t>KDM2B Forward</w:t>
            </w:r>
          </w:p>
        </w:tc>
        <w:tc>
          <w:tcPr>
            <w:tcW w:w="4959" w:type="dxa"/>
            <w:tcBorders>
              <w:top w:val="nil"/>
              <w:left w:val="nil"/>
              <w:bottom w:val="single" w:sz="4" w:space="0" w:color="auto"/>
              <w:right w:val="single" w:sz="4" w:space="0" w:color="auto"/>
            </w:tcBorders>
            <w:shd w:val="clear" w:color="000000" w:fill="FFFFFF"/>
            <w:noWrap/>
            <w:vAlign w:val="center"/>
            <w:hideMark/>
          </w:tcPr>
          <w:p w14:paraId="0DE7E29E" w14:textId="77777777" w:rsidR="005A184F" w:rsidRPr="00330C5D" w:rsidRDefault="005A184F" w:rsidP="00330C5D">
            <w:pPr>
              <w:spacing w:after="0" w:line="360" w:lineRule="auto"/>
              <w:jc w:val="both"/>
              <w:rPr>
                <w:rFonts w:asciiTheme="minorBidi" w:eastAsia="Times New Roman" w:hAnsiTheme="minorBidi"/>
              </w:rPr>
            </w:pPr>
            <w:r w:rsidRPr="00330C5D">
              <w:rPr>
                <w:rFonts w:asciiTheme="minorBidi" w:eastAsia="Times New Roman" w:hAnsiTheme="minorBidi"/>
              </w:rPr>
              <w:t>5-TTCCGGGGTGGGAAGATTT-3</w:t>
            </w:r>
          </w:p>
        </w:tc>
      </w:tr>
      <w:tr w:rsidR="005A184F" w:rsidRPr="00330C5D" w14:paraId="79D2B8AF" w14:textId="77777777" w:rsidTr="002E7203">
        <w:trPr>
          <w:trHeight w:val="290"/>
        </w:trPr>
        <w:tc>
          <w:tcPr>
            <w:tcW w:w="2405" w:type="dxa"/>
            <w:tcBorders>
              <w:top w:val="nil"/>
              <w:left w:val="single" w:sz="4" w:space="0" w:color="auto"/>
              <w:bottom w:val="single" w:sz="4" w:space="0" w:color="auto"/>
              <w:right w:val="single" w:sz="4" w:space="0" w:color="auto"/>
            </w:tcBorders>
            <w:shd w:val="clear" w:color="000000" w:fill="FFFFFF"/>
            <w:noWrap/>
            <w:vAlign w:val="center"/>
            <w:hideMark/>
          </w:tcPr>
          <w:p w14:paraId="19D1A691" w14:textId="77777777" w:rsidR="005A184F" w:rsidRPr="00330C5D" w:rsidRDefault="005A184F" w:rsidP="00330C5D">
            <w:pPr>
              <w:spacing w:after="0" w:line="360" w:lineRule="auto"/>
              <w:jc w:val="both"/>
              <w:rPr>
                <w:rFonts w:asciiTheme="minorBidi" w:eastAsia="Times New Roman" w:hAnsiTheme="minorBidi"/>
              </w:rPr>
            </w:pPr>
            <w:r w:rsidRPr="00330C5D">
              <w:rPr>
                <w:rFonts w:asciiTheme="minorBidi" w:eastAsia="Times New Roman" w:hAnsiTheme="minorBidi"/>
              </w:rPr>
              <w:t>RING1A Reverse</w:t>
            </w:r>
          </w:p>
        </w:tc>
        <w:tc>
          <w:tcPr>
            <w:tcW w:w="4959" w:type="dxa"/>
            <w:tcBorders>
              <w:top w:val="nil"/>
              <w:left w:val="nil"/>
              <w:bottom w:val="single" w:sz="4" w:space="0" w:color="auto"/>
              <w:right w:val="single" w:sz="4" w:space="0" w:color="auto"/>
            </w:tcBorders>
            <w:shd w:val="clear" w:color="000000" w:fill="FFFFFF"/>
            <w:noWrap/>
            <w:vAlign w:val="center"/>
            <w:hideMark/>
          </w:tcPr>
          <w:p w14:paraId="1AEFBA81" w14:textId="77777777" w:rsidR="005A184F" w:rsidRPr="00330C5D" w:rsidRDefault="005A184F" w:rsidP="00330C5D">
            <w:pPr>
              <w:spacing w:after="0" w:line="360" w:lineRule="auto"/>
              <w:jc w:val="both"/>
              <w:rPr>
                <w:rFonts w:asciiTheme="minorBidi" w:eastAsia="Times New Roman" w:hAnsiTheme="minorBidi"/>
              </w:rPr>
            </w:pPr>
            <w:r w:rsidRPr="00330C5D">
              <w:rPr>
                <w:rFonts w:asciiTheme="minorBidi" w:eastAsia="Times New Roman" w:hAnsiTheme="minorBidi"/>
              </w:rPr>
              <w:t>5-GCTTCTTTCGGCAGGTAGGACACT-3</w:t>
            </w:r>
          </w:p>
        </w:tc>
      </w:tr>
      <w:tr w:rsidR="005A184F" w:rsidRPr="00330C5D" w14:paraId="4150F94A" w14:textId="77777777" w:rsidTr="002E7203">
        <w:trPr>
          <w:trHeight w:val="290"/>
        </w:trPr>
        <w:tc>
          <w:tcPr>
            <w:tcW w:w="2405" w:type="dxa"/>
            <w:tcBorders>
              <w:top w:val="nil"/>
              <w:left w:val="single" w:sz="4" w:space="0" w:color="auto"/>
              <w:bottom w:val="single" w:sz="4" w:space="0" w:color="auto"/>
              <w:right w:val="single" w:sz="4" w:space="0" w:color="auto"/>
            </w:tcBorders>
            <w:shd w:val="clear" w:color="000000" w:fill="FFFFFF"/>
            <w:noWrap/>
            <w:vAlign w:val="center"/>
            <w:hideMark/>
          </w:tcPr>
          <w:p w14:paraId="2403F8E7" w14:textId="77777777" w:rsidR="005A184F" w:rsidRPr="00330C5D" w:rsidRDefault="005A184F" w:rsidP="00330C5D">
            <w:pPr>
              <w:spacing w:after="0" w:line="360" w:lineRule="auto"/>
              <w:jc w:val="both"/>
              <w:rPr>
                <w:rFonts w:asciiTheme="minorBidi" w:eastAsia="Times New Roman" w:hAnsiTheme="minorBidi"/>
              </w:rPr>
            </w:pPr>
            <w:r w:rsidRPr="00330C5D">
              <w:rPr>
                <w:rFonts w:asciiTheme="minorBidi" w:eastAsia="Times New Roman" w:hAnsiTheme="minorBidi"/>
              </w:rPr>
              <w:t>RING1A Forward</w:t>
            </w:r>
          </w:p>
        </w:tc>
        <w:tc>
          <w:tcPr>
            <w:tcW w:w="4959" w:type="dxa"/>
            <w:tcBorders>
              <w:top w:val="nil"/>
              <w:left w:val="nil"/>
              <w:bottom w:val="single" w:sz="4" w:space="0" w:color="auto"/>
              <w:right w:val="single" w:sz="4" w:space="0" w:color="auto"/>
            </w:tcBorders>
            <w:shd w:val="clear" w:color="000000" w:fill="FFFFFF"/>
            <w:noWrap/>
            <w:vAlign w:val="center"/>
            <w:hideMark/>
          </w:tcPr>
          <w:p w14:paraId="47707BFA" w14:textId="77777777" w:rsidR="005A184F" w:rsidRPr="00330C5D" w:rsidRDefault="005A184F" w:rsidP="00330C5D">
            <w:pPr>
              <w:spacing w:after="0" w:line="360" w:lineRule="auto"/>
              <w:jc w:val="both"/>
              <w:rPr>
                <w:rFonts w:asciiTheme="minorBidi" w:eastAsia="Times New Roman" w:hAnsiTheme="minorBidi"/>
              </w:rPr>
            </w:pPr>
            <w:r w:rsidRPr="00330C5D">
              <w:rPr>
                <w:rFonts w:asciiTheme="minorBidi" w:eastAsia="Times New Roman" w:hAnsiTheme="minorBidi"/>
              </w:rPr>
              <w:t>5-CTCATGTGCCCTATCTGCCTGG-3</w:t>
            </w:r>
          </w:p>
        </w:tc>
      </w:tr>
      <w:tr w:rsidR="005A184F" w:rsidRPr="00330C5D" w14:paraId="7072A0AA" w14:textId="77777777" w:rsidTr="002E7203">
        <w:trPr>
          <w:trHeight w:val="290"/>
        </w:trPr>
        <w:tc>
          <w:tcPr>
            <w:tcW w:w="2405" w:type="dxa"/>
            <w:tcBorders>
              <w:top w:val="nil"/>
              <w:left w:val="single" w:sz="4" w:space="0" w:color="auto"/>
              <w:bottom w:val="single" w:sz="4" w:space="0" w:color="auto"/>
              <w:right w:val="single" w:sz="4" w:space="0" w:color="auto"/>
            </w:tcBorders>
            <w:shd w:val="clear" w:color="000000" w:fill="FFFFFF"/>
            <w:noWrap/>
            <w:vAlign w:val="center"/>
            <w:hideMark/>
          </w:tcPr>
          <w:p w14:paraId="5A78730F" w14:textId="77777777" w:rsidR="005A184F" w:rsidRPr="00330C5D" w:rsidRDefault="005A184F" w:rsidP="00330C5D">
            <w:pPr>
              <w:spacing w:after="0" w:line="360" w:lineRule="auto"/>
              <w:jc w:val="both"/>
              <w:rPr>
                <w:rFonts w:asciiTheme="minorBidi" w:eastAsia="Times New Roman" w:hAnsiTheme="minorBidi"/>
              </w:rPr>
            </w:pPr>
            <w:r w:rsidRPr="00330C5D">
              <w:rPr>
                <w:rFonts w:asciiTheme="minorBidi" w:eastAsia="Times New Roman" w:hAnsiTheme="minorBidi"/>
              </w:rPr>
              <w:t>RING1B Forward</w:t>
            </w:r>
          </w:p>
        </w:tc>
        <w:tc>
          <w:tcPr>
            <w:tcW w:w="4959" w:type="dxa"/>
            <w:tcBorders>
              <w:top w:val="nil"/>
              <w:left w:val="nil"/>
              <w:bottom w:val="single" w:sz="4" w:space="0" w:color="auto"/>
              <w:right w:val="single" w:sz="4" w:space="0" w:color="auto"/>
            </w:tcBorders>
            <w:shd w:val="clear" w:color="000000" w:fill="FFFFFF"/>
            <w:noWrap/>
            <w:vAlign w:val="center"/>
            <w:hideMark/>
          </w:tcPr>
          <w:p w14:paraId="59E2E4DC" w14:textId="77777777" w:rsidR="005A184F" w:rsidRPr="00330C5D" w:rsidRDefault="005A184F" w:rsidP="00330C5D">
            <w:pPr>
              <w:spacing w:after="0" w:line="360" w:lineRule="auto"/>
              <w:jc w:val="both"/>
              <w:rPr>
                <w:rFonts w:asciiTheme="minorBidi" w:eastAsia="Times New Roman" w:hAnsiTheme="minorBidi"/>
              </w:rPr>
            </w:pPr>
            <w:r w:rsidRPr="00330C5D">
              <w:rPr>
                <w:rFonts w:asciiTheme="minorBidi" w:eastAsia="Times New Roman" w:hAnsiTheme="minorBidi"/>
              </w:rPr>
              <w:t>5-AGCACAATAATCAGCAAGCACTC-3</w:t>
            </w:r>
          </w:p>
        </w:tc>
      </w:tr>
      <w:tr w:rsidR="002E7203" w:rsidRPr="00330C5D" w14:paraId="7D5E82B1" w14:textId="77777777" w:rsidTr="002E7203">
        <w:trPr>
          <w:trHeight w:val="290"/>
        </w:trPr>
        <w:tc>
          <w:tcPr>
            <w:tcW w:w="2405" w:type="dxa"/>
            <w:tcBorders>
              <w:top w:val="nil"/>
              <w:left w:val="single" w:sz="4" w:space="0" w:color="auto"/>
              <w:bottom w:val="single" w:sz="4" w:space="0" w:color="auto"/>
              <w:right w:val="single" w:sz="4" w:space="0" w:color="auto"/>
            </w:tcBorders>
            <w:shd w:val="clear" w:color="000000" w:fill="FFFFFF"/>
            <w:noWrap/>
            <w:vAlign w:val="center"/>
          </w:tcPr>
          <w:p w14:paraId="788A844D" w14:textId="77777777" w:rsidR="002E7203" w:rsidRPr="00330C5D" w:rsidRDefault="002E7203" w:rsidP="00330C5D">
            <w:pPr>
              <w:spacing w:after="0" w:line="360" w:lineRule="auto"/>
              <w:jc w:val="both"/>
              <w:rPr>
                <w:rFonts w:asciiTheme="minorBidi" w:eastAsia="Times New Roman" w:hAnsiTheme="minorBidi"/>
              </w:rPr>
            </w:pPr>
            <w:r w:rsidRPr="00330C5D">
              <w:rPr>
                <w:rFonts w:asciiTheme="minorBidi" w:eastAsia="Times New Roman" w:hAnsiTheme="minorBidi"/>
              </w:rPr>
              <w:t>RING1B Reverse</w:t>
            </w:r>
          </w:p>
        </w:tc>
        <w:tc>
          <w:tcPr>
            <w:tcW w:w="4959" w:type="dxa"/>
            <w:tcBorders>
              <w:top w:val="nil"/>
              <w:left w:val="nil"/>
              <w:bottom w:val="single" w:sz="4" w:space="0" w:color="auto"/>
              <w:right w:val="single" w:sz="4" w:space="0" w:color="auto"/>
            </w:tcBorders>
            <w:shd w:val="clear" w:color="000000" w:fill="FFFFFF"/>
            <w:noWrap/>
            <w:vAlign w:val="center"/>
          </w:tcPr>
          <w:p w14:paraId="75028969" w14:textId="77777777" w:rsidR="002E7203" w:rsidRPr="00330C5D" w:rsidRDefault="002E7203" w:rsidP="00330C5D">
            <w:pPr>
              <w:spacing w:after="0" w:line="360" w:lineRule="auto"/>
              <w:jc w:val="both"/>
              <w:rPr>
                <w:rFonts w:asciiTheme="minorBidi" w:eastAsia="Times New Roman" w:hAnsiTheme="minorBidi"/>
              </w:rPr>
            </w:pPr>
            <w:r w:rsidRPr="00330C5D">
              <w:rPr>
                <w:rFonts w:asciiTheme="minorBidi" w:eastAsia="Times New Roman" w:hAnsiTheme="minorBidi"/>
              </w:rPr>
              <w:t>5-GCTCCACTACCATTTTCAATCTG-3</w:t>
            </w:r>
          </w:p>
        </w:tc>
      </w:tr>
      <w:tr w:rsidR="002E7203" w:rsidRPr="00330C5D" w14:paraId="101537C1" w14:textId="77777777" w:rsidTr="002E7203">
        <w:trPr>
          <w:trHeight w:val="290"/>
        </w:trPr>
        <w:tc>
          <w:tcPr>
            <w:tcW w:w="2405" w:type="dxa"/>
            <w:tcBorders>
              <w:top w:val="nil"/>
              <w:left w:val="single" w:sz="4" w:space="0" w:color="auto"/>
              <w:bottom w:val="single" w:sz="4" w:space="0" w:color="auto"/>
              <w:right w:val="single" w:sz="4" w:space="0" w:color="auto"/>
            </w:tcBorders>
            <w:shd w:val="clear" w:color="000000" w:fill="FFFFFF"/>
            <w:noWrap/>
            <w:vAlign w:val="center"/>
          </w:tcPr>
          <w:p w14:paraId="2DC8C2C1" w14:textId="77777777" w:rsidR="002E7203" w:rsidRPr="00330C5D" w:rsidRDefault="00984970" w:rsidP="00330C5D">
            <w:pPr>
              <w:spacing w:after="0" w:line="360" w:lineRule="auto"/>
              <w:jc w:val="both"/>
              <w:rPr>
                <w:rFonts w:asciiTheme="minorBidi" w:eastAsia="Times New Roman" w:hAnsiTheme="minorBidi"/>
              </w:rPr>
            </w:pPr>
            <w:r w:rsidRPr="00330C5D">
              <w:rPr>
                <w:rFonts w:asciiTheme="minorBidi" w:eastAsia="Times New Roman" w:hAnsiTheme="minorBidi"/>
              </w:rPr>
              <w:t xml:space="preserve">ADAMTS1 Forward </w:t>
            </w:r>
          </w:p>
        </w:tc>
        <w:tc>
          <w:tcPr>
            <w:tcW w:w="4959" w:type="dxa"/>
            <w:tcBorders>
              <w:top w:val="nil"/>
              <w:left w:val="nil"/>
              <w:bottom w:val="single" w:sz="4" w:space="0" w:color="auto"/>
              <w:right w:val="single" w:sz="4" w:space="0" w:color="auto"/>
            </w:tcBorders>
            <w:shd w:val="clear" w:color="000000" w:fill="FFFFFF"/>
            <w:noWrap/>
            <w:vAlign w:val="center"/>
          </w:tcPr>
          <w:p w14:paraId="09E422BC" w14:textId="77777777" w:rsidR="002E7203" w:rsidRPr="00330C5D" w:rsidRDefault="00C41481" w:rsidP="00330C5D">
            <w:pPr>
              <w:spacing w:after="0" w:line="360" w:lineRule="auto"/>
              <w:jc w:val="both"/>
              <w:rPr>
                <w:rFonts w:asciiTheme="minorBidi" w:eastAsia="Times New Roman" w:hAnsiTheme="minorBidi"/>
              </w:rPr>
            </w:pPr>
            <w:r w:rsidRPr="00330C5D">
              <w:rPr>
                <w:rFonts w:asciiTheme="minorBidi" w:eastAsia="Times New Roman" w:hAnsiTheme="minorBidi"/>
              </w:rPr>
              <w:t>5-TTCCACGGCAGTGGTCTAAAG-3</w:t>
            </w:r>
          </w:p>
        </w:tc>
      </w:tr>
      <w:tr w:rsidR="002E7203" w:rsidRPr="00330C5D" w14:paraId="48DF96FE" w14:textId="77777777" w:rsidTr="002E7203">
        <w:trPr>
          <w:trHeight w:val="290"/>
        </w:trPr>
        <w:tc>
          <w:tcPr>
            <w:tcW w:w="2405" w:type="dxa"/>
            <w:tcBorders>
              <w:top w:val="nil"/>
              <w:left w:val="single" w:sz="4" w:space="0" w:color="auto"/>
              <w:bottom w:val="single" w:sz="4" w:space="0" w:color="auto"/>
              <w:right w:val="single" w:sz="4" w:space="0" w:color="auto"/>
            </w:tcBorders>
            <w:shd w:val="clear" w:color="000000" w:fill="FFFFFF"/>
            <w:noWrap/>
            <w:vAlign w:val="center"/>
          </w:tcPr>
          <w:p w14:paraId="19089619" w14:textId="77777777" w:rsidR="002E7203" w:rsidRPr="00330C5D" w:rsidRDefault="00984970" w:rsidP="00330C5D">
            <w:pPr>
              <w:spacing w:after="0" w:line="360" w:lineRule="auto"/>
              <w:jc w:val="both"/>
              <w:rPr>
                <w:rFonts w:asciiTheme="minorBidi" w:eastAsia="Times New Roman" w:hAnsiTheme="minorBidi"/>
              </w:rPr>
            </w:pPr>
            <w:r w:rsidRPr="00330C5D">
              <w:rPr>
                <w:rFonts w:asciiTheme="minorBidi" w:eastAsia="Times New Roman" w:hAnsiTheme="minorBidi"/>
              </w:rPr>
              <w:t>ADAMTS1 Reverse</w:t>
            </w:r>
          </w:p>
        </w:tc>
        <w:tc>
          <w:tcPr>
            <w:tcW w:w="4959" w:type="dxa"/>
            <w:tcBorders>
              <w:top w:val="nil"/>
              <w:left w:val="nil"/>
              <w:bottom w:val="single" w:sz="4" w:space="0" w:color="auto"/>
              <w:right w:val="single" w:sz="4" w:space="0" w:color="auto"/>
            </w:tcBorders>
            <w:shd w:val="clear" w:color="000000" w:fill="FFFFFF"/>
            <w:noWrap/>
            <w:vAlign w:val="center"/>
          </w:tcPr>
          <w:p w14:paraId="7972EC49" w14:textId="77777777" w:rsidR="002E7203" w:rsidRPr="00330C5D" w:rsidRDefault="00C41481" w:rsidP="00330C5D">
            <w:pPr>
              <w:spacing w:after="0" w:line="360" w:lineRule="auto"/>
              <w:jc w:val="both"/>
              <w:rPr>
                <w:rFonts w:asciiTheme="minorBidi" w:eastAsia="Times New Roman" w:hAnsiTheme="minorBidi"/>
              </w:rPr>
            </w:pPr>
            <w:r w:rsidRPr="00330C5D">
              <w:rPr>
                <w:rFonts w:asciiTheme="minorBidi" w:eastAsia="Times New Roman" w:hAnsiTheme="minorBidi"/>
              </w:rPr>
              <w:t>5-CCACCAGGCTAACTGAATTACG-3</w:t>
            </w:r>
          </w:p>
        </w:tc>
      </w:tr>
      <w:tr w:rsidR="00002E2F" w:rsidRPr="00330C5D" w14:paraId="3BCAB24D" w14:textId="77777777" w:rsidTr="002E7203">
        <w:trPr>
          <w:trHeight w:val="290"/>
        </w:trPr>
        <w:tc>
          <w:tcPr>
            <w:tcW w:w="2405" w:type="dxa"/>
            <w:tcBorders>
              <w:top w:val="nil"/>
              <w:left w:val="single" w:sz="4" w:space="0" w:color="auto"/>
              <w:bottom w:val="single" w:sz="4" w:space="0" w:color="auto"/>
              <w:right w:val="single" w:sz="4" w:space="0" w:color="auto"/>
            </w:tcBorders>
            <w:shd w:val="clear" w:color="000000" w:fill="FFFFFF"/>
            <w:noWrap/>
            <w:vAlign w:val="center"/>
          </w:tcPr>
          <w:p w14:paraId="44B06C75" w14:textId="77777777" w:rsidR="00002E2F" w:rsidRPr="00330C5D" w:rsidRDefault="006B0D7C" w:rsidP="00330C5D">
            <w:pPr>
              <w:spacing w:after="0" w:line="360" w:lineRule="auto"/>
              <w:jc w:val="both"/>
              <w:rPr>
                <w:rFonts w:asciiTheme="minorBidi" w:eastAsia="Times New Roman" w:hAnsiTheme="minorBidi"/>
              </w:rPr>
            </w:pPr>
            <w:r w:rsidRPr="00330C5D">
              <w:rPr>
                <w:rFonts w:asciiTheme="minorBidi" w:eastAsia="Times New Roman" w:hAnsiTheme="minorBidi"/>
              </w:rPr>
              <w:t>PTAFR Forward</w:t>
            </w:r>
          </w:p>
        </w:tc>
        <w:tc>
          <w:tcPr>
            <w:tcW w:w="4959" w:type="dxa"/>
            <w:tcBorders>
              <w:top w:val="nil"/>
              <w:left w:val="nil"/>
              <w:bottom w:val="single" w:sz="4" w:space="0" w:color="auto"/>
              <w:right w:val="single" w:sz="4" w:space="0" w:color="auto"/>
            </w:tcBorders>
            <w:shd w:val="clear" w:color="000000" w:fill="FFFFFF"/>
            <w:noWrap/>
            <w:vAlign w:val="center"/>
          </w:tcPr>
          <w:p w14:paraId="3F3DAAB5" w14:textId="77777777" w:rsidR="00002E2F" w:rsidRPr="00330C5D" w:rsidRDefault="00EE1EA1" w:rsidP="00330C5D">
            <w:pPr>
              <w:spacing w:after="0" w:line="360" w:lineRule="auto"/>
              <w:jc w:val="both"/>
              <w:rPr>
                <w:rFonts w:asciiTheme="minorBidi" w:eastAsia="Times New Roman" w:hAnsiTheme="minorBidi"/>
              </w:rPr>
            </w:pPr>
            <w:r w:rsidRPr="00330C5D">
              <w:rPr>
                <w:rFonts w:asciiTheme="minorBidi" w:eastAsia="Times New Roman" w:hAnsiTheme="minorBidi"/>
              </w:rPr>
              <w:t>5-GTGCTCGGGGTCATTGCTAAT-3</w:t>
            </w:r>
          </w:p>
        </w:tc>
      </w:tr>
      <w:tr w:rsidR="00002E2F" w:rsidRPr="00330C5D" w14:paraId="0902CC6E" w14:textId="77777777" w:rsidTr="002E7203">
        <w:trPr>
          <w:trHeight w:val="290"/>
        </w:trPr>
        <w:tc>
          <w:tcPr>
            <w:tcW w:w="2405" w:type="dxa"/>
            <w:tcBorders>
              <w:top w:val="nil"/>
              <w:left w:val="single" w:sz="4" w:space="0" w:color="auto"/>
              <w:bottom w:val="single" w:sz="4" w:space="0" w:color="auto"/>
              <w:right w:val="single" w:sz="4" w:space="0" w:color="auto"/>
            </w:tcBorders>
            <w:shd w:val="clear" w:color="000000" w:fill="FFFFFF"/>
            <w:noWrap/>
            <w:vAlign w:val="center"/>
          </w:tcPr>
          <w:p w14:paraId="6A2717ED" w14:textId="77777777" w:rsidR="00002E2F" w:rsidRPr="00330C5D" w:rsidRDefault="006B0D7C" w:rsidP="00330C5D">
            <w:pPr>
              <w:spacing w:after="0" w:line="360" w:lineRule="auto"/>
              <w:jc w:val="both"/>
              <w:rPr>
                <w:rFonts w:asciiTheme="minorBidi" w:eastAsia="Times New Roman" w:hAnsiTheme="minorBidi"/>
              </w:rPr>
            </w:pPr>
            <w:r w:rsidRPr="00330C5D">
              <w:rPr>
                <w:rFonts w:asciiTheme="minorBidi" w:eastAsia="Times New Roman" w:hAnsiTheme="minorBidi"/>
              </w:rPr>
              <w:t>PTAFR Reverse</w:t>
            </w:r>
          </w:p>
        </w:tc>
        <w:tc>
          <w:tcPr>
            <w:tcW w:w="4959" w:type="dxa"/>
            <w:tcBorders>
              <w:top w:val="nil"/>
              <w:left w:val="nil"/>
              <w:bottom w:val="single" w:sz="4" w:space="0" w:color="auto"/>
              <w:right w:val="single" w:sz="4" w:space="0" w:color="auto"/>
            </w:tcBorders>
            <w:shd w:val="clear" w:color="000000" w:fill="FFFFFF"/>
            <w:noWrap/>
            <w:vAlign w:val="center"/>
          </w:tcPr>
          <w:p w14:paraId="78CDC4C6" w14:textId="77777777" w:rsidR="00002E2F" w:rsidRPr="00330C5D" w:rsidRDefault="00EE1EA1" w:rsidP="00330C5D">
            <w:pPr>
              <w:spacing w:after="0" w:line="360" w:lineRule="auto"/>
              <w:jc w:val="both"/>
              <w:rPr>
                <w:rFonts w:asciiTheme="minorBidi" w:eastAsia="Times New Roman" w:hAnsiTheme="minorBidi"/>
              </w:rPr>
            </w:pPr>
            <w:r w:rsidRPr="00330C5D">
              <w:rPr>
                <w:rFonts w:asciiTheme="minorBidi" w:eastAsia="Times New Roman" w:hAnsiTheme="minorBidi"/>
              </w:rPr>
              <w:t>5-GCCCTGGTTTTGGTAGTAGACA-3</w:t>
            </w:r>
          </w:p>
        </w:tc>
      </w:tr>
      <w:tr w:rsidR="002E7203" w:rsidRPr="00330C5D" w14:paraId="32F5C6F0" w14:textId="77777777" w:rsidTr="002E7203">
        <w:trPr>
          <w:trHeight w:val="290"/>
        </w:trPr>
        <w:tc>
          <w:tcPr>
            <w:tcW w:w="2405" w:type="dxa"/>
            <w:tcBorders>
              <w:top w:val="nil"/>
              <w:left w:val="single" w:sz="4" w:space="0" w:color="auto"/>
              <w:bottom w:val="single" w:sz="4" w:space="0" w:color="auto"/>
              <w:right w:val="single" w:sz="4" w:space="0" w:color="auto"/>
            </w:tcBorders>
            <w:shd w:val="clear" w:color="000000" w:fill="FFFFFF"/>
            <w:noWrap/>
            <w:vAlign w:val="center"/>
          </w:tcPr>
          <w:p w14:paraId="4B694C09" w14:textId="77777777" w:rsidR="002E7203" w:rsidRPr="00330C5D" w:rsidRDefault="00B45FB9" w:rsidP="00330C5D">
            <w:pPr>
              <w:spacing w:after="0" w:line="360" w:lineRule="auto"/>
              <w:jc w:val="both"/>
              <w:rPr>
                <w:rFonts w:asciiTheme="minorBidi" w:eastAsia="Times New Roman" w:hAnsiTheme="minorBidi"/>
              </w:rPr>
            </w:pPr>
            <w:r w:rsidRPr="00330C5D">
              <w:rPr>
                <w:rFonts w:asciiTheme="minorBidi" w:eastAsia="Times New Roman" w:hAnsiTheme="minorBidi"/>
              </w:rPr>
              <w:t>FGR Forward</w:t>
            </w:r>
          </w:p>
        </w:tc>
        <w:tc>
          <w:tcPr>
            <w:tcW w:w="4959" w:type="dxa"/>
            <w:tcBorders>
              <w:top w:val="nil"/>
              <w:left w:val="nil"/>
              <w:bottom w:val="single" w:sz="4" w:space="0" w:color="auto"/>
              <w:right w:val="single" w:sz="4" w:space="0" w:color="auto"/>
            </w:tcBorders>
            <w:shd w:val="clear" w:color="000000" w:fill="FFFFFF"/>
            <w:noWrap/>
            <w:vAlign w:val="center"/>
          </w:tcPr>
          <w:p w14:paraId="2196D854" w14:textId="77777777" w:rsidR="002E7203" w:rsidRPr="00330C5D" w:rsidRDefault="00C41481" w:rsidP="00330C5D">
            <w:pPr>
              <w:spacing w:after="0" w:line="360" w:lineRule="auto"/>
              <w:jc w:val="both"/>
              <w:rPr>
                <w:rFonts w:asciiTheme="minorBidi" w:eastAsia="Times New Roman" w:hAnsiTheme="minorBidi"/>
              </w:rPr>
            </w:pPr>
            <w:r w:rsidRPr="00330C5D">
              <w:rPr>
                <w:rFonts w:asciiTheme="minorBidi" w:eastAsia="Times New Roman" w:hAnsiTheme="minorBidi"/>
              </w:rPr>
              <w:t>5-GGGCAGCAGACCACTATGG-3</w:t>
            </w:r>
          </w:p>
        </w:tc>
      </w:tr>
      <w:tr w:rsidR="002E7203" w:rsidRPr="00330C5D" w14:paraId="7A8F22F1" w14:textId="77777777" w:rsidTr="002E7203">
        <w:trPr>
          <w:trHeight w:val="290"/>
        </w:trPr>
        <w:tc>
          <w:tcPr>
            <w:tcW w:w="2405" w:type="dxa"/>
            <w:tcBorders>
              <w:top w:val="nil"/>
              <w:left w:val="single" w:sz="4" w:space="0" w:color="auto"/>
              <w:bottom w:val="single" w:sz="4" w:space="0" w:color="auto"/>
              <w:right w:val="single" w:sz="4" w:space="0" w:color="auto"/>
            </w:tcBorders>
            <w:shd w:val="clear" w:color="000000" w:fill="FFFFFF"/>
            <w:noWrap/>
            <w:vAlign w:val="center"/>
          </w:tcPr>
          <w:p w14:paraId="19DDB66A" w14:textId="77777777" w:rsidR="002E7203" w:rsidRPr="00330C5D" w:rsidRDefault="00B45FB9" w:rsidP="00330C5D">
            <w:pPr>
              <w:spacing w:after="0" w:line="360" w:lineRule="auto"/>
              <w:jc w:val="both"/>
              <w:rPr>
                <w:rFonts w:asciiTheme="minorBidi" w:eastAsia="Times New Roman" w:hAnsiTheme="minorBidi"/>
              </w:rPr>
            </w:pPr>
            <w:r w:rsidRPr="00330C5D">
              <w:rPr>
                <w:rFonts w:asciiTheme="minorBidi" w:eastAsia="Times New Roman" w:hAnsiTheme="minorBidi"/>
              </w:rPr>
              <w:t>FGR Reverse</w:t>
            </w:r>
          </w:p>
        </w:tc>
        <w:tc>
          <w:tcPr>
            <w:tcW w:w="4959" w:type="dxa"/>
            <w:tcBorders>
              <w:top w:val="nil"/>
              <w:left w:val="nil"/>
              <w:bottom w:val="single" w:sz="4" w:space="0" w:color="auto"/>
              <w:right w:val="single" w:sz="4" w:space="0" w:color="auto"/>
            </w:tcBorders>
            <w:shd w:val="clear" w:color="000000" w:fill="FFFFFF"/>
            <w:noWrap/>
            <w:vAlign w:val="center"/>
          </w:tcPr>
          <w:p w14:paraId="69ABB016" w14:textId="77777777" w:rsidR="002E7203" w:rsidRPr="00330C5D" w:rsidRDefault="00C41481" w:rsidP="00330C5D">
            <w:pPr>
              <w:spacing w:after="0" w:line="360" w:lineRule="auto"/>
              <w:jc w:val="both"/>
              <w:rPr>
                <w:rFonts w:asciiTheme="minorBidi" w:eastAsia="Times New Roman" w:hAnsiTheme="minorBidi"/>
              </w:rPr>
            </w:pPr>
            <w:r w:rsidRPr="00330C5D">
              <w:rPr>
                <w:rFonts w:asciiTheme="minorBidi" w:eastAsia="Times New Roman" w:hAnsiTheme="minorBidi"/>
              </w:rPr>
              <w:t>5-CCAGGGTTGATGGCCTGAG-3</w:t>
            </w:r>
          </w:p>
        </w:tc>
      </w:tr>
      <w:tr w:rsidR="002E7203" w:rsidRPr="00330C5D" w14:paraId="3FC3C41E" w14:textId="77777777" w:rsidTr="002E7203">
        <w:trPr>
          <w:trHeight w:val="290"/>
        </w:trPr>
        <w:tc>
          <w:tcPr>
            <w:tcW w:w="2405" w:type="dxa"/>
            <w:tcBorders>
              <w:top w:val="nil"/>
              <w:left w:val="single" w:sz="4" w:space="0" w:color="auto"/>
              <w:bottom w:val="single" w:sz="4" w:space="0" w:color="auto"/>
              <w:right w:val="single" w:sz="4" w:space="0" w:color="auto"/>
            </w:tcBorders>
            <w:shd w:val="clear" w:color="000000" w:fill="FFFFFF"/>
            <w:noWrap/>
            <w:vAlign w:val="center"/>
          </w:tcPr>
          <w:p w14:paraId="603C676B" w14:textId="77777777" w:rsidR="002E7203" w:rsidRPr="00330C5D" w:rsidRDefault="00D00A27" w:rsidP="00330C5D">
            <w:pPr>
              <w:spacing w:after="0" w:line="360" w:lineRule="auto"/>
              <w:jc w:val="both"/>
              <w:rPr>
                <w:rFonts w:asciiTheme="minorBidi" w:eastAsia="Times New Roman" w:hAnsiTheme="minorBidi"/>
              </w:rPr>
            </w:pPr>
            <w:r w:rsidRPr="00330C5D">
              <w:rPr>
                <w:rFonts w:asciiTheme="minorBidi" w:eastAsia="Times New Roman" w:hAnsiTheme="minorBidi"/>
              </w:rPr>
              <w:t>SLC2A6 Forward</w:t>
            </w:r>
          </w:p>
        </w:tc>
        <w:tc>
          <w:tcPr>
            <w:tcW w:w="4959" w:type="dxa"/>
            <w:tcBorders>
              <w:top w:val="nil"/>
              <w:left w:val="nil"/>
              <w:bottom w:val="single" w:sz="4" w:space="0" w:color="auto"/>
              <w:right w:val="single" w:sz="4" w:space="0" w:color="auto"/>
            </w:tcBorders>
            <w:shd w:val="clear" w:color="000000" w:fill="FFFFFF"/>
            <w:noWrap/>
            <w:vAlign w:val="center"/>
          </w:tcPr>
          <w:p w14:paraId="0858550F" w14:textId="77777777" w:rsidR="002E7203" w:rsidRPr="00330C5D" w:rsidRDefault="00C41481" w:rsidP="00330C5D">
            <w:pPr>
              <w:spacing w:after="0" w:line="360" w:lineRule="auto"/>
              <w:jc w:val="both"/>
              <w:rPr>
                <w:rFonts w:asciiTheme="minorBidi" w:eastAsia="Times New Roman" w:hAnsiTheme="minorBidi"/>
              </w:rPr>
            </w:pPr>
            <w:r w:rsidRPr="00330C5D">
              <w:rPr>
                <w:rFonts w:asciiTheme="minorBidi" w:eastAsia="Times New Roman" w:hAnsiTheme="minorBidi"/>
              </w:rPr>
              <w:t>5-CCGGACTACGACACCTTCC-3</w:t>
            </w:r>
          </w:p>
        </w:tc>
      </w:tr>
      <w:tr w:rsidR="002E7203" w:rsidRPr="00330C5D" w14:paraId="23026C73" w14:textId="77777777" w:rsidTr="002E7203">
        <w:trPr>
          <w:trHeight w:val="290"/>
        </w:trPr>
        <w:tc>
          <w:tcPr>
            <w:tcW w:w="2405" w:type="dxa"/>
            <w:tcBorders>
              <w:top w:val="nil"/>
              <w:left w:val="single" w:sz="4" w:space="0" w:color="auto"/>
              <w:bottom w:val="single" w:sz="4" w:space="0" w:color="auto"/>
              <w:right w:val="single" w:sz="4" w:space="0" w:color="auto"/>
            </w:tcBorders>
            <w:shd w:val="clear" w:color="000000" w:fill="FFFFFF"/>
            <w:noWrap/>
            <w:vAlign w:val="center"/>
          </w:tcPr>
          <w:p w14:paraId="5447780E" w14:textId="77777777" w:rsidR="002E7203" w:rsidRPr="00330C5D" w:rsidRDefault="00D00A27" w:rsidP="00330C5D">
            <w:pPr>
              <w:spacing w:after="0" w:line="360" w:lineRule="auto"/>
              <w:jc w:val="both"/>
              <w:rPr>
                <w:rFonts w:asciiTheme="minorBidi" w:eastAsia="Times New Roman" w:hAnsiTheme="minorBidi"/>
              </w:rPr>
            </w:pPr>
            <w:r w:rsidRPr="00330C5D">
              <w:rPr>
                <w:rFonts w:asciiTheme="minorBidi" w:eastAsia="Times New Roman" w:hAnsiTheme="minorBidi"/>
              </w:rPr>
              <w:t>SLC2A6 Reverse</w:t>
            </w:r>
          </w:p>
        </w:tc>
        <w:tc>
          <w:tcPr>
            <w:tcW w:w="4959" w:type="dxa"/>
            <w:tcBorders>
              <w:top w:val="nil"/>
              <w:left w:val="nil"/>
              <w:bottom w:val="single" w:sz="4" w:space="0" w:color="auto"/>
              <w:right w:val="single" w:sz="4" w:space="0" w:color="auto"/>
            </w:tcBorders>
            <w:shd w:val="clear" w:color="000000" w:fill="FFFFFF"/>
            <w:noWrap/>
            <w:vAlign w:val="center"/>
          </w:tcPr>
          <w:p w14:paraId="54D5A406" w14:textId="77777777" w:rsidR="002E7203" w:rsidRPr="00330C5D" w:rsidRDefault="00C41481" w:rsidP="00330C5D">
            <w:pPr>
              <w:spacing w:after="0" w:line="360" w:lineRule="auto"/>
              <w:jc w:val="both"/>
              <w:rPr>
                <w:rFonts w:asciiTheme="minorBidi" w:eastAsia="Times New Roman" w:hAnsiTheme="minorBidi"/>
              </w:rPr>
            </w:pPr>
            <w:r w:rsidRPr="00330C5D">
              <w:rPr>
                <w:rFonts w:asciiTheme="minorBidi" w:eastAsia="Times New Roman" w:hAnsiTheme="minorBidi"/>
              </w:rPr>
              <w:t>5-GGATGTGTAGACCAGGGCATA-3</w:t>
            </w:r>
          </w:p>
        </w:tc>
      </w:tr>
      <w:tr w:rsidR="002E7203" w:rsidRPr="00330C5D" w14:paraId="0629E9CE" w14:textId="77777777" w:rsidTr="002E7203">
        <w:trPr>
          <w:trHeight w:val="290"/>
        </w:trPr>
        <w:tc>
          <w:tcPr>
            <w:tcW w:w="2405" w:type="dxa"/>
            <w:tcBorders>
              <w:top w:val="nil"/>
              <w:left w:val="single" w:sz="4" w:space="0" w:color="auto"/>
              <w:bottom w:val="single" w:sz="4" w:space="0" w:color="auto"/>
              <w:right w:val="single" w:sz="4" w:space="0" w:color="auto"/>
            </w:tcBorders>
            <w:shd w:val="clear" w:color="000000" w:fill="FFFFFF"/>
            <w:noWrap/>
            <w:vAlign w:val="center"/>
          </w:tcPr>
          <w:p w14:paraId="2F072B54" w14:textId="77777777" w:rsidR="002E7203" w:rsidRPr="00330C5D" w:rsidRDefault="00435EEF" w:rsidP="00330C5D">
            <w:pPr>
              <w:spacing w:after="0" w:line="360" w:lineRule="auto"/>
              <w:jc w:val="both"/>
              <w:rPr>
                <w:rFonts w:asciiTheme="minorBidi" w:eastAsia="Times New Roman" w:hAnsiTheme="minorBidi"/>
              </w:rPr>
            </w:pPr>
            <w:r w:rsidRPr="00330C5D">
              <w:rPr>
                <w:rFonts w:asciiTheme="minorBidi" w:eastAsia="Times New Roman" w:hAnsiTheme="minorBidi"/>
              </w:rPr>
              <w:t>RAB31 Forward</w:t>
            </w:r>
          </w:p>
        </w:tc>
        <w:tc>
          <w:tcPr>
            <w:tcW w:w="4959" w:type="dxa"/>
            <w:tcBorders>
              <w:top w:val="nil"/>
              <w:left w:val="nil"/>
              <w:bottom w:val="single" w:sz="4" w:space="0" w:color="auto"/>
              <w:right w:val="single" w:sz="4" w:space="0" w:color="auto"/>
            </w:tcBorders>
            <w:shd w:val="clear" w:color="000000" w:fill="FFFFFF"/>
            <w:noWrap/>
            <w:vAlign w:val="center"/>
          </w:tcPr>
          <w:p w14:paraId="41160E28" w14:textId="77777777" w:rsidR="002E7203" w:rsidRPr="00330C5D" w:rsidRDefault="00C41481" w:rsidP="00330C5D">
            <w:pPr>
              <w:spacing w:after="0" w:line="360" w:lineRule="auto"/>
              <w:jc w:val="both"/>
              <w:rPr>
                <w:rFonts w:asciiTheme="minorBidi" w:eastAsia="Times New Roman" w:hAnsiTheme="minorBidi"/>
              </w:rPr>
            </w:pPr>
            <w:r w:rsidRPr="00330C5D">
              <w:rPr>
                <w:rFonts w:asciiTheme="minorBidi" w:eastAsia="Times New Roman" w:hAnsiTheme="minorBidi"/>
              </w:rPr>
              <w:t>5-GGGGTTGGGAAATCAAGCATC-3</w:t>
            </w:r>
          </w:p>
        </w:tc>
      </w:tr>
      <w:tr w:rsidR="002E7203" w:rsidRPr="00330C5D" w14:paraId="5A56FF16" w14:textId="77777777" w:rsidTr="002E7203">
        <w:trPr>
          <w:trHeight w:val="290"/>
        </w:trPr>
        <w:tc>
          <w:tcPr>
            <w:tcW w:w="2405" w:type="dxa"/>
            <w:tcBorders>
              <w:top w:val="nil"/>
              <w:left w:val="single" w:sz="4" w:space="0" w:color="auto"/>
              <w:bottom w:val="single" w:sz="4" w:space="0" w:color="auto"/>
              <w:right w:val="single" w:sz="4" w:space="0" w:color="auto"/>
            </w:tcBorders>
            <w:shd w:val="clear" w:color="000000" w:fill="FFFFFF"/>
            <w:noWrap/>
            <w:vAlign w:val="center"/>
          </w:tcPr>
          <w:p w14:paraId="10FB2C13" w14:textId="77777777" w:rsidR="002E7203" w:rsidRPr="00330C5D" w:rsidRDefault="00435EEF" w:rsidP="00330C5D">
            <w:pPr>
              <w:spacing w:after="0" w:line="360" w:lineRule="auto"/>
              <w:jc w:val="both"/>
              <w:rPr>
                <w:rFonts w:asciiTheme="minorBidi" w:eastAsia="Times New Roman" w:hAnsiTheme="minorBidi"/>
              </w:rPr>
            </w:pPr>
            <w:r w:rsidRPr="00330C5D">
              <w:rPr>
                <w:rFonts w:asciiTheme="minorBidi" w:eastAsia="Times New Roman" w:hAnsiTheme="minorBidi"/>
              </w:rPr>
              <w:t>RAB31 Reverse</w:t>
            </w:r>
          </w:p>
        </w:tc>
        <w:tc>
          <w:tcPr>
            <w:tcW w:w="4959" w:type="dxa"/>
            <w:tcBorders>
              <w:top w:val="nil"/>
              <w:left w:val="nil"/>
              <w:bottom w:val="single" w:sz="4" w:space="0" w:color="auto"/>
              <w:right w:val="single" w:sz="4" w:space="0" w:color="auto"/>
            </w:tcBorders>
            <w:shd w:val="clear" w:color="000000" w:fill="FFFFFF"/>
            <w:noWrap/>
            <w:vAlign w:val="center"/>
          </w:tcPr>
          <w:p w14:paraId="0ED69D23" w14:textId="77777777" w:rsidR="002E7203" w:rsidRPr="00330C5D" w:rsidRDefault="00C41481" w:rsidP="00330C5D">
            <w:pPr>
              <w:spacing w:after="0" w:line="360" w:lineRule="auto"/>
              <w:jc w:val="both"/>
              <w:rPr>
                <w:rFonts w:asciiTheme="minorBidi" w:eastAsia="Times New Roman" w:hAnsiTheme="minorBidi"/>
              </w:rPr>
            </w:pPr>
            <w:r w:rsidRPr="00330C5D">
              <w:rPr>
                <w:rFonts w:asciiTheme="minorBidi" w:eastAsia="Times New Roman" w:hAnsiTheme="minorBidi"/>
              </w:rPr>
              <w:t>5-GCCAATGAATGAAACCGTTCCT-3</w:t>
            </w:r>
          </w:p>
        </w:tc>
      </w:tr>
    </w:tbl>
    <w:p w14:paraId="5684D1BF" w14:textId="77777777" w:rsidR="00E31E3B" w:rsidRPr="00330C5D" w:rsidRDefault="00AF28FD" w:rsidP="00330C5D">
      <w:pPr>
        <w:spacing w:before="240" w:after="80" w:line="360" w:lineRule="auto"/>
        <w:jc w:val="both"/>
        <w:rPr>
          <w:rFonts w:asciiTheme="minorBidi" w:hAnsiTheme="minorBidi"/>
          <w:color w:val="000000" w:themeColor="text1"/>
        </w:rPr>
      </w:pPr>
      <w:r w:rsidRPr="00330C5D">
        <w:rPr>
          <w:rFonts w:asciiTheme="minorBidi" w:hAnsiTheme="minorBidi"/>
          <w:b/>
          <w:color w:val="000000" w:themeColor="text1"/>
        </w:rPr>
        <w:t>Statistical analysis</w:t>
      </w:r>
    </w:p>
    <w:p w14:paraId="1525EDFA" w14:textId="7425BE5A" w:rsidR="00F6779F" w:rsidRPr="00330C5D" w:rsidRDefault="00AF28FD" w:rsidP="0085005F">
      <w:pPr>
        <w:spacing w:after="140" w:line="360" w:lineRule="auto"/>
        <w:jc w:val="both"/>
        <w:rPr>
          <w:rFonts w:asciiTheme="minorBidi" w:hAnsiTheme="minorBidi"/>
          <w:color w:val="000000" w:themeColor="text1"/>
        </w:rPr>
      </w:pPr>
      <w:r w:rsidRPr="00330C5D">
        <w:rPr>
          <w:rFonts w:asciiTheme="minorBidi" w:hAnsiTheme="minorBidi"/>
          <w:color w:val="000000" w:themeColor="text1"/>
        </w:rPr>
        <w:t>Analyses were performed in GraphPad Prism v10.4.1. Data are mean ± SD of ≥ 3 biological replicates unless stated. Two-group comparisons used a two-tailed Student t-test (after normality/variance checks) or Mann</w:t>
      </w:r>
      <w:r w:rsidR="0031665F" w:rsidRPr="00330C5D">
        <w:rPr>
          <w:rFonts w:asciiTheme="minorBidi" w:hAnsiTheme="minorBidi"/>
          <w:color w:val="000000" w:themeColor="text1"/>
        </w:rPr>
        <w:t>-</w:t>
      </w:r>
      <w:r w:rsidRPr="00330C5D">
        <w:rPr>
          <w:rFonts w:asciiTheme="minorBidi" w:hAnsiTheme="minorBidi"/>
          <w:color w:val="000000" w:themeColor="text1"/>
        </w:rPr>
        <w:t>Whitney U; multi-group comparisons used one- or two-way ANOVA with the appropriate post-hoc test. GSEA results are reported as NES with nominal p and FDR q. Two-sided p &lt; 0.05 was considered significant (*p&lt;0.05, **p&lt;0.01, ***p&lt;0.001, ****p&lt;0.0001).</w:t>
      </w:r>
      <w:r w:rsidR="00F6779F">
        <w:rPr>
          <w:rFonts w:asciiTheme="minorBidi" w:hAnsiTheme="minorBidi"/>
          <w:color w:val="000000" w:themeColor="text1"/>
        </w:rPr>
        <w:t xml:space="preserve"> Categorical distributions (Figure 1B) and complex-recovery proportions (Figure 2B) were compared by Fisher's exact test; where multiple categories were tested, p values were adjusted by the Benjamini-Hochberg method and adjusted values are reported. </w:t>
      </w:r>
      <w:r w:rsidR="0085005F">
        <w:rPr>
          <w:rFonts w:asciiTheme="minorBidi" w:hAnsiTheme="minorBidi"/>
          <w:color w:val="000000" w:themeColor="text1"/>
        </w:rPr>
        <w:t>Differential protein abundance was assessed by two-sided Student t-test in Perseus v1.6.2.3 with permutation-based FDR correction, and differential gene expression by DESeq2 v1.50.2 with Benjamini-Hochberg adjustment.</w:t>
      </w:r>
    </w:p>
    <w:p w14:paraId="406F75A9" w14:textId="6B274551" w:rsidR="00E31E3B" w:rsidRPr="00330C5D" w:rsidRDefault="00E31E3B" w:rsidP="00330C5D">
      <w:pPr>
        <w:spacing w:after="140" w:line="360" w:lineRule="auto"/>
        <w:jc w:val="both"/>
        <w:rPr>
          <w:rFonts w:asciiTheme="minorBidi" w:hAnsiTheme="minorBidi"/>
          <w:color w:val="000000" w:themeColor="text1"/>
        </w:rPr>
      </w:pPr>
    </w:p>
    <w:p w14:paraId="0F01B61B" w14:textId="77777777" w:rsidR="00E31E3B" w:rsidRPr="00330C5D" w:rsidRDefault="00AF28FD" w:rsidP="00330C5D">
      <w:pPr>
        <w:spacing w:before="240" w:after="80" w:line="360" w:lineRule="auto"/>
        <w:jc w:val="both"/>
        <w:rPr>
          <w:rFonts w:asciiTheme="minorBidi" w:hAnsiTheme="minorBidi"/>
          <w:color w:val="000000" w:themeColor="text1"/>
        </w:rPr>
      </w:pPr>
      <w:r w:rsidRPr="00330C5D">
        <w:rPr>
          <w:rFonts w:asciiTheme="minorBidi" w:hAnsiTheme="minorBidi"/>
          <w:b/>
          <w:color w:val="000000" w:themeColor="text1"/>
        </w:rPr>
        <w:t>Data and code availability</w:t>
      </w:r>
    </w:p>
    <w:p w14:paraId="3F83E5BB" w14:textId="77777777" w:rsidR="00201B68" w:rsidRPr="00330C5D" w:rsidRDefault="00201B68" w:rsidP="00201B68">
      <w:pPr>
        <w:spacing w:after="140" w:line="360" w:lineRule="auto"/>
        <w:jc w:val="both"/>
        <w:rPr>
          <w:rFonts w:asciiTheme="minorBidi" w:hAnsiTheme="minorBidi"/>
          <w:color w:val="000000" w:themeColor="text1"/>
        </w:rPr>
      </w:pPr>
      <w:r>
        <w:rPr>
          <w:rFonts w:asciiTheme="minorBidi" w:hAnsiTheme="minorBidi"/>
          <w:color w:val="000000" w:themeColor="text1"/>
        </w:rPr>
        <w:t xml:space="preserve">RNA-sequencing data have been deposited in GEO and the quantitative (expression) mass-spectrometry proteomics data in </w:t>
      </w:r>
      <w:proofErr w:type="spellStart"/>
      <w:r>
        <w:rPr>
          <w:rFonts w:asciiTheme="minorBidi" w:hAnsiTheme="minorBidi"/>
          <w:color w:val="000000" w:themeColor="text1"/>
        </w:rPr>
        <w:t>ProteomeXchange</w:t>
      </w:r>
      <w:proofErr w:type="spellEnd"/>
      <w:r>
        <w:rPr>
          <w:rFonts w:asciiTheme="minorBidi" w:hAnsiTheme="minorBidi"/>
          <w:color w:val="000000" w:themeColor="text1"/>
        </w:rPr>
        <w:t xml:space="preserve">/PRIDE, under the accessions stated in the Data Availability Statement. The processed UBE2E3 </w:t>
      </w:r>
      <w:proofErr w:type="spellStart"/>
      <w:r>
        <w:rPr>
          <w:rFonts w:asciiTheme="minorBidi" w:hAnsiTheme="minorBidi"/>
          <w:color w:val="000000" w:themeColor="text1"/>
        </w:rPr>
        <w:t>BioID</w:t>
      </w:r>
      <w:proofErr w:type="spellEnd"/>
      <w:r>
        <w:rPr>
          <w:rFonts w:asciiTheme="minorBidi" w:hAnsiTheme="minorBidi"/>
          <w:color w:val="000000" w:themeColor="text1"/>
        </w:rPr>
        <w:t xml:space="preserve"> proximity </w:t>
      </w:r>
      <w:r>
        <w:rPr>
          <w:rFonts w:asciiTheme="minorBidi" w:hAnsiTheme="minorBidi"/>
          <w:color w:val="000000" w:themeColor="text1"/>
        </w:rPr>
        <w:lastRenderedPageBreak/>
        <w:t xml:space="preserve">interactome is provided in Supplementary Table S3 and the full expression-proteomics protein report in Supplementary Table S4. </w:t>
      </w:r>
    </w:p>
    <w:p w14:paraId="416E1481" w14:textId="77777777" w:rsidR="00330E26" w:rsidRPr="00330C5D" w:rsidRDefault="00330E26" w:rsidP="00330C5D">
      <w:pPr>
        <w:spacing w:after="140" w:line="360" w:lineRule="auto"/>
        <w:jc w:val="both"/>
        <w:rPr>
          <w:rFonts w:asciiTheme="minorBidi" w:hAnsiTheme="minorBidi"/>
          <w:color w:val="000000" w:themeColor="text1"/>
        </w:rPr>
      </w:pPr>
      <w:r w:rsidRPr="00330C5D">
        <w:rPr>
          <w:rFonts w:asciiTheme="minorBidi" w:hAnsiTheme="minorBidi"/>
          <w:color w:val="000000" w:themeColor="text1"/>
        </w:rPr>
        <w:t xml:space="preserve">References </w:t>
      </w:r>
    </w:p>
    <w:p w14:paraId="17FCFC61" w14:textId="77777777" w:rsidR="00743F9E" w:rsidRPr="00743F9E" w:rsidRDefault="00330E26" w:rsidP="00743F9E">
      <w:pPr>
        <w:pStyle w:val="Bibliography"/>
        <w:rPr>
          <w:rFonts w:hAnsiTheme="minorHAnsi"/>
          <w:color w:val="000000"/>
          <w:lang w:bidi="he-IL"/>
        </w:rPr>
      </w:pPr>
      <w:r w:rsidRPr="00330C5D">
        <w:rPr>
          <w:rFonts w:asciiTheme="minorBidi" w:hAnsiTheme="minorBidi"/>
          <w:color w:val="000000" w:themeColor="text1"/>
        </w:rPr>
        <w:fldChar w:fldCharType="begin"/>
      </w:r>
      <w:r w:rsidR="00743F9E">
        <w:rPr>
          <w:rFonts w:asciiTheme="minorBidi" w:hAnsiTheme="minorBidi"/>
          <w:color w:val="000000" w:themeColor="text1"/>
        </w:rPr>
        <w:instrText xml:space="preserve"> ADDIN ZOTERO_BIBL {"uncited":[],"omitted":[],"custom":[]} CSL_BIBLIOGRAPHY </w:instrText>
      </w:r>
      <w:r w:rsidRPr="00330C5D">
        <w:rPr>
          <w:rFonts w:asciiTheme="minorBidi" w:hAnsiTheme="minorBidi"/>
          <w:color w:val="000000" w:themeColor="text1"/>
        </w:rPr>
        <w:fldChar w:fldCharType="separate"/>
      </w:r>
      <w:r w:rsidR="00743F9E" w:rsidRPr="00743F9E">
        <w:rPr>
          <w:rFonts w:hAnsiTheme="minorHAnsi"/>
          <w:color w:val="000000"/>
          <w:lang w:bidi="he-IL"/>
        </w:rPr>
        <w:t xml:space="preserve">1. </w:t>
      </w:r>
      <w:r w:rsidR="00743F9E" w:rsidRPr="00743F9E">
        <w:rPr>
          <w:rFonts w:hAnsiTheme="minorHAnsi"/>
          <w:color w:val="000000"/>
          <w:lang w:bidi="he-IL"/>
        </w:rPr>
        <w:tab/>
        <w:t>Lechman ER, Gentner B, Ng SWK, et al. miR-126 Regulates Distinct Self-Renewal Outcomes in Normal and Malignant Hematopoietic Stem Cells. Cancer Cell 2016;29(2):214</w:t>
      </w:r>
      <w:r w:rsidR="00743F9E" w:rsidRPr="00743F9E">
        <w:rPr>
          <w:rFonts w:hAnsiTheme="minorHAnsi"/>
          <w:color w:val="000000"/>
          <w:lang w:bidi="he-IL"/>
        </w:rPr>
        <w:t>–</w:t>
      </w:r>
      <w:r w:rsidR="00743F9E" w:rsidRPr="00743F9E">
        <w:rPr>
          <w:rFonts w:hAnsiTheme="minorHAnsi"/>
          <w:color w:val="000000"/>
          <w:lang w:bidi="he-IL"/>
        </w:rPr>
        <w:t>228.</w:t>
      </w:r>
    </w:p>
    <w:p w14:paraId="5F6AC1BE" w14:textId="77777777" w:rsidR="00743F9E" w:rsidRPr="00743F9E" w:rsidRDefault="00743F9E" w:rsidP="00743F9E">
      <w:pPr>
        <w:pStyle w:val="Bibliography"/>
        <w:rPr>
          <w:rFonts w:hAnsiTheme="minorHAnsi"/>
          <w:color w:val="000000"/>
          <w:lang w:bidi="he-IL"/>
        </w:rPr>
      </w:pPr>
      <w:r w:rsidRPr="00743F9E">
        <w:rPr>
          <w:rFonts w:hAnsiTheme="minorHAnsi"/>
          <w:color w:val="000000"/>
          <w:lang w:bidi="he-IL"/>
        </w:rPr>
        <w:t xml:space="preserve">2. </w:t>
      </w:r>
      <w:r w:rsidRPr="00743F9E">
        <w:rPr>
          <w:rFonts w:hAnsiTheme="minorHAnsi"/>
          <w:color w:val="000000"/>
          <w:lang w:bidi="he-IL"/>
        </w:rPr>
        <w:tab/>
        <w:t>Warner JK, Wang JCY, Takenaka K, et al. Direct evidence for cooperating genetic events in the leukemic transformation of normal human hematopoietic cells. Leukemia 2005;19(10):1794</w:t>
      </w:r>
      <w:r w:rsidRPr="00743F9E">
        <w:rPr>
          <w:rFonts w:hAnsiTheme="minorHAnsi"/>
          <w:color w:val="000000"/>
          <w:lang w:bidi="he-IL"/>
        </w:rPr>
        <w:t>–</w:t>
      </w:r>
      <w:r w:rsidRPr="00743F9E">
        <w:rPr>
          <w:rFonts w:hAnsiTheme="minorHAnsi"/>
          <w:color w:val="000000"/>
          <w:lang w:bidi="he-IL"/>
        </w:rPr>
        <w:t>1805.</w:t>
      </w:r>
    </w:p>
    <w:p w14:paraId="1D97922F" w14:textId="77777777" w:rsidR="00743F9E" w:rsidRPr="00743F9E" w:rsidRDefault="00743F9E" w:rsidP="00743F9E">
      <w:pPr>
        <w:pStyle w:val="Bibliography"/>
        <w:rPr>
          <w:rFonts w:hAnsiTheme="minorHAnsi"/>
          <w:color w:val="000000"/>
          <w:lang w:bidi="he-IL"/>
        </w:rPr>
      </w:pPr>
      <w:r w:rsidRPr="00743F9E">
        <w:rPr>
          <w:rFonts w:hAnsiTheme="minorHAnsi"/>
          <w:color w:val="000000"/>
          <w:lang w:bidi="he-IL"/>
        </w:rPr>
        <w:t xml:space="preserve">3. </w:t>
      </w:r>
      <w:r w:rsidRPr="00743F9E">
        <w:rPr>
          <w:rFonts w:hAnsiTheme="minorHAnsi"/>
          <w:color w:val="000000"/>
          <w:lang w:bidi="he-IL"/>
        </w:rPr>
        <w:tab/>
        <w:t>Nachmias B, Khan DH, Voisin V, et al. IPO11 regulates the nuclear import of BZW1/2 and is necessary for AML cells and stem cells. Leukemia 2022;36(5):1283</w:t>
      </w:r>
      <w:r w:rsidRPr="00743F9E">
        <w:rPr>
          <w:rFonts w:hAnsiTheme="minorHAnsi"/>
          <w:color w:val="000000"/>
          <w:lang w:bidi="he-IL"/>
        </w:rPr>
        <w:t>–</w:t>
      </w:r>
      <w:r w:rsidRPr="00743F9E">
        <w:rPr>
          <w:rFonts w:hAnsiTheme="minorHAnsi"/>
          <w:color w:val="000000"/>
          <w:lang w:bidi="he-IL"/>
        </w:rPr>
        <w:t>1295.</w:t>
      </w:r>
    </w:p>
    <w:p w14:paraId="5ACFC7B9" w14:textId="77777777" w:rsidR="00743F9E" w:rsidRPr="00743F9E" w:rsidRDefault="00743F9E" w:rsidP="00743F9E">
      <w:pPr>
        <w:pStyle w:val="Bibliography"/>
        <w:rPr>
          <w:rFonts w:hAnsiTheme="minorHAnsi"/>
          <w:color w:val="000000"/>
          <w:lang w:bidi="he-IL"/>
        </w:rPr>
      </w:pPr>
      <w:r w:rsidRPr="00743F9E">
        <w:rPr>
          <w:rFonts w:hAnsiTheme="minorHAnsi"/>
          <w:color w:val="000000"/>
          <w:lang w:bidi="he-IL"/>
        </w:rPr>
        <w:t xml:space="preserve">4. </w:t>
      </w:r>
      <w:r w:rsidRPr="00743F9E">
        <w:rPr>
          <w:rFonts w:hAnsiTheme="minorHAnsi"/>
          <w:color w:val="000000"/>
          <w:lang w:bidi="he-IL"/>
        </w:rPr>
        <w:tab/>
        <w:t xml:space="preserve">Andrews S. </w:t>
      </w:r>
      <w:proofErr w:type="spellStart"/>
      <w:r w:rsidRPr="00743F9E">
        <w:rPr>
          <w:rFonts w:hAnsiTheme="minorHAnsi"/>
          <w:color w:val="000000"/>
          <w:lang w:bidi="he-IL"/>
        </w:rPr>
        <w:t>FastQC</w:t>
      </w:r>
      <w:proofErr w:type="spellEnd"/>
      <w:r w:rsidRPr="00743F9E">
        <w:rPr>
          <w:rFonts w:hAnsiTheme="minorHAnsi"/>
          <w:color w:val="000000"/>
          <w:lang w:bidi="he-IL"/>
        </w:rPr>
        <w:t>:  A Quality Control Tool for High Throughput Sequence Data [</w:t>
      </w:r>
      <w:proofErr w:type="spellStart"/>
      <w:r w:rsidRPr="00743F9E">
        <w:rPr>
          <w:rFonts w:hAnsiTheme="minorHAnsi"/>
          <w:color w:val="000000"/>
          <w:lang w:bidi="he-IL"/>
        </w:rPr>
        <w:t>Epub</w:t>
      </w:r>
      <w:proofErr w:type="spellEnd"/>
      <w:r w:rsidRPr="00743F9E">
        <w:rPr>
          <w:rFonts w:hAnsiTheme="minorHAnsi"/>
          <w:color w:val="000000"/>
          <w:lang w:bidi="he-IL"/>
        </w:rPr>
        <w:t xml:space="preserve"> ahead of print].</w:t>
      </w:r>
    </w:p>
    <w:p w14:paraId="702DFC51" w14:textId="77777777" w:rsidR="00743F9E" w:rsidRPr="00743F9E" w:rsidRDefault="00743F9E" w:rsidP="00743F9E">
      <w:pPr>
        <w:pStyle w:val="Bibliography"/>
        <w:rPr>
          <w:rFonts w:hAnsiTheme="minorHAnsi"/>
          <w:color w:val="000000"/>
          <w:lang w:bidi="he-IL"/>
        </w:rPr>
      </w:pPr>
      <w:r w:rsidRPr="00743F9E">
        <w:rPr>
          <w:rFonts w:hAnsiTheme="minorHAnsi"/>
          <w:color w:val="000000"/>
          <w:lang w:bidi="he-IL"/>
        </w:rPr>
        <w:t xml:space="preserve">5. </w:t>
      </w:r>
      <w:r w:rsidRPr="00743F9E">
        <w:rPr>
          <w:rFonts w:hAnsiTheme="minorHAnsi"/>
          <w:color w:val="000000"/>
          <w:lang w:bidi="he-IL"/>
        </w:rPr>
        <w:tab/>
        <w:t>Patro R, Duggal G, Love MI, Irizarry RA, Kingsford C. Salmon provides fast and bias-aware quantification of transcript expression. Nat Methods 2017;14(4):417</w:t>
      </w:r>
      <w:r w:rsidRPr="00743F9E">
        <w:rPr>
          <w:rFonts w:hAnsiTheme="minorHAnsi"/>
          <w:color w:val="000000"/>
          <w:lang w:bidi="he-IL"/>
        </w:rPr>
        <w:t>–</w:t>
      </w:r>
      <w:r w:rsidRPr="00743F9E">
        <w:rPr>
          <w:rFonts w:hAnsiTheme="minorHAnsi"/>
          <w:color w:val="000000"/>
          <w:lang w:bidi="he-IL"/>
        </w:rPr>
        <w:t>419.</w:t>
      </w:r>
    </w:p>
    <w:p w14:paraId="2F358FC9" w14:textId="77777777" w:rsidR="00743F9E" w:rsidRPr="00743F9E" w:rsidRDefault="00743F9E" w:rsidP="00743F9E">
      <w:pPr>
        <w:pStyle w:val="Bibliography"/>
        <w:rPr>
          <w:rFonts w:hAnsiTheme="minorHAnsi"/>
          <w:color w:val="000000"/>
          <w:lang w:bidi="he-IL"/>
        </w:rPr>
      </w:pPr>
      <w:r w:rsidRPr="00743F9E">
        <w:rPr>
          <w:rFonts w:hAnsiTheme="minorHAnsi"/>
          <w:color w:val="000000"/>
          <w:lang w:bidi="he-IL"/>
        </w:rPr>
        <w:t xml:space="preserve">6. </w:t>
      </w:r>
      <w:r w:rsidRPr="00743F9E">
        <w:rPr>
          <w:rFonts w:hAnsiTheme="minorHAnsi"/>
          <w:color w:val="000000"/>
          <w:lang w:bidi="he-IL"/>
        </w:rPr>
        <w:tab/>
        <w:t xml:space="preserve">Xu S, Hu E, Cai Y, et al. Using </w:t>
      </w:r>
      <w:proofErr w:type="spellStart"/>
      <w:r w:rsidRPr="00743F9E">
        <w:rPr>
          <w:rFonts w:hAnsiTheme="minorHAnsi"/>
          <w:color w:val="000000"/>
          <w:lang w:bidi="he-IL"/>
        </w:rPr>
        <w:t>clusterProfiler</w:t>
      </w:r>
      <w:proofErr w:type="spellEnd"/>
      <w:r w:rsidRPr="00743F9E">
        <w:rPr>
          <w:rFonts w:hAnsiTheme="minorHAnsi"/>
          <w:color w:val="000000"/>
          <w:lang w:bidi="he-IL"/>
        </w:rPr>
        <w:t xml:space="preserve"> to characterize </w:t>
      </w:r>
      <w:proofErr w:type="spellStart"/>
      <w:r w:rsidRPr="00743F9E">
        <w:rPr>
          <w:rFonts w:hAnsiTheme="minorHAnsi"/>
          <w:color w:val="000000"/>
          <w:lang w:bidi="he-IL"/>
        </w:rPr>
        <w:t>multiomics</w:t>
      </w:r>
      <w:proofErr w:type="spellEnd"/>
      <w:r w:rsidRPr="00743F9E">
        <w:rPr>
          <w:rFonts w:hAnsiTheme="minorHAnsi"/>
          <w:color w:val="000000"/>
          <w:lang w:bidi="he-IL"/>
        </w:rPr>
        <w:t xml:space="preserve"> data. Nat </w:t>
      </w:r>
      <w:proofErr w:type="spellStart"/>
      <w:r w:rsidRPr="00743F9E">
        <w:rPr>
          <w:rFonts w:hAnsiTheme="minorHAnsi"/>
          <w:color w:val="000000"/>
          <w:lang w:bidi="he-IL"/>
        </w:rPr>
        <w:t>Protoc</w:t>
      </w:r>
      <w:proofErr w:type="spellEnd"/>
      <w:r w:rsidRPr="00743F9E">
        <w:rPr>
          <w:rFonts w:hAnsiTheme="minorHAnsi"/>
          <w:color w:val="000000"/>
          <w:lang w:bidi="he-IL"/>
        </w:rPr>
        <w:t xml:space="preserve"> 2024;19(11):3292</w:t>
      </w:r>
      <w:r w:rsidRPr="00743F9E">
        <w:rPr>
          <w:rFonts w:hAnsiTheme="minorHAnsi"/>
          <w:color w:val="000000"/>
          <w:lang w:bidi="he-IL"/>
        </w:rPr>
        <w:t>–</w:t>
      </w:r>
      <w:r w:rsidRPr="00743F9E">
        <w:rPr>
          <w:rFonts w:hAnsiTheme="minorHAnsi"/>
          <w:color w:val="000000"/>
          <w:lang w:bidi="he-IL"/>
        </w:rPr>
        <w:t>3320.</w:t>
      </w:r>
    </w:p>
    <w:p w14:paraId="34D9DC20" w14:textId="77777777" w:rsidR="00743F9E" w:rsidRPr="00743F9E" w:rsidRDefault="00743F9E" w:rsidP="00743F9E">
      <w:pPr>
        <w:pStyle w:val="Bibliography"/>
        <w:rPr>
          <w:rFonts w:hAnsiTheme="minorHAnsi"/>
          <w:color w:val="000000"/>
          <w:lang w:bidi="he-IL"/>
        </w:rPr>
      </w:pPr>
      <w:r w:rsidRPr="00743F9E">
        <w:rPr>
          <w:rFonts w:hAnsiTheme="minorHAnsi"/>
          <w:color w:val="000000"/>
          <w:lang w:bidi="he-IL"/>
        </w:rPr>
        <w:t xml:space="preserve">7. </w:t>
      </w:r>
      <w:r w:rsidRPr="00743F9E">
        <w:rPr>
          <w:rFonts w:hAnsiTheme="minorHAnsi"/>
          <w:color w:val="000000"/>
          <w:lang w:bidi="he-IL"/>
        </w:rPr>
        <w:tab/>
        <w:t>Wang Z, Gearhart MD, Lee Y-W, et al. A Non-canonical BCOR-PRC1.1 Complex Represses Differentiation Programs in Human ESCs. Cell Stem Cell 2018;22(2):235-251.e9.</w:t>
      </w:r>
    </w:p>
    <w:p w14:paraId="24DE83C1" w14:textId="77777777" w:rsidR="00743F9E" w:rsidRPr="00743F9E" w:rsidRDefault="00743F9E" w:rsidP="00743F9E">
      <w:pPr>
        <w:pStyle w:val="Bibliography"/>
        <w:rPr>
          <w:rFonts w:hAnsiTheme="minorHAnsi"/>
          <w:color w:val="000000"/>
          <w:lang w:bidi="he-IL"/>
        </w:rPr>
      </w:pPr>
      <w:r w:rsidRPr="00743F9E">
        <w:rPr>
          <w:rFonts w:hAnsiTheme="minorHAnsi"/>
          <w:color w:val="000000"/>
          <w:lang w:bidi="he-IL"/>
        </w:rPr>
        <w:t xml:space="preserve">8. </w:t>
      </w:r>
      <w:r w:rsidRPr="00743F9E">
        <w:rPr>
          <w:rFonts w:hAnsiTheme="minorHAnsi"/>
          <w:color w:val="000000"/>
          <w:lang w:bidi="he-IL"/>
        </w:rPr>
        <w:tab/>
        <w:t>Love MI, Huber W, Anders S. Moderated estimation of fold change and dispersion for RNA-seq data with DESeq2. Genome Biol 2014;15(12):550.</w:t>
      </w:r>
    </w:p>
    <w:p w14:paraId="07714B93" w14:textId="77777777" w:rsidR="00743F9E" w:rsidRPr="00743F9E" w:rsidRDefault="00743F9E" w:rsidP="00743F9E">
      <w:pPr>
        <w:pStyle w:val="Bibliography"/>
        <w:rPr>
          <w:rFonts w:hAnsiTheme="minorHAnsi"/>
          <w:color w:val="000000"/>
          <w:lang w:bidi="he-IL"/>
        </w:rPr>
      </w:pPr>
      <w:r w:rsidRPr="00743F9E">
        <w:rPr>
          <w:rFonts w:hAnsiTheme="minorHAnsi"/>
          <w:color w:val="000000"/>
          <w:lang w:bidi="he-IL"/>
        </w:rPr>
        <w:t xml:space="preserve">9. </w:t>
      </w:r>
      <w:r w:rsidRPr="00743F9E">
        <w:rPr>
          <w:rFonts w:hAnsiTheme="minorHAnsi"/>
          <w:color w:val="000000"/>
          <w:lang w:bidi="he-IL"/>
        </w:rPr>
        <w:tab/>
        <w:t xml:space="preserve">van den Boom V, Maat H, </w:t>
      </w:r>
      <w:proofErr w:type="spellStart"/>
      <w:r w:rsidRPr="00743F9E">
        <w:rPr>
          <w:rFonts w:hAnsiTheme="minorHAnsi"/>
          <w:color w:val="000000"/>
          <w:lang w:bidi="he-IL"/>
        </w:rPr>
        <w:t>Geugien</w:t>
      </w:r>
      <w:proofErr w:type="spellEnd"/>
      <w:r w:rsidRPr="00743F9E">
        <w:rPr>
          <w:rFonts w:hAnsiTheme="minorHAnsi"/>
          <w:color w:val="000000"/>
          <w:lang w:bidi="he-IL"/>
        </w:rPr>
        <w:t xml:space="preserve"> M, et al. </w:t>
      </w:r>
      <w:proofErr w:type="gramStart"/>
      <w:r w:rsidRPr="00743F9E">
        <w:rPr>
          <w:rFonts w:hAnsiTheme="minorHAnsi"/>
          <w:color w:val="000000"/>
          <w:lang w:bidi="he-IL"/>
        </w:rPr>
        <w:t>Non-canonical</w:t>
      </w:r>
      <w:proofErr w:type="gramEnd"/>
      <w:r w:rsidRPr="00743F9E">
        <w:rPr>
          <w:rFonts w:hAnsiTheme="minorHAnsi"/>
          <w:color w:val="000000"/>
          <w:lang w:bidi="he-IL"/>
        </w:rPr>
        <w:t xml:space="preserve"> PRC1.1 Targets Active Genes Independent of H3K27me3 and Is Essential for Leukemogenesis. Cell Rep 2016;14(2):332</w:t>
      </w:r>
      <w:r w:rsidRPr="00743F9E">
        <w:rPr>
          <w:rFonts w:hAnsiTheme="minorHAnsi"/>
          <w:color w:val="000000"/>
          <w:lang w:bidi="he-IL"/>
        </w:rPr>
        <w:t>–</w:t>
      </w:r>
      <w:r w:rsidRPr="00743F9E">
        <w:rPr>
          <w:rFonts w:hAnsiTheme="minorHAnsi"/>
          <w:color w:val="000000"/>
          <w:lang w:bidi="he-IL"/>
        </w:rPr>
        <w:t>346.</w:t>
      </w:r>
    </w:p>
    <w:p w14:paraId="206CEC51" w14:textId="77777777" w:rsidR="00743F9E" w:rsidRPr="00743F9E" w:rsidRDefault="00743F9E" w:rsidP="00743F9E">
      <w:pPr>
        <w:pStyle w:val="Bibliography"/>
        <w:rPr>
          <w:rFonts w:hAnsiTheme="minorHAnsi"/>
          <w:color w:val="000000"/>
          <w:lang w:bidi="he-IL"/>
        </w:rPr>
      </w:pPr>
      <w:r w:rsidRPr="00743F9E">
        <w:rPr>
          <w:rFonts w:hAnsiTheme="minorHAnsi"/>
          <w:color w:val="000000"/>
          <w:lang w:bidi="he-IL"/>
        </w:rPr>
        <w:t xml:space="preserve">10. </w:t>
      </w:r>
      <w:r w:rsidRPr="00743F9E">
        <w:rPr>
          <w:rFonts w:hAnsiTheme="minorHAnsi"/>
          <w:color w:val="000000"/>
          <w:lang w:bidi="he-IL"/>
        </w:rPr>
        <w:tab/>
        <w:t>Thomas ME, Qi W, Walsh MP, et al. Functional characterization of cooperating MGA mutations in RUNX</w:t>
      </w:r>
      <w:proofErr w:type="gramStart"/>
      <w:r w:rsidRPr="00743F9E">
        <w:rPr>
          <w:rFonts w:hAnsiTheme="minorHAnsi"/>
          <w:color w:val="000000"/>
          <w:lang w:bidi="he-IL"/>
        </w:rPr>
        <w:t>1::</w:t>
      </w:r>
      <w:proofErr w:type="gramEnd"/>
      <w:r w:rsidRPr="00743F9E">
        <w:rPr>
          <w:rFonts w:hAnsiTheme="minorHAnsi"/>
          <w:color w:val="000000"/>
          <w:lang w:bidi="he-IL"/>
        </w:rPr>
        <w:t>RUNX1T1 acute myeloid leukemia. Leukemia 2024;38(5):991</w:t>
      </w:r>
      <w:r w:rsidRPr="00743F9E">
        <w:rPr>
          <w:rFonts w:hAnsiTheme="minorHAnsi"/>
          <w:color w:val="000000"/>
          <w:lang w:bidi="he-IL"/>
        </w:rPr>
        <w:t>–</w:t>
      </w:r>
      <w:r w:rsidRPr="00743F9E">
        <w:rPr>
          <w:rFonts w:hAnsiTheme="minorHAnsi"/>
          <w:color w:val="000000"/>
          <w:lang w:bidi="he-IL"/>
        </w:rPr>
        <w:t>1002.</w:t>
      </w:r>
    </w:p>
    <w:p w14:paraId="0DB2B5D2" w14:textId="77777777" w:rsidR="00743F9E" w:rsidRPr="00743F9E" w:rsidRDefault="00743F9E" w:rsidP="00743F9E">
      <w:pPr>
        <w:pStyle w:val="Bibliography"/>
        <w:rPr>
          <w:rFonts w:hAnsiTheme="minorHAnsi"/>
          <w:color w:val="000000"/>
          <w:lang w:bidi="he-IL"/>
        </w:rPr>
      </w:pPr>
      <w:r w:rsidRPr="00743F9E">
        <w:rPr>
          <w:rFonts w:hAnsiTheme="minorHAnsi"/>
          <w:color w:val="000000"/>
          <w:lang w:bidi="he-IL"/>
        </w:rPr>
        <w:t xml:space="preserve">11. </w:t>
      </w:r>
      <w:r w:rsidRPr="00743F9E">
        <w:rPr>
          <w:rFonts w:hAnsiTheme="minorHAnsi"/>
          <w:color w:val="000000"/>
          <w:lang w:bidi="he-IL"/>
        </w:rPr>
        <w:tab/>
        <w:t xml:space="preserve">van Galen P, Hovestadt V, Wadsworth </w:t>
      </w:r>
      <w:proofErr w:type="spellStart"/>
      <w:r w:rsidRPr="00743F9E">
        <w:rPr>
          <w:rFonts w:hAnsiTheme="minorHAnsi"/>
          <w:color w:val="000000"/>
          <w:lang w:bidi="he-IL"/>
        </w:rPr>
        <w:t>Ii</w:t>
      </w:r>
      <w:proofErr w:type="spellEnd"/>
      <w:r w:rsidRPr="00743F9E">
        <w:rPr>
          <w:rFonts w:hAnsiTheme="minorHAnsi"/>
          <w:color w:val="000000"/>
          <w:lang w:bidi="he-IL"/>
        </w:rPr>
        <w:t xml:space="preserve"> MH, et al. Single-Cell RNA-Seq Reveals AML Hierarchies Relevant to Disease Progression and Immunity. Cell 2019;176(6):1265-1281.e24.</w:t>
      </w:r>
    </w:p>
    <w:p w14:paraId="1BF5FD54" w14:textId="77777777" w:rsidR="00743F9E" w:rsidRPr="00743F9E" w:rsidRDefault="00743F9E" w:rsidP="00743F9E">
      <w:pPr>
        <w:pStyle w:val="Bibliography"/>
        <w:rPr>
          <w:rFonts w:hAnsiTheme="minorHAnsi"/>
          <w:color w:val="000000"/>
          <w:lang w:bidi="he-IL"/>
        </w:rPr>
      </w:pPr>
      <w:r w:rsidRPr="00743F9E">
        <w:rPr>
          <w:rFonts w:hAnsiTheme="minorHAnsi"/>
          <w:color w:val="000000"/>
          <w:lang w:bidi="he-IL"/>
        </w:rPr>
        <w:t xml:space="preserve">12. </w:t>
      </w:r>
      <w:r w:rsidRPr="00743F9E">
        <w:rPr>
          <w:rFonts w:hAnsiTheme="minorHAnsi"/>
          <w:color w:val="000000"/>
          <w:lang w:bidi="he-IL"/>
        </w:rPr>
        <w:tab/>
        <w:t>Zeng AGX, Bansal S, Jin L, et al. A cellular hierarchy framework for understanding heterogeneity and predicting drug response in acute myeloid leukemia. Nat Med 2022;28(6):1212</w:t>
      </w:r>
      <w:r w:rsidRPr="00743F9E">
        <w:rPr>
          <w:rFonts w:hAnsiTheme="minorHAnsi"/>
          <w:color w:val="000000"/>
          <w:lang w:bidi="he-IL"/>
        </w:rPr>
        <w:t>–</w:t>
      </w:r>
      <w:r w:rsidRPr="00743F9E">
        <w:rPr>
          <w:rFonts w:hAnsiTheme="minorHAnsi"/>
          <w:color w:val="000000"/>
          <w:lang w:bidi="he-IL"/>
        </w:rPr>
        <w:t>1223.</w:t>
      </w:r>
    </w:p>
    <w:p w14:paraId="4704304B" w14:textId="77777777" w:rsidR="00743F9E" w:rsidRPr="00743F9E" w:rsidRDefault="00743F9E" w:rsidP="00743F9E">
      <w:pPr>
        <w:pStyle w:val="Bibliography"/>
        <w:rPr>
          <w:rFonts w:hAnsiTheme="minorHAnsi"/>
          <w:color w:val="000000"/>
          <w:lang w:bidi="he-IL"/>
        </w:rPr>
      </w:pPr>
      <w:r w:rsidRPr="00743F9E">
        <w:rPr>
          <w:rFonts w:hAnsiTheme="minorHAnsi"/>
          <w:color w:val="000000"/>
          <w:lang w:bidi="he-IL"/>
        </w:rPr>
        <w:t xml:space="preserve">13. </w:t>
      </w:r>
      <w:r w:rsidRPr="00743F9E">
        <w:rPr>
          <w:rFonts w:hAnsiTheme="minorHAnsi"/>
          <w:color w:val="000000"/>
          <w:lang w:bidi="he-IL"/>
        </w:rPr>
        <w:tab/>
        <w:t xml:space="preserve">Ng SWK, Mitchell A, Kennedy JA, et al. A 17-gene stemness score for rapid determination of risk in acute </w:t>
      </w:r>
      <w:proofErr w:type="spellStart"/>
      <w:r w:rsidRPr="00743F9E">
        <w:rPr>
          <w:rFonts w:hAnsiTheme="minorHAnsi"/>
          <w:color w:val="000000"/>
          <w:lang w:bidi="he-IL"/>
        </w:rPr>
        <w:t>leukaemia</w:t>
      </w:r>
      <w:proofErr w:type="spellEnd"/>
      <w:r w:rsidRPr="00743F9E">
        <w:rPr>
          <w:rFonts w:hAnsiTheme="minorHAnsi"/>
          <w:color w:val="000000"/>
          <w:lang w:bidi="he-IL"/>
        </w:rPr>
        <w:t>. Nature 2016;540(7633):433</w:t>
      </w:r>
      <w:r w:rsidRPr="00743F9E">
        <w:rPr>
          <w:rFonts w:hAnsiTheme="minorHAnsi"/>
          <w:color w:val="000000"/>
          <w:lang w:bidi="he-IL"/>
        </w:rPr>
        <w:t>–</w:t>
      </w:r>
      <w:r w:rsidRPr="00743F9E">
        <w:rPr>
          <w:rFonts w:hAnsiTheme="minorHAnsi"/>
          <w:color w:val="000000"/>
          <w:lang w:bidi="he-IL"/>
        </w:rPr>
        <w:t>437.</w:t>
      </w:r>
    </w:p>
    <w:p w14:paraId="06BD909B" w14:textId="77777777" w:rsidR="00743F9E" w:rsidRPr="00743F9E" w:rsidRDefault="00743F9E" w:rsidP="00743F9E">
      <w:pPr>
        <w:pStyle w:val="Bibliography"/>
        <w:rPr>
          <w:rFonts w:hAnsiTheme="minorHAnsi"/>
          <w:color w:val="000000"/>
          <w:lang w:bidi="he-IL"/>
        </w:rPr>
      </w:pPr>
      <w:r w:rsidRPr="00743F9E">
        <w:rPr>
          <w:rFonts w:hAnsiTheme="minorHAnsi"/>
          <w:color w:val="000000"/>
          <w:lang w:bidi="he-IL"/>
        </w:rPr>
        <w:lastRenderedPageBreak/>
        <w:t xml:space="preserve">14. </w:t>
      </w:r>
      <w:r w:rsidRPr="00743F9E">
        <w:rPr>
          <w:rFonts w:hAnsiTheme="minorHAnsi"/>
          <w:color w:val="000000"/>
          <w:lang w:bidi="he-IL"/>
        </w:rPr>
        <w:tab/>
        <w:t>Nicolini FE, Cashman JD, Hogge DE, Humphries RK, Eaves CJ. NOD/SCID mice engineered to express human IL-3, GM-CSF and Steel factor constitutively mobilize engrafted human progenitors and compromise human stem cell regeneration. Leukemia 2004;18(2):341</w:t>
      </w:r>
      <w:r w:rsidRPr="00743F9E">
        <w:rPr>
          <w:rFonts w:hAnsiTheme="minorHAnsi"/>
          <w:color w:val="000000"/>
          <w:lang w:bidi="he-IL"/>
        </w:rPr>
        <w:t>–</w:t>
      </w:r>
      <w:r w:rsidRPr="00743F9E">
        <w:rPr>
          <w:rFonts w:hAnsiTheme="minorHAnsi"/>
          <w:color w:val="000000"/>
          <w:lang w:bidi="he-IL"/>
        </w:rPr>
        <w:t>347.</w:t>
      </w:r>
    </w:p>
    <w:p w14:paraId="62D87F3F" w14:textId="3161383E" w:rsidR="00330E26" w:rsidRPr="00330C5D" w:rsidRDefault="00330E26" w:rsidP="00743F9E">
      <w:pPr>
        <w:pStyle w:val="Bibliography"/>
        <w:rPr>
          <w:rFonts w:asciiTheme="minorBidi" w:hAnsiTheme="minorBidi"/>
          <w:color w:val="000000" w:themeColor="text1"/>
        </w:rPr>
      </w:pPr>
      <w:r w:rsidRPr="00330C5D">
        <w:rPr>
          <w:rFonts w:asciiTheme="minorBidi" w:hAnsiTheme="minorBidi"/>
          <w:color w:val="000000" w:themeColor="text1"/>
        </w:rPr>
        <w:fldChar w:fldCharType="end"/>
      </w:r>
    </w:p>
    <w:sectPr w:rsidR="00330E26" w:rsidRPr="00330C5D"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693725273">
    <w:abstractNumId w:val="8"/>
  </w:num>
  <w:num w:numId="2" w16cid:durableId="1163741290">
    <w:abstractNumId w:val="6"/>
  </w:num>
  <w:num w:numId="3" w16cid:durableId="953632177">
    <w:abstractNumId w:val="5"/>
  </w:num>
  <w:num w:numId="4" w16cid:durableId="1815369478">
    <w:abstractNumId w:val="4"/>
  </w:num>
  <w:num w:numId="5" w16cid:durableId="159002428">
    <w:abstractNumId w:val="7"/>
  </w:num>
  <w:num w:numId="6" w16cid:durableId="1902253449">
    <w:abstractNumId w:val="3"/>
  </w:num>
  <w:num w:numId="7" w16cid:durableId="1977953100">
    <w:abstractNumId w:val="2"/>
  </w:num>
  <w:num w:numId="8" w16cid:durableId="1560097393">
    <w:abstractNumId w:val="1"/>
  </w:num>
  <w:num w:numId="9" w16cid:durableId="89307982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7"/>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2E2F"/>
    <w:rsid w:val="00003686"/>
    <w:rsid w:val="00005EDF"/>
    <w:rsid w:val="00023129"/>
    <w:rsid w:val="0002558A"/>
    <w:rsid w:val="00025593"/>
    <w:rsid w:val="00034616"/>
    <w:rsid w:val="0006063C"/>
    <w:rsid w:val="0009070F"/>
    <w:rsid w:val="000B7C09"/>
    <w:rsid w:val="000C2BC1"/>
    <w:rsid w:val="000E1FCA"/>
    <w:rsid w:val="000F3AB6"/>
    <w:rsid w:val="0012724C"/>
    <w:rsid w:val="00140A31"/>
    <w:rsid w:val="0015074B"/>
    <w:rsid w:val="0016678B"/>
    <w:rsid w:val="00191813"/>
    <w:rsid w:val="001A2E77"/>
    <w:rsid w:val="001A3A0D"/>
    <w:rsid w:val="001F1C25"/>
    <w:rsid w:val="00201B68"/>
    <w:rsid w:val="00226D98"/>
    <w:rsid w:val="00244EC1"/>
    <w:rsid w:val="0025201C"/>
    <w:rsid w:val="00255D1F"/>
    <w:rsid w:val="002955DF"/>
    <w:rsid w:val="0029639D"/>
    <w:rsid w:val="002C1FAD"/>
    <w:rsid w:val="002E7203"/>
    <w:rsid w:val="0031665F"/>
    <w:rsid w:val="00326F90"/>
    <w:rsid w:val="00330C5D"/>
    <w:rsid w:val="00330E26"/>
    <w:rsid w:val="003442AB"/>
    <w:rsid w:val="00361D75"/>
    <w:rsid w:val="0036592A"/>
    <w:rsid w:val="003860EA"/>
    <w:rsid w:val="003A3A8E"/>
    <w:rsid w:val="003A55FA"/>
    <w:rsid w:val="003C4D5A"/>
    <w:rsid w:val="003D13BE"/>
    <w:rsid w:val="003E7FE2"/>
    <w:rsid w:val="00410A09"/>
    <w:rsid w:val="00435EEF"/>
    <w:rsid w:val="00453E7F"/>
    <w:rsid w:val="00457CE5"/>
    <w:rsid w:val="00457E12"/>
    <w:rsid w:val="00461A9D"/>
    <w:rsid w:val="00472493"/>
    <w:rsid w:val="004862BF"/>
    <w:rsid w:val="004954B8"/>
    <w:rsid w:val="004A2290"/>
    <w:rsid w:val="004B0564"/>
    <w:rsid w:val="004C5149"/>
    <w:rsid w:val="004C6F9C"/>
    <w:rsid w:val="004D4B4C"/>
    <w:rsid w:val="004E0B5F"/>
    <w:rsid w:val="004E76DD"/>
    <w:rsid w:val="004F47CD"/>
    <w:rsid w:val="005029F2"/>
    <w:rsid w:val="0051447B"/>
    <w:rsid w:val="0052539D"/>
    <w:rsid w:val="00560289"/>
    <w:rsid w:val="005658AB"/>
    <w:rsid w:val="005A184F"/>
    <w:rsid w:val="005A262F"/>
    <w:rsid w:val="005B08A4"/>
    <w:rsid w:val="005C36AE"/>
    <w:rsid w:val="005D25E7"/>
    <w:rsid w:val="005D3CED"/>
    <w:rsid w:val="005F66FB"/>
    <w:rsid w:val="006211AC"/>
    <w:rsid w:val="00636824"/>
    <w:rsid w:val="006B0D7C"/>
    <w:rsid w:val="006C2FCF"/>
    <w:rsid w:val="006C7D2A"/>
    <w:rsid w:val="006E0861"/>
    <w:rsid w:val="006E41D1"/>
    <w:rsid w:val="006E65EE"/>
    <w:rsid w:val="006F239B"/>
    <w:rsid w:val="006F29CB"/>
    <w:rsid w:val="006F6B47"/>
    <w:rsid w:val="00700A7A"/>
    <w:rsid w:val="00721475"/>
    <w:rsid w:val="00722B3B"/>
    <w:rsid w:val="00735589"/>
    <w:rsid w:val="00743F9E"/>
    <w:rsid w:val="00757AA1"/>
    <w:rsid w:val="0079356D"/>
    <w:rsid w:val="00794169"/>
    <w:rsid w:val="007A686B"/>
    <w:rsid w:val="007B28FB"/>
    <w:rsid w:val="0082379F"/>
    <w:rsid w:val="00826A1D"/>
    <w:rsid w:val="0085005F"/>
    <w:rsid w:val="008524D8"/>
    <w:rsid w:val="008724F5"/>
    <w:rsid w:val="0088266F"/>
    <w:rsid w:val="0089183D"/>
    <w:rsid w:val="008A46CC"/>
    <w:rsid w:val="008B111F"/>
    <w:rsid w:val="008F55FB"/>
    <w:rsid w:val="00901A40"/>
    <w:rsid w:val="0097564D"/>
    <w:rsid w:val="00984970"/>
    <w:rsid w:val="009A46E0"/>
    <w:rsid w:val="009C3552"/>
    <w:rsid w:val="009E7B56"/>
    <w:rsid w:val="00A50352"/>
    <w:rsid w:val="00A546A8"/>
    <w:rsid w:val="00A55213"/>
    <w:rsid w:val="00A654A0"/>
    <w:rsid w:val="00A716C5"/>
    <w:rsid w:val="00A82270"/>
    <w:rsid w:val="00A82D5F"/>
    <w:rsid w:val="00AA1D8D"/>
    <w:rsid w:val="00AF28FD"/>
    <w:rsid w:val="00B4194B"/>
    <w:rsid w:val="00B44098"/>
    <w:rsid w:val="00B45FB9"/>
    <w:rsid w:val="00B47730"/>
    <w:rsid w:val="00B52CD0"/>
    <w:rsid w:val="00B84892"/>
    <w:rsid w:val="00BA4C99"/>
    <w:rsid w:val="00C17054"/>
    <w:rsid w:val="00C41481"/>
    <w:rsid w:val="00C419EF"/>
    <w:rsid w:val="00C621B5"/>
    <w:rsid w:val="00C66A7E"/>
    <w:rsid w:val="00C86A04"/>
    <w:rsid w:val="00CB0664"/>
    <w:rsid w:val="00CB1A4B"/>
    <w:rsid w:val="00CB1BDD"/>
    <w:rsid w:val="00CC6D53"/>
    <w:rsid w:val="00CD49F8"/>
    <w:rsid w:val="00CE2086"/>
    <w:rsid w:val="00CE4AB3"/>
    <w:rsid w:val="00D00A27"/>
    <w:rsid w:val="00D42219"/>
    <w:rsid w:val="00D502A2"/>
    <w:rsid w:val="00DB06DD"/>
    <w:rsid w:val="00DB3FAB"/>
    <w:rsid w:val="00DC68EB"/>
    <w:rsid w:val="00E06E35"/>
    <w:rsid w:val="00E31E3B"/>
    <w:rsid w:val="00E6133F"/>
    <w:rsid w:val="00E67456"/>
    <w:rsid w:val="00ED2A00"/>
    <w:rsid w:val="00EE1EA1"/>
    <w:rsid w:val="00F3256F"/>
    <w:rsid w:val="00F32925"/>
    <w:rsid w:val="00F40F39"/>
    <w:rsid w:val="00F50812"/>
    <w:rsid w:val="00F539B1"/>
    <w:rsid w:val="00F6779F"/>
    <w:rsid w:val="00F761B7"/>
    <w:rsid w:val="00FB0987"/>
    <w:rsid w:val="00FC693F"/>
    <w:rsid w:val="00FC7BAA"/>
    <w:rsid w:val="00FD3C52"/>
    <w:rsid w:val="00FE4FC0"/>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E9E364"/>
  <w14:defaultImageDpi w14:val="300"/>
  <w15:docId w15:val="{F137B496-3B2B-AF40-84F4-3B3C2C2D9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4FC0"/>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unhideWhenUsed/>
    <w:qFormat/>
    <w:rsid w:val="00E6133F"/>
    <w:pPr>
      <w:spacing w:before="100" w:beforeAutospacing="1" w:after="100" w:afterAutospacing="1" w:line="240" w:lineRule="auto"/>
    </w:pPr>
    <w:rPr>
      <w:rFonts w:ascii="Times New Roman" w:eastAsia="Times New Roman" w:hAnsi="Times New Roman" w:cs="Times New Roman"/>
      <w:sz w:val="24"/>
      <w:szCs w:val="24"/>
      <w:lang w:val="en-CA" w:bidi="he-IL"/>
    </w:rPr>
  </w:style>
  <w:style w:type="character" w:customStyle="1" w:styleId="toptext">
    <w:name w:val="top__text"/>
    <w:basedOn w:val="DefaultParagraphFont"/>
    <w:rsid w:val="00330E26"/>
  </w:style>
  <w:style w:type="paragraph" w:styleId="Bibliography">
    <w:name w:val="Bibliography"/>
    <w:basedOn w:val="Normal"/>
    <w:next w:val="Normal"/>
    <w:uiPriority w:val="37"/>
    <w:unhideWhenUsed/>
    <w:rsid w:val="00330E26"/>
    <w:pPr>
      <w:tabs>
        <w:tab w:val="left" w:pos="380"/>
      </w:tabs>
      <w:spacing w:after="240" w:line="240" w:lineRule="auto"/>
      <w:ind w:left="384" w:hanging="384"/>
    </w:pPr>
  </w:style>
  <w:style w:type="character" w:styleId="Hyperlink">
    <w:name w:val="Hyperlink"/>
    <w:basedOn w:val="DefaultParagraphFont"/>
    <w:uiPriority w:val="99"/>
    <w:unhideWhenUsed/>
    <w:rsid w:val="004E76DD"/>
    <w:rPr>
      <w:color w:val="0000FF" w:themeColor="hyperlink"/>
      <w:u w:val="single"/>
    </w:rPr>
  </w:style>
  <w:style w:type="character" w:styleId="UnresolvedMention">
    <w:name w:val="Unresolved Mention"/>
    <w:basedOn w:val="DefaultParagraphFont"/>
    <w:uiPriority w:val="99"/>
    <w:semiHidden/>
    <w:unhideWhenUsed/>
    <w:rsid w:val="004E76DD"/>
    <w:rPr>
      <w:color w:val="605E5C"/>
      <w:shd w:val="clear" w:color="auto" w:fill="E1DFDD"/>
    </w:rPr>
  </w:style>
  <w:style w:type="character" w:styleId="CommentReference">
    <w:name w:val="annotation reference"/>
    <w:basedOn w:val="DefaultParagraphFont"/>
    <w:uiPriority w:val="99"/>
    <w:semiHidden/>
    <w:unhideWhenUsed/>
    <w:rsid w:val="00F32925"/>
    <w:rPr>
      <w:sz w:val="16"/>
      <w:szCs w:val="16"/>
    </w:rPr>
  </w:style>
  <w:style w:type="paragraph" w:styleId="CommentText">
    <w:name w:val="annotation text"/>
    <w:basedOn w:val="Normal"/>
    <w:link w:val="CommentTextChar"/>
    <w:uiPriority w:val="99"/>
    <w:unhideWhenUsed/>
    <w:rsid w:val="00F32925"/>
    <w:pPr>
      <w:spacing w:line="240" w:lineRule="auto"/>
    </w:pPr>
    <w:rPr>
      <w:sz w:val="20"/>
      <w:szCs w:val="20"/>
    </w:rPr>
  </w:style>
  <w:style w:type="character" w:customStyle="1" w:styleId="CommentTextChar">
    <w:name w:val="Comment Text Char"/>
    <w:basedOn w:val="DefaultParagraphFont"/>
    <w:link w:val="CommentText"/>
    <w:uiPriority w:val="99"/>
    <w:rsid w:val="00F32925"/>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F32925"/>
    <w:rPr>
      <w:b/>
      <w:bCs/>
    </w:rPr>
  </w:style>
  <w:style w:type="character" w:customStyle="1" w:styleId="CommentSubjectChar">
    <w:name w:val="Comment Subject Char"/>
    <w:basedOn w:val="CommentTextChar"/>
    <w:link w:val="CommentSubject"/>
    <w:uiPriority w:val="99"/>
    <w:semiHidden/>
    <w:rsid w:val="00F32925"/>
    <w:rPr>
      <w:rFonts w:ascii="Calibri" w:hAnsi="Calibri"/>
      <w:b/>
      <w:bCs/>
      <w:sz w:val="20"/>
      <w:szCs w:val="20"/>
    </w:rPr>
  </w:style>
  <w:style w:type="paragraph" w:customStyle="1" w:styleId="isselectedend">
    <w:name w:val="isselectedend"/>
    <w:basedOn w:val="Normal"/>
    <w:uiPriority w:val="99"/>
    <w:rsid w:val="004B0564"/>
    <w:pPr>
      <w:spacing w:before="100" w:beforeAutospacing="1" w:after="100" w:afterAutospacing="1" w:line="240" w:lineRule="auto"/>
    </w:pPr>
    <w:rPr>
      <w:rFonts w:ascii="Aptos" w:eastAsiaTheme="minorHAnsi" w:hAnsi="Aptos" w:cs="Times New Roman"/>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biodev.github.io/BeatAML2/"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7798</Words>
  <Characters>48273</Characters>
  <Application>Microsoft Office Word</Application>
  <DocSecurity>0</DocSecurity>
  <Lines>720</Lines>
  <Paragraphs>196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55875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Avital Nahmias</cp:lastModifiedBy>
  <cp:revision>4</cp:revision>
  <dcterms:created xsi:type="dcterms:W3CDTF">2026-08-10T20:36:00Z</dcterms:created>
  <dcterms:modified xsi:type="dcterms:W3CDTF">2026-08-13T09:44:00Z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bf2431be-cae5-4bd8-939e-69538fff1f76</vt:lpwstr>
  </property>
  <property fmtid="{D5CDD505-2E9C-101B-9397-08002B2CF9AE}" pid="3" name="ZOTERO_PREF_1">
    <vt:lpwstr>&lt;data data-version="3" zotero-version="9.0.6"&gt;&lt;session id="re648ID9"/&gt;&lt;style id="http://www.zotero.org/styles/haematologica" hasBibliography="1" bibliographyStyleHasBeenSet="1"/&gt;&lt;prefs&gt;&lt;pref name="fieldType" value="Field"/&gt;&lt;pref name="automaticJournalAbbr</vt:lpwstr>
  </property>
  <property fmtid="{D5CDD505-2E9C-101B-9397-08002B2CF9AE}" pid="4" name="ZOTERO_PREF_2">
    <vt:lpwstr>eviations" value="true"/&gt;&lt;/prefs&gt;&lt;/data&gt;</vt:lpwstr>
  </property>
</Properties>
</file>