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60" w:before="360" w:line="48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Table 2. Significant case-control differences in DFC.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95"/>
        <w:gridCol w:w="2865"/>
        <w:gridCol w:w="810"/>
        <w:gridCol w:w="795"/>
        <w:gridCol w:w="870"/>
        <w:gridCol w:w="1125"/>
        <w:tblGridChange w:id="0">
          <w:tblGrid>
            <w:gridCol w:w="2895"/>
            <w:gridCol w:w="2865"/>
            <w:gridCol w:w="810"/>
            <w:gridCol w:w="795"/>
            <w:gridCol w:w="870"/>
            <w:gridCol w:w="1125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8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Parcel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AAL</w:t>
            </w:r>
          </w:p>
        </w:tc>
        <w:tc>
          <w:tcPr>
            <w:tcBorders>
              <w:top w:color="000000" w:space="0" w:sz="8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jc w:val="center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jc w:val="center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df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center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p_fdr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center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Cohen’s d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8" w:val="single"/>
              <w:left w:color="cccccc" w:space="0" w:sz="6" w:val="single"/>
              <w:bottom w:color="ffffff" w:space="0" w:sz="8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Seed = L Amyg</w:t>
            </w:r>
          </w:p>
        </w:tc>
        <w:tc>
          <w:tcPr>
            <w:tcBorders>
              <w:top w:color="000000" w:space="0" w:sz="8" w:val="single"/>
              <w:left w:color="cccccc" w:space="0" w:sz="6" w:val="single"/>
              <w:bottom w:color="ffffff" w:space="0" w:sz="8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6" w:val="single"/>
              <w:bottom w:color="ffffff" w:space="0" w:sz="8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6" w:val="single"/>
              <w:bottom w:color="ffffff" w:space="0" w:sz="8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6" w:val="single"/>
              <w:bottom w:color="ffffff" w:space="0" w:sz="8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6" w:val="single"/>
              <w:bottom w:color="ffffff" w:space="0" w:sz="8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8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 DefaultB_PFCv_3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Frontal_Inf_Orb_L</w:t>
            </w:r>
          </w:p>
        </w:tc>
        <w:tc>
          <w:tcPr>
            <w:tcBorders>
              <w:top w:color="ffffff" w:space="0" w:sz="8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4.809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0.195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 ContB_PFClv_1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Frontal_Inf</w:t>
            </w:r>
          </w:p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Mid_Orb_L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4.110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0.169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 ContA_PFCl_4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Precental_R</w:t>
            </w:r>
          </w:p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Frontal_Inf_Oper_R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0.163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 DefaultB_PFCd_3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Frontal_Sup_L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3.930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0.159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 VisCent_ExStr_7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Lingual_R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3.882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0.158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 VisCent_ExStr_8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Occipital_Mid_L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3.738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0.151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 SalVentAttnA_Ins_6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Frontal_Inf_Oper_L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3.713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 SomMotA_13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Postcentral_R Paracentral_Lobule_R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3.638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 DorsAttnA_SPL_4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Parietal_Sup_R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3.512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0.143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 ContB_IPL_3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SupraMarginal_R</w:t>
            </w:r>
          </w:p>
          <w:p w:rsidR="00000000" w:rsidDel="00000000" w:rsidP="00000000" w:rsidRDefault="00000000" w:rsidRPr="00000000" w14:paraId="0000004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Parietal_Inf_R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3.501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0.142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 ContA_PFCl_3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Precentral_L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3.338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 ContB_IPL_3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Angular_L</w:t>
            </w:r>
          </w:p>
          <w:p w:rsidR="00000000" w:rsidDel="00000000" w:rsidP="00000000" w:rsidRDefault="00000000" w:rsidRPr="00000000" w14:paraId="0000005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Parietal_Sup_L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3.130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Seed = R Amyg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 SomMotB_Aud_10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SupraMarginal_L</w:t>
            </w:r>
          </w:p>
          <w:p w:rsidR="00000000" w:rsidDel="00000000" w:rsidP="00000000" w:rsidRDefault="00000000" w:rsidRPr="00000000" w14:paraId="0000006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Rolandic_Oper_L</w:t>
            </w:r>
          </w:p>
          <w:p w:rsidR="00000000" w:rsidDel="00000000" w:rsidP="00000000" w:rsidRDefault="00000000" w:rsidRPr="00000000" w14:paraId="0000006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Temporal_Sup_L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4.118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0.166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 SomMotA_9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Precentral_L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3.663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 SomMotB_S2_8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Temporal_Sup_R</w:t>
            </w:r>
          </w:p>
          <w:p w:rsidR="00000000" w:rsidDel="00000000" w:rsidP="00000000" w:rsidRDefault="00000000" w:rsidRPr="00000000" w14:paraId="0000007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Heschl_R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3.136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5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eed = L Hipp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 ContB_IPL_3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Angular_L</w:t>
            </w:r>
          </w:p>
          <w:p w:rsidR="00000000" w:rsidDel="00000000" w:rsidP="00000000" w:rsidRDefault="00000000" w:rsidRPr="00000000" w14:paraId="0000007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Parietal_Sup_L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3.041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2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Seed = R Hipp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 VisPeri_ExStrSup_4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Lingual_L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4.803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2696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0.190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 SalVentAttnA_ParOper_1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SupraMarginal_L</w:t>
            </w:r>
          </w:p>
          <w:p w:rsidR="00000000" w:rsidDel="00000000" w:rsidP="00000000" w:rsidRDefault="00000000" w:rsidRPr="00000000" w14:paraId="0000009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Rolandic_Oper_L</w:t>
            </w:r>
          </w:p>
          <w:p w:rsidR="00000000" w:rsidDel="00000000" w:rsidP="00000000" w:rsidRDefault="00000000" w:rsidRPr="00000000" w14:paraId="0000009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Temporal_Sup_L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4.301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0.171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 SomMotB_Aud_10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SupraMarginal_L</w:t>
            </w:r>
          </w:p>
          <w:p w:rsidR="00000000" w:rsidDel="00000000" w:rsidP="00000000" w:rsidRDefault="00000000" w:rsidRPr="00000000" w14:paraId="0000009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Temporal_Sup_L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4.274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2699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0.169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 SalVentAttnA_ParMed_7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Supp_Motor_Area_R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4.141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2613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0.167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 DefaultB_PFCd_3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Frontal_Sup_L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3.817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2691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0.152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 SomMotB_S2_9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Rolandic_Oper_R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3.456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2699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0.137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spacing w:after="360" w:before="360" w:line="276" w:lineRule="auto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Note 1:</w:t>
      </w:r>
      <w:r w:rsidDel="00000000" w:rsidR="00000000" w:rsidRPr="00000000">
        <w:rPr>
          <w:rtl w:val="0"/>
        </w:rPr>
        <w:t xml:space="preserve"> All connections survived four robustness criteria: </w:t>
      </w:r>
      <w:r w:rsidDel="00000000" w:rsidR="00000000" w:rsidRPr="00000000">
        <w:rPr>
          <w:i w:val="1"/>
          <w:iCs w:val="1"/>
          <w:rtl w:val="0"/>
        </w:rPr>
        <w:t xml:space="preserve">i</w:t>
      </w:r>
      <w:r w:rsidDel="00000000" w:rsidR="00000000" w:rsidRPr="00000000">
        <w:rPr>
          <w:rtl w:val="0"/>
        </w:rPr>
        <w:t xml:space="preserve">) FDR-corrected significance in the primary parameter set (window length = 40 s, overlap = 50%) for the case-control differences, </w:t>
      </w:r>
      <w:r w:rsidDel="00000000" w:rsidR="00000000" w:rsidRPr="00000000">
        <w:rPr>
          <w:i w:val="1"/>
          <w:iCs w:val="1"/>
          <w:rtl w:val="0"/>
        </w:rPr>
        <w:t xml:space="preserve">ii</w:t>
      </w:r>
      <w:r w:rsidDel="00000000" w:rsidR="00000000" w:rsidRPr="00000000">
        <w:rPr>
          <w:rtl w:val="0"/>
        </w:rPr>
        <w:t xml:space="preserve">) combined significance across all 12 sliding window parameter combinations via Stouffer's method (FDR-corrected), </w:t>
      </w:r>
      <w:r w:rsidDel="00000000" w:rsidR="00000000" w:rsidRPr="00000000">
        <w:rPr>
          <w:i w:val="1"/>
          <w:iCs w:val="1"/>
          <w:rtl w:val="0"/>
        </w:rPr>
        <w:t xml:space="preserve">iii</w:t>
      </w:r>
      <w:r w:rsidDel="00000000" w:rsidR="00000000" w:rsidRPr="00000000">
        <w:rPr>
          <w:rtl w:val="0"/>
        </w:rPr>
        <w:t xml:space="preserve">) consistent direction of effect across all 12 parameter combinations, and </w:t>
      </w:r>
      <w:r w:rsidDel="00000000" w:rsidR="00000000" w:rsidRPr="00000000">
        <w:rPr>
          <w:i w:val="1"/>
          <w:iCs w:val="1"/>
          <w:rtl w:val="0"/>
        </w:rPr>
        <w:t xml:space="preserve">iv</w:t>
      </w:r>
      <w:r w:rsidDel="00000000" w:rsidR="00000000" w:rsidRPr="00000000">
        <w:rPr>
          <w:rtl w:val="0"/>
        </w:rPr>
        <w:t xml:space="preserve">) FDR-corrected significance in at least 4 of 12 parameter combinations. Connections are sorted by t-statistic within each seed.</w:t>
      </w:r>
    </w:p>
    <w:p w:rsidR="00000000" w:rsidDel="00000000" w:rsidP="00000000" w:rsidRDefault="00000000" w:rsidRPr="00000000" w14:paraId="000000B0">
      <w:pPr>
        <w:spacing w:after="360" w:before="360" w:line="276" w:lineRule="auto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Note 2: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Parcel labels follow the Schaefer400 2018 Yeo 17-network parcellation scheme, where the prefix indicates hemisphere (L = left; R = right) and the suffix indicates network and subregion: ContA/ContB = Control Network subdivisions A and B; DorsAttnA = Dorsal Attention Network subdivision A; DefaultB = Default Mode Network subdivision B; SalVentAttnA = Salience and Ventral Attention Network subdivision A; SomMotA/SomMotB = Somatomotor Network subdivisions A and B; VisCent = Central Visual Network; VisPeri = Peripheral Visual Network; PFCv = ventral prefrontal cortex; PFCd = dorsal prefrontal cortex; PFCl = lateral prefrontal cortex; PFClv = lateral ventral prefrontal cortex; IPL = inferior parietal lobule; SPL = superior parietal lobule; Ins = insula; ParOper = parietal operculum; ParMed = posterior medial parietal cortex; ExStr = extrastriate cortex; ExStrSup = superior extrastriate cortex; Aud = auditory cortex; S2 = secondary somatosensory cortex. t = t-statistic for the case-control difference; df = degrees of freedom; p_fdr = false discovery rate-corrected p-value.</w:t>
      </w:r>
    </w:p>
    <w:p w:rsidR="00000000" w:rsidDel="00000000" w:rsidP="00000000" w:rsidRDefault="00000000" w:rsidRPr="00000000" w14:paraId="000000B1">
      <w:pPr>
        <w:spacing w:after="360" w:before="360" w:line="276" w:lineRule="auto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Note 3:</w:t>
      </w:r>
      <w:r w:rsidDel="00000000" w:rsidR="00000000" w:rsidRPr="00000000">
        <w:rPr>
          <w:rtl w:val="0"/>
        </w:rPr>
        <w:t xml:space="preserve"> AAL (Automated Anatomical Labeling) atlas region(s) overlapping with the Schaefer parcel are provided for anatomical reference. AAL region abbreviations: Frontal_Inf_Orb = inferior orbital frontal cortex; Frontal_Mid_Orb = middle frontal gyrus, orbital part; Frontal_Inf_Oper = inferior frontal gyrus, opercular part; Frontal_Sup = superior frontal gyrus; Frontal_Inf = inferior frontal gyrus; Precentral = precentral gyrus; Postcentral = postcentral gyrus; Paracentral_Lobule = paracentral lobule; Parietal_Sup = superior parietal lobule; Parietal_Inf = inferior parietal lobule; SupraMarginal = supramarginal gyrus; Angular = angular gyrus; Rolandic_Oper = rolandic operculum; Temporal_Sup = superior temporal gyrus; Heschl = Heschl's gyrus; Lingual = lingual gyrus; Occipital_Mid = middle occipital gyrus; Supp_Motor_Area = supplementary motor area. The suffixes _L and _R denote the left and right hemisphere, respectively.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