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before="360" w:line="48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Table 3. Diagnosis × sex interactions and associations with PTSD symptom severity for DFC connections showing significant case-control difference.</w:t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1080"/>
        <w:gridCol w:w="945"/>
        <w:gridCol w:w="1125"/>
        <w:gridCol w:w="1125"/>
        <w:gridCol w:w="1125"/>
        <w:gridCol w:w="1080"/>
        <w:tblGridChange w:id="0">
          <w:tblGrid>
            <w:gridCol w:w="2865"/>
            <w:gridCol w:w="1080"/>
            <w:gridCol w:w="945"/>
            <w:gridCol w:w="1125"/>
            <w:gridCol w:w="1125"/>
            <w:gridCol w:w="1125"/>
            <w:gridCol w:w="108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p_FDR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Parcel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x by Sex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PTSD Severity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Cluster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Cluster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Cluster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Cluster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Seed = L Amyg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DefaultB_PFCv_3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ContB_PFClv_1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ContA_PFCl_4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DefaultB_PFCd_3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VisCent_ExStr_7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VisCent_ExStr_8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SalVentAttnA_Ins_6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SomMotA_13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DorsAttnA_SPL_4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ContB_IPL_3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ContA_PFCl_3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ContB_IPL_3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0.522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Seed = R Amyg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SomMotB_Aud_10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SomMotA_9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SomMotB_S2_8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Seed = L Hipp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ContB_IPL_3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0.080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0.335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0.817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Seed = R Hipp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VisPeri_ExStrSup_4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SomMotB_Aud_10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SalVentAttnA_ParOper_1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SalVentAttnA_ParMed_7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 DefaultB_PFCd_3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ffffff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 SomMotB_S2_9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&lt;0.001</w:t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cccccc" w:space="0" w:sz="6" w:val="single"/>
              <w:bottom w:color="000000" w:space="0" w:sz="8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0.263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360" w:before="360" w:line="480" w:lineRule="auto"/>
        <w:jc w:val="both"/>
        <w:rPr/>
      </w:pPr>
      <w:r w:rsidDel="00000000" w:rsidR="00000000" w:rsidRPr="00000000">
        <w:rPr>
          <w:rtl w:val="0"/>
        </w:rPr>
        <w:t xml:space="preserve">Notes</w:t>
      </w:r>
      <w:r w:rsidDel="00000000" w:rsidR="00000000" w:rsidRPr="00000000">
        <w:rPr>
          <w:rtl w:val="0"/>
        </w:rPr>
        <w:t xml:space="preserve">: Rows correspond to the 22 connections showing significant case-control differences in DFC. Secondary moderation analyses and symptom severity associations were examined only for connections surviving the primary case-control analysis, thereby controlling for multiple comparisons while maintaining biological interpretability. All </w:t>
      </w:r>
      <w:r w:rsidDel="00000000" w:rsidR="00000000" w:rsidRPr="00000000">
        <w:rPr>
          <w:i w:val="1"/>
          <w:iCs w:val="1"/>
          <w:rtl w:val="0"/>
        </w:rPr>
        <w:t xml:space="preserve">p</w:t>
      </w:r>
      <w:r w:rsidDel="00000000" w:rsidR="00000000" w:rsidRPr="00000000">
        <w:rPr>
          <w:rtl w:val="0"/>
        </w:rPr>
        <w:t xml:space="preserve">-values are FDR-corrected (</w:t>
      </w:r>
      <w:r w:rsidDel="00000000" w:rsidR="00000000" w:rsidRPr="00000000">
        <w:rPr>
          <w:i w:val="1"/>
          <w:iCs w:val="1"/>
          <w:rtl w:val="0"/>
        </w:rPr>
        <w:t xml:space="preserve">q</w:t>
      </w:r>
      <w:r w:rsidDel="00000000" w:rsidR="00000000" w:rsidRPr="00000000">
        <w:rPr>
          <w:rtl w:val="0"/>
        </w:rPr>
        <w:t xml:space="preserve"> &lt; .05) across the 22 connections within each model separately. Dx × Sex = PTSD diagnosis × biological sex interaction; PTSD Severity = association with total PTSD norm-severity score; Cluster B = re-experiencing symptoms; Cluster C = avoidance symptoms; Cluster D = negative alterations in cognition and mood; Cluster E = hyperarousal and reactivity symptoms. Parcel label abbreviations follow the same convention as Table 2.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