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CED3D" w14:textId="77777777" w:rsidR="003B452C" w:rsidRDefault="003B452C" w:rsidP="003B452C">
      <w:pPr>
        <w:pStyle w:val="Heading1"/>
        <w:spacing w:before="240" w:after="120"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Supplementary Materials</w:t>
      </w:r>
    </w:p>
    <w:p w14:paraId="4CD62430" w14:textId="77777777" w:rsidR="003B452C" w:rsidRDefault="003B452C" w:rsidP="003B452C">
      <w:pPr>
        <w:pStyle w:val="Heading2"/>
        <w:spacing w:before="120" w:after="120" w:line="240" w:lineRule="auto"/>
        <w:rPr>
          <w:rFonts w:ascii="Times New Roman" w:hAnsi="Times New Roman" w:cs="Times New Roman"/>
          <w:color w:val="auto"/>
        </w:rPr>
      </w:pPr>
      <w:r>
        <w:rPr>
          <w:rFonts w:ascii="Times New Roman" w:eastAsia="Times New Roman" w:hAnsi="Times New Roman" w:cs="Times New Roman"/>
          <w:color w:val="auto"/>
          <w:sz w:val="20"/>
        </w:rPr>
        <w:t>Supplementary Table S1. Interobserver agreement of preoperative CT assessments</w:t>
      </w:r>
    </w:p>
    <w:tbl>
      <w:tblPr>
        <w:tblStyle w:val="TableGrid"/>
        <w:tblpPr w:leftFromText="180" w:rightFromText="180" w:vertAnchor="text" w:horzAnchor="page" w:tblpX="1383" w:tblpY="12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52"/>
      </w:tblGrid>
      <w:tr w:rsidR="003B452C" w14:paraId="46E8F261" w14:textId="77777777" w:rsidTr="00066BD3">
        <w:tc>
          <w:tcPr>
            <w:tcW w:w="8052" w:type="dxa"/>
          </w:tcPr>
          <w:tbl>
            <w:tblPr>
              <w:tblStyle w:val="TableGrid"/>
              <w:tblpPr w:leftFromText="180" w:rightFromText="180" w:vertAnchor="text" w:horzAnchor="page" w:tblpXSpec="center" w:tblpY="-3508"/>
              <w:tblOverlap w:val="never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285"/>
              <w:gridCol w:w="2002"/>
              <w:gridCol w:w="975"/>
              <w:gridCol w:w="1268"/>
              <w:gridCol w:w="1073"/>
              <w:gridCol w:w="1223"/>
            </w:tblGrid>
            <w:tr w:rsidR="003B452C" w14:paraId="4E7792E6" w14:textId="77777777" w:rsidTr="00066BD3">
              <w:trPr>
                <w:trHeight w:val="650"/>
                <w:jc w:val="center"/>
              </w:trPr>
              <w:tc>
                <w:tcPr>
                  <w:tcW w:w="1285" w:type="dxa"/>
                  <w:vAlign w:val="center"/>
                </w:tcPr>
                <w:p w14:paraId="4E3715FC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CT variable</w:t>
                  </w:r>
                </w:p>
              </w:tc>
              <w:tc>
                <w:tcPr>
                  <w:tcW w:w="2002" w:type="dxa"/>
                  <w:vAlign w:val="center"/>
                </w:tcPr>
                <w:p w14:paraId="32534881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Assessment</w:t>
                  </w:r>
                </w:p>
              </w:tc>
              <w:tc>
                <w:tcPr>
                  <w:tcW w:w="975" w:type="dxa"/>
                  <w:vAlign w:val="center"/>
                </w:tcPr>
                <w:p w14:paraId="40113C2E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N</w:t>
                  </w:r>
                </w:p>
              </w:tc>
              <w:tc>
                <w:tcPr>
                  <w:tcW w:w="1268" w:type="dxa"/>
                  <w:vAlign w:val="center"/>
                </w:tcPr>
                <w:p w14:paraId="703E76D7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Agreement statistic</w:t>
                  </w:r>
                </w:p>
              </w:tc>
              <w:tc>
                <w:tcPr>
                  <w:tcW w:w="1073" w:type="dxa"/>
                  <w:vAlign w:val="center"/>
                </w:tcPr>
                <w:p w14:paraId="276216E9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kappa</w:t>
                  </w:r>
                </w:p>
              </w:tc>
              <w:tc>
                <w:tcPr>
                  <w:tcW w:w="1223" w:type="dxa"/>
                  <w:vAlign w:val="center"/>
                </w:tcPr>
                <w:p w14:paraId="7915A569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95% CI</w:t>
                  </w:r>
                </w:p>
              </w:tc>
            </w:tr>
            <w:tr w:rsidR="003B452C" w14:paraId="1B4BEB2A" w14:textId="77777777" w:rsidTr="00066BD3">
              <w:trPr>
                <w:trHeight w:val="887"/>
                <w:jc w:val="center"/>
              </w:trPr>
              <w:tc>
                <w:tcPr>
                  <w:tcW w:w="1285" w:type="dxa"/>
                  <w:vAlign w:val="center"/>
                </w:tcPr>
                <w:p w14:paraId="5C4B4ECE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Pulmonary artery relationship</w:t>
                  </w:r>
                </w:p>
              </w:tc>
              <w:tc>
                <w:tcPr>
                  <w:tcW w:w="2002" w:type="dxa"/>
                  <w:vAlign w:val="center"/>
                </w:tcPr>
                <w:p w14:paraId="501B1917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Grade 0–3</w:t>
                  </w:r>
                </w:p>
              </w:tc>
              <w:tc>
                <w:tcPr>
                  <w:tcW w:w="975" w:type="dxa"/>
                  <w:vAlign w:val="center"/>
                </w:tcPr>
                <w:p w14:paraId="3A9E628B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101</w:t>
                  </w:r>
                </w:p>
              </w:tc>
              <w:tc>
                <w:tcPr>
                  <w:tcW w:w="1268" w:type="dxa"/>
                  <w:vAlign w:val="center"/>
                </w:tcPr>
                <w:p w14:paraId="69374A81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Weighted Cohen's kappa</w:t>
                  </w:r>
                </w:p>
              </w:tc>
              <w:tc>
                <w:tcPr>
                  <w:tcW w:w="1073" w:type="dxa"/>
                  <w:vAlign w:val="center"/>
                </w:tcPr>
                <w:p w14:paraId="0932392B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1.00</w:t>
                  </w:r>
                </w:p>
              </w:tc>
              <w:tc>
                <w:tcPr>
                  <w:tcW w:w="1223" w:type="dxa"/>
                  <w:vAlign w:val="center"/>
                </w:tcPr>
                <w:p w14:paraId="66C7D539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1.00–1.00</w:t>
                  </w:r>
                </w:p>
              </w:tc>
            </w:tr>
            <w:tr w:rsidR="003B452C" w14:paraId="4A23F70D" w14:textId="77777777" w:rsidTr="00066BD3">
              <w:trPr>
                <w:trHeight w:val="887"/>
                <w:jc w:val="center"/>
              </w:trPr>
              <w:tc>
                <w:tcPr>
                  <w:tcW w:w="1285" w:type="dxa"/>
                  <w:vAlign w:val="center"/>
                </w:tcPr>
                <w:p w14:paraId="4A895C9C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Bronchial relationship</w:t>
                  </w:r>
                </w:p>
              </w:tc>
              <w:tc>
                <w:tcPr>
                  <w:tcW w:w="2002" w:type="dxa"/>
                  <w:vAlign w:val="center"/>
                </w:tcPr>
                <w:p w14:paraId="12B2A8E9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Grade 0–2</w:t>
                  </w:r>
                </w:p>
              </w:tc>
              <w:tc>
                <w:tcPr>
                  <w:tcW w:w="975" w:type="dxa"/>
                  <w:vAlign w:val="center"/>
                </w:tcPr>
                <w:p w14:paraId="6B06BD1F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100</w:t>
                  </w:r>
                </w:p>
              </w:tc>
              <w:tc>
                <w:tcPr>
                  <w:tcW w:w="1268" w:type="dxa"/>
                  <w:vAlign w:val="center"/>
                </w:tcPr>
                <w:p w14:paraId="7C923D3A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Weighted Cohen's kappa</w:t>
                  </w:r>
                </w:p>
              </w:tc>
              <w:tc>
                <w:tcPr>
                  <w:tcW w:w="1073" w:type="dxa"/>
                  <w:vAlign w:val="center"/>
                </w:tcPr>
                <w:p w14:paraId="1143DABA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1.00</w:t>
                  </w:r>
                </w:p>
              </w:tc>
              <w:tc>
                <w:tcPr>
                  <w:tcW w:w="1223" w:type="dxa"/>
                  <w:vAlign w:val="center"/>
                </w:tcPr>
                <w:p w14:paraId="732AC066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1.00–1.00</w:t>
                  </w:r>
                </w:p>
              </w:tc>
            </w:tr>
            <w:tr w:rsidR="003B452C" w14:paraId="00DF2983" w14:textId="77777777" w:rsidTr="00066BD3">
              <w:trPr>
                <w:trHeight w:val="895"/>
                <w:jc w:val="center"/>
              </w:trPr>
              <w:tc>
                <w:tcPr>
                  <w:tcW w:w="1285" w:type="dxa"/>
                  <w:vAlign w:val="center"/>
                </w:tcPr>
                <w:p w14:paraId="60C97A13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Fibrosis grade</w:t>
                  </w:r>
                </w:p>
              </w:tc>
              <w:tc>
                <w:tcPr>
                  <w:tcW w:w="2002" w:type="dxa"/>
                  <w:vAlign w:val="center"/>
                </w:tcPr>
                <w:p w14:paraId="2C5D0844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Mild/moderate/severe</w:t>
                  </w:r>
                </w:p>
              </w:tc>
              <w:tc>
                <w:tcPr>
                  <w:tcW w:w="975" w:type="dxa"/>
                  <w:vAlign w:val="center"/>
                </w:tcPr>
                <w:p w14:paraId="0812D89F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101</w:t>
                  </w:r>
                </w:p>
              </w:tc>
              <w:tc>
                <w:tcPr>
                  <w:tcW w:w="1268" w:type="dxa"/>
                  <w:vAlign w:val="center"/>
                </w:tcPr>
                <w:p w14:paraId="560CFCEA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Weighted Cohen's kappa</w:t>
                  </w:r>
                </w:p>
              </w:tc>
              <w:tc>
                <w:tcPr>
                  <w:tcW w:w="1073" w:type="dxa"/>
                  <w:vAlign w:val="center"/>
                </w:tcPr>
                <w:p w14:paraId="4B4F7CD7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0.55</w:t>
                  </w:r>
                </w:p>
              </w:tc>
              <w:tc>
                <w:tcPr>
                  <w:tcW w:w="1223" w:type="dxa"/>
                  <w:vAlign w:val="center"/>
                </w:tcPr>
                <w:p w14:paraId="43752A28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0.37–0.72</w:t>
                  </w:r>
                </w:p>
              </w:tc>
            </w:tr>
          </w:tbl>
          <w:p w14:paraId="0C482610" w14:textId="77777777" w:rsidR="003B452C" w:rsidRDefault="003B452C" w:rsidP="00066BD3">
            <w:pPr>
              <w:keepNext/>
              <w:spacing w:before="120" w:after="120" w:line="240" w:lineRule="auto"/>
              <w:jc w:val="both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14:paraId="71A74BEA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sz w:val="20"/>
        </w:rPr>
      </w:pPr>
    </w:p>
    <w:p w14:paraId="3A183BE8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sz w:val="20"/>
        </w:rPr>
      </w:pPr>
    </w:p>
    <w:p w14:paraId="4EBEFC56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sz w:val="20"/>
        </w:rPr>
      </w:pPr>
    </w:p>
    <w:p w14:paraId="0FE34CE8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sz w:val="20"/>
        </w:rPr>
      </w:pPr>
    </w:p>
    <w:p w14:paraId="1E0A15B5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sz w:val="20"/>
        </w:rPr>
      </w:pPr>
    </w:p>
    <w:p w14:paraId="03EF87CA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sz w:val="20"/>
        </w:rPr>
      </w:pPr>
    </w:p>
    <w:p w14:paraId="17390B5B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sz w:val="20"/>
        </w:rPr>
      </w:pPr>
    </w:p>
    <w:p w14:paraId="027553AA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sz w:val="20"/>
        </w:rPr>
      </w:pPr>
    </w:p>
    <w:p w14:paraId="6A175DAC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sz w:val="20"/>
        </w:rPr>
      </w:pPr>
    </w:p>
    <w:p w14:paraId="1D71832E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0"/>
        </w:rPr>
      </w:pPr>
    </w:p>
    <w:p w14:paraId="26C23136" w14:textId="77777777" w:rsidR="003B452C" w:rsidRDefault="003B452C" w:rsidP="003B452C">
      <w:pPr>
        <w:keepNext/>
        <w:spacing w:before="120" w:after="120" w:line="240" w:lineRule="auto"/>
        <w:rPr>
          <w:rFonts w:ascii="Times New Roman" w:eastAsia="Times New Roman" w:hAnsi="Times New Roman" w:cs="Times New Roman"/>
          <w:b/>
          <w:bCs/>
          <w:sz w:val="20"/>
        </w:rPr>
      </w:pPr>
      <w:r>
        <w:rPr>
          <w:rFonts w:ascii="Times New Roman" w:eastAsia="Times New Roman" w:hAnsi="Times New Roman" w:cs="Times New Roman"/>
          <w:b/>
          <w:bCs/>
          <w:sz w:val="20"/>
        </w:rPr>
        <w:t>Supplementary Table S2. Conventional maximum-likelihood multivariable logistic regression sensitivity analysis for conversion to thoracotomy.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3B452C" w14:paraId="5491D264" w14:textId="77777777" w:rsidTr="00066BD3">
        <w:tc>
          <w:tcPr>
            <w:tcW w:w="9622" w:type="dxa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790"/>
              <w:gridCol w:w="1738"/>
              <w:gridCol w:w="1751"/>
              <w:gridCol w:w="1760"/>
              <w:gridCol w:w="1761"/>
            </w:tblGrid>
            <w:tr w:rsidR="003B452C" w14:paraId="38B1E48A" w14:textId="77777777" w:rsidTr="00066BD3">
              <w:tc>
                <w:tcPr>
                  <w:tcW w:w="1872" w:type="dxa"/>
                  <w:vAlign w:val="center"/>
                </w:tcPr>
                <w:p w14:paraId="02E6B29F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Variable</w:t>
                  </w:r>
                </w:p>
              </w:tc>
              <w:tc>
                <w:tcPr>
                  <w:tcW w:w="1872" w:type="dxa"/>
                  <w:vAlign w:val="center"/>
                </w:tcPr>
                <w:p w14:paraId="675F349B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N</w:t>
                  </w:r>
                </w:p>
              </w:tc>
              <w:tc>
                <w:tcPr>
                  <w:tcW w:w="1872" w:type="dxa"/>
                  <w:vAlign w:val="center"/>
                </w:tcPr>
                <w:p w14:paraId="4A721D04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OR</w:t>
                  </w:r>
                </w:p>
              </w:tc>
              <w:tc>
                <w:tcPr>
                  <w:tcW w:w="1872" w:type="dxa"/>
                  <w:vAlign w:val="center"/>
                </w:tcPr>
                <w:p w14:paraId="16CFF2DB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95% CI</w:t>
                  </w:r>
                </w:p>
              </w:tc>
              <w:tc>
                <w:tcPr>
                  <w:tcW w:w="1872" w:type="dxa"/>
                  <w:vAlign w:val="center"/>
                </w:tcPr>
                <w:p w14:paraId="42A46B37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sz w:val="18"/>
                    </w:rPr>
                    <w:t>P value</w:t>
                  </w:r>
                </w:p>
              </w:tc>
            </w:tr>
            <w:tr w:rsidR="003B452C" w14:paraId="11119D12" w14:textId="77777777" w:rsidTr="00066BD3">
              <w:tc>
                <w:tcPr>
                  <w:tcW w:w="1872" w:type="dxa"/>
                  <w:vAlign w:val="center"/>
                </w:tcPr>
                <w:p w14:paraId="1B994785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cT3-4</w:t>
                  </w:r>
                </w:p>
              </w:tc>
              <w:tc>
                <w:tcPr>
                  <w:tcW w:w="1872" w:type="dxa"/>
                  <w:vAlign w:val="center"/>
                </w:tcPr>
                <w:p w14:paraId="6259746F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100</w:t>
                  </w:r>
                </w:p>
              </w:tc>
              <w:tc>
                <w:tcPr>
                  <w:tcW w:w="1872" w:type="dxa"/>
                  <w:vAlign w:val="center"/>
                </w:tcPr>
                <w:p w14:paraId="1CD4AC3B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51.82</w:t>
                  </w:r>
                </w:p>
              </w:tc>
              <w:tc>
                <w:tcPr>
                  <w:tcW w:w="1872" w:type="dxa"/>
                  <w:vAlign w:val="center"/>
                </w:tcPr>
                <w:p w14:paraId="25E0081C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10.10-265.89</w:t>
                  </w:r>
                </w:p>
              </w:tc>
              <w:tc>
                <w:tcPr>
                  <w:tcW w:w="1872" w:type="dxa"/>
                  <w:vAlign w:val="center"/>
                </w:tcPr>
                <w:p w14:paraId="1EA3E840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&lt;0.001</w:t>
                  </w:r>
                </w:p>
              </w:tc>
            </w:tr>
            <w:tr w:rsidR="003B452C" w14:paraId="6CDF61ED" w14:textId="77777777" w:rsidTr="00066BD3">
              <w:tc>
                <w:tcPr>
                  <w:tcW w:w="1872" w:type="dxa"/>
                  <w:vAlign w:val="center"/>
                </w:tcPr>
                <w:p w14:paraId="6BC36965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Pulmonary artery grade (per level)</w:t>
                  </w:r>
                </w:p>
              </w:tc>
              <w:tc>
                <w:tcPr>
                  <w:tcW w:w="1872" w:type="dxa"/>
                  <w:vAlign w:val="center"/>
                </w:tcPr>
                <w:p w14:paraId="42AF27D3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100</w:t>
                  </w:r>
                </w:p>
              </w:tc>
              <w:tc>
                <w:tcPr>
                  <w:tcW w:w="1872" w:type="dxa"/>
                  <w:vAlign w:val="center"/>
                </w:tcPr>
                <w:p w14:paraId="5497A54A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2.18</w:t>
                  </w:r>
                </w:p>
              </w:tc>
              <w:tc>
                <w:tcPr>
                  <w:tcW w:w="1872" w:type="dxa"/>
                  <w:vAlign w:val="center"/>
                </w:tcPr>
                <w:p w14:paraId="58ACE757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1.12-4.24</w:t>
                  </w:r>
                </w:p>
              </w:tc>
              <w:tc>
                <w:tcPr>
                  <w:tcW w:w="1872" w:type="dxa"/>
                  <w:vAlign w:val="center"/>
                </w:tcPr>
                <w:p w14:paraId="7C33DE2D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0.022</w:t>
                  </w:r>
                </w:p>
              </w:tc>
            </w:tr>
            <w:tr w:rsidR="003B452C" w14:paraId="77EECFE8" w14:textId="77777777" w:rsidTr="00066BD3">
              <w:tc>
                <w:tcPr>
                  <w:tcW w:w="1872" w:type="dxa"/>
                  <w:vAlign w:val="center"/>
                </w:tcPr>
                <w:p w14:paraId="50BCAB6C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Bronchial grade (per level)</w:t>
                  </w:r>
                </w:p>
              </w:tc>
              <w:tc>
                <w:tcPr>
                  <w:tcW w:w="1872" w:type="dxa"/>
                  <w:vAlign w:val="center"/>
                </w:tcPr>
                <w:p w14:paraId="71091E7B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100</w:t>
                  </w:r>
                </w:p>
              </w:tc>
              <w:tc>
                <w:tcPr>
                  <w:tcW w:w="1872" w:type="dxa"/>
                  <w:vAlign w:val="center"/>
                </w:tcPr>
                <w:p w14:paraId="05E34322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3.70</w:t>
                  </w:r>
                </w:p>
              </w:tc>
              <w:tc>
                <w:tcPr>
                  <w:tcW w:w="1872" w:type="dxa"/>
                  <w:vAlign w:val="center"/>
                </w:tcPr>
                <w:p w14:paraId="7A9318EF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1.45-9.43</w:t>
                  </w:r>
                </w:p>
              </w:tc>
              <w:tc>
                <w:tcPr>
                  <w:tcW w:w="1872" w:type="dxa"/>
                  <w:vAlign w:val="center"/>
                </w:tcPr>
                <w:p w14:paraId="783081C1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0.006</w:t>
                  </w:r>
                </w:p>
              </w:tc>
            </w:tr>
            <w:tr w:rsidR="003B452C" w14:paraId="03817CCF" w14:textId="77777777" w:rsidTr="00066BD3">
              <w:tc>
                <w:tcPr>
                  <w:tcW w:w="1872" w:type="dxa"/>
                  <w:vAlign w:val="center"/>
                </w:tcPr>
                <w:p w14:paraId="1FAAEECB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Fibrosis grade (per level)</w:t>
                  </w:r>
                </w:p>
              </w:tc>
              <w:tc>
                <w:tcPr>
                  <w:tcW w:w="1872" w:type="dxa"/>
                  <w:vAlign w:val="center"/>
                </w:tcPr>
                <w:p w14:paraId="7B97B0CB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100</w:t>
                  </w:r>
                </w:p>
              </w:tc>
              <w:tc>
                <w:tcPr>
                  <w:tcW w:w="1872" w:type="dxa"/>
                  <w:vAlign w:val="center"/>
                </w:tcPr>
                <w:p w14:paraId="05664DCA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0.57</w:t>
                  </w:r>
                </w:p>
              </w:tc>
              <w:tc>
                <w:tcPr>
                  <w:tcW w:w="1872" w:type="dxa"/>
                  <w:vAlign w:val="center"/>
                </w:tcPr>
                <w:p w14:paraId="40C3038B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0.22-1.46</w:t>
                  </w:r>
                </w:p>
              </w:tc>
              <w:tc>
                <w:tcPr>
                  <w:tcW w:w="1872" w:type="dxa"/>
                  <w:vAlign w:val="center"/>
                </w:tcPr>
                <w:p w14:paraId="146BB813" w14:textId="77777777" w:rsidR="003B452C" w:rsidRDefault="003B452C" w:rsidP="00066BD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eastAsia="Times New Roman" w:hAnsi="Times New Roman"/>
                      <w:sz w:val="18"/>
                    </w:rPr>
                    <w:t>0.243</w:t>
                  </w:r>
                </w:p>
              </w:tc>
            </w:tr>
          </w:tbl>
          <w:p w14:paraId="199DC4C1" w14:textId="77777777" w:rsidR="003B452C" w:rsidRDefault="003B452C" w:rsidP="00066BD3">
            <w:pPr>
              <w:keepNext/>
              <w:spacing w:before="120" w:after="120" w:line="240" w:lineRule="auto"/>
              <w:rPr>
                <w:rFonts w:ascii="Times New Roman" w:eastAsia="Times New Roman" w:hAnsi="Times New Roman"/>
                <w:b/>
                <w:bCs/>
                <w:sz w:val="20"/>
              </w:rPr>
            </w:pPr>
          </w:p>
        </w:tc>
      </w:tr>
    </w:tbl>
    <w:p w14:paraId="79411B98" w14:textId="77777777" w:rsidR="003B452C" w:rsidRDefault="003B452C" w:rsidP="003B452C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The model included the same four prespecified covariates as the principal Firth penalized logistic regression model.</w:t>
      </w:r>
    </w:p>
    <w:p w14:paraId="51CC8B2E" w14:textId="77777777" w:rsidR="003B452C" w:rsidRDefault="003B452C" w:rsidP="003B452C">
      <w:pPr>
        <w:pStyle w:val="Heading2"/>
        <w:spacing w:before="12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Supplementary Figure S1. Representative CT examples of pulmonary artery relationship grades 0–3.</w:t>
      </w:r>
    </w:p>
    <w:p w14:paraId="2F045262" w14:textId="77777777" w:rsidR="003B452C" w:rsidRDefault="003B452C" w:rsidP="003B452C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Representative anonymized preoperative CT images illustrating pulmonary artery relationship grades 0–3 according to the study-specific semiquantitative anatomical grading criteria.</w:t>
      </w:r>
    </w:p>
    <w:p w14:paraId="53D937F1" w14:textId="77777777" w:rsidR="003B452C" w:rsidRDefault="003B452C" w:rsidP="003B452C">
      <w:pPr>
        <w:pStyle w:val="Heading2"/>
        <w:spacing w:before="120" w:after="120" w:line="240" w:lineRule="auto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color w:val="auto"/>
          <w:sz w:val="24"/>
          <w:szCs w:val="24"/>
        </w:rPr>
        <w:t>Supplementary Figure S2. Representative CT examples of bronchial relationship grades 0–2.</w:t>
      </w:r>
    </w:p>
    <w:p w14:paraId="4F43F72F" w14:textId="77777777" w:rsidR="003B452C" w:rsidRDefault="003B452C" w:rsidP="003B452C">
      <w:pPr>
        <w:spacing w:after="0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</w:rPr>
        <w:t>Representative anonymized preoperative CT images illustrating bronchial relationship grades 0–2 according to the study-specific semiquantitative anatomical grading criteria.</w:t>
      </w:r>
    </w:p>
    <w:p w14:paraId="2108D8AB" w14:textId="77777777" w:rsidR="003B452C" w:rsidRDefault="003B452C" w:rsidP="003B452C">
      <w:pPr>
        <w:keepNext/>
        <w:pageBreakBefore/>
        <w:spacing w:before="240" w:after="120" w:line="360" w:lineRule="auto"/>
        <w:rPr>
          <w:rFonts w:ascii="Times New Roman" w:eastAsia="Times New Roman" w:hAnsi="Times New Roman" w:cs="Times New Roman"/>
          <w:b/>
          <w:sz w:val="24"/>
        </w:rPr>
      </w:pPr>
    </w:p>
    <w:p w14:paraId="104C545B" w14:textId="4B052FD5" w:rsidR="003B452C" w:rsidRDefault="003B452C" w:rsidP="003B452C">
      <w:pPr>
        <w:keepNext/>
        <w:pageBreakBefore/>
        <w:spacing w:before="240" w:after="120" w:line="36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Supplementary Figures</w:t>
      </w:r>
    </w:p>
    <w:p w14:paraId="5B4CE71F" w14:textId="77777777" w:rsidR="003B452C" w:rsidRDefault="003B452C" w:rsidP="003B452C">
      <w:pPr>
        <w:keepNext/>
        <w:keepLines/>
        <w:spacing w:before="120" w:after="12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>Supplementary Figure S1. Representative CT examples of pulmonary artery relationship grades 0-3.</w:t>
      </w:r>
    </w:p>
    <w:p w14:paraId="304B75B7" w14:textId="77777777" w:rsidR="003B452C" w:rsidRDefault="003B452C" w:rsidP="003B452C">
      <w:pPr>
        <w:keepNext/>
        <w:keepLines/>
        <w:spacing w:before="120" w:after="12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>Supplementary Figure S2. Representative CT examples of bronchial relationship grades 0-2.</w:t>
      </w:r>
    </w:p>
    <w:p w14:paraId="59EFC512" w14:textId="77777777" w:rsidR="003B452C" w:rsidRDefault="003B452C" w:rsidP="003B452C">
      <w:pPr>
        <w:keepLines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4"/>
          <w:lang w:eastAsia="zh-CN"/>
        </w:rPr>
        <w:drawing>
          <wp:inline distT="0" distB="0" distL="114300" distR="114300" wp14:anchorId="43767CB3" wp14:editId="339AAFCD">
            <wp:extent cx="4797425" cy="4401820"/>
            <wp:effectExtent l="0" t="0" r="3175" b="8255"/>
            <wp:docPr id="1" name="图片 1" descr="补充图片7个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补充图片7个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97425" cy="4401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82A57" w14:textId="77777777" w:rsidR="003B452C" w:rsidRDefault="003B452C" w:rsidP="003B452C">
      <w:pPr>
        <w:keepNext/>
        <w:keepLines/>
        <w:spacing w:before="120" w:after="12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Supplementary Figure S3. Exploratory apparent ROC analysis of factors associated with conversion to thoracotomy.</w:t>
      </w:r>
    </w:p>
    <w:p w14:paraId="5D2D2D89" w14:textId="77777777" w:rsidR="003B452C" w:rsidRDefault="003B452C" w:rsidP="003B452C">
      <w:pPr>
        <w:keepLines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114300" distR="114300" wp14:anchorId="50571DF8" wp14:editId="39258C69">
            <wp:extent cx="3943985" cy="3517900"/>
            <wp:effectExtent l="0" t="0" r="8890" b="635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43985" cy="351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38CA1F" w14:textId="77777777" w:rsidR="003B452C" w:rsidRDefault="003B452C" w:rsidP="003B452C">
      <w:pPr>
        <w:keepNext/>
        <w:keepLines/>
        <w:spacing w:before="120" w:after="12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>Supplementary Figure S4. Operative time according to conversion status.</w:t>
      </w:r>
    </w:p>
    <w:p w14:paraId="02AEC994" w14:textId="77777777" w:rsidR="003B452C" w:rsidRDefault="003B452C" w:rsidP="003B452C">
      <w:pPr>
        <w:keepLines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114300" distR="114300" wp14:anchorId="70885F66" wp14:editId="3AC0C24B">
            <wp:extent cx="3426460" cy="2848610"/>
            <wp:effectExtent l="0" t="0" r="254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26460" cy="284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7DCBB" w14:textId="77777777" w:rsidR="003B452C" w:rsidRDefault="003B452C" w:rsidP="003B452C">
      <w:pPr>
        <w:keepNext/>
        <w:keepLines/>
        <w:spacing w:before="120" w:after="12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lastRenderedPageBreak/>
        <w:t>Supplementary Figure S5. Intraoperative blood loss according to conversion status.</w:t>
      </w:r>
    </w:p>
    <w:p w14:paraId="3F5B9A9F" w14:textId="77777777" w:rsidR="003B452C" w:rsidRDefault="003B452C" w:rsidP="003B452C">
      <w:pPr>
        <w:keepLines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114300" distR="114300" wp14:anchorId="0FEA8300" wp14:editId="32B062FA">
            <wp:extent cx="4047490" cy="3364865"/>
            <wp:effectExtent l="0" t="0" r="635" b="698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364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47A86F" w14:textId="77777777" w:rsidR="003B452C" w:rsidRDefault="003B452C" w:rsidP="003B452C">
      <w:pPr>
        <w:keepNext/>
        <w:keepLines/>
        <w:spacing w:before="120" w:after="120" w:line="240" w:lineRule="auto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</w:rPr>
        <w:t>Supplementary Figure S6. Exploratory apparent calibration analysis of the combined model.</w:t>
      </w:r>
    </w:p>
    <w:p w14:paraId="70DA1AAB" w14:textId="30157D59" w:rsidR="00DC2479" w:rsidRDefault="003B452C" w:rsidP="003B452C">
      <w:r>
        <w:rPr>
          <w:rFonts w:ascii="Times New Roman" w:eastAsia="Times New Roman" w:hAnsi="Times New Roman" w:cs="Times New Roman"/>
          <w:noProof/>
          <w:sz w:val="24"/>
        </w:rPr>
        <w:drawing>
          <wp:inline distT="0" distB="0" distL="114300" distR="114300" wp14:anchorId="33D1F1B4" wp14:editId="18325AEA">
            <wp:extent cx="3966210" cy="3508375"/>
            <wp:effectExtent l="0" t="0" r="5715" b="635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66210" cy="350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247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52C"/>
    <w:rsid w:val="003877C4"/>
    <w:rsid w:val="003B452C"/>
    <w:rsid w:val="005B687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ED9D9"/>
  <w15:chartTrackingRefBased/>
  <w15:docId w15:val="{A3355C8E-A1FB-4836-9F1E-313CF6480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452C"/>
    <w:pPr>
      <w:spacing w:after="200" w:line="480" w:lineRule="auto"/>
    </w:pPr>
    <w:rPr>
      <w:rFonts w:ascii="Arial" w:eastAsia="Arial" w:hAnsi="Arial"/>
      <w:kern w:val="0"/>
      <w:sz w:val="21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B452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452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B452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B452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B452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B452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B452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B452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B452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3B45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3B45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B45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B45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B45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B45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B45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B45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B45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B45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B45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B452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B45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B452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B45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B452C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B45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5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5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B452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qFormat/>
    <w:rsid w:val="003B452C"/>
    <w:pPr>
      <w:spacing w:after="0" w:line="240" w:lineRule="auto"/>
    </w:pPr>
    <w:rPr>
      <w:rFonts w:ascii="Times New Roman" w:eastAsia="SimSun" w:hAnsi="Times New Roman" w:cs="Times New Roman"/>
      <w:kern w:val="0"/>
      <w:sz w:val="20"/>
      <w:szCs w:val="20"/>
      <w:lang w:eastAsia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302</Words>
  <Characters>1726</Characters>
  <Application>Microsoft Office Word</Application>
  <DocSecurity>0</DocSecurity>
  <Lines>14</Lines>
  <Paragraphs>4</Paragraphs>
  <ScaleCrop>false</ScaleCrop>
  <Company/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2026-10-20T14:17:00Z</dcterms:created>
  <dcterms:modified xsi:type="dcterms:W3CDTF">2026-10-20T14:17:00Z</dcterms:modified>
</cp:coreProperties>
</file>