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0D6" w:rsidRDefault="007F601A">
      <w:pPr>
        <w:rPr>
          <w:noProof/>
        </w:rPr>
      </w:pPr>
      <w:r>
        <w:rPr>
          <w:noProof/>
        </w:rPr>
        <w:drawing>
          <wp:inline distT="0" distB="0" distL="0" distR="0" wp14:anchorId="442C7FC5" wp14:editId="67F686CA">
            <wp:extent cx="2904565" cy="2711450"/>
            <wp:effectExtent l="0" t="0" r="10160" b="1270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7F601A">
        <w:rPr>
          <w:noProof/>
        </w:rPr>
        <w:t xml:space="preserve"> </w:t>
      </w:r>
      <w:r>
        <w:rPr>
          <w:noProof/>
        </w:rPr>
        <w:drawing>
          <wp:inline distT="0" distB="0" distL="0" distR="0" wp14:anchorId="73C46855" wp14:editId="41D75B00">
            <wp:extent cx="2989089" cy="2743200"/>
            <wp:effectExtent l="0" t="0" r="190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F601A" w:rsidRDefault="007F601A">
      <w:r>
        <w:rPr>
          <w:noProof/>
        </w:rPr>
        <w:drawing>
          <wp:inline distT="0" distB="0" distL="0" distR="0" wp14:anchorId="2C3F4395" wp14:editId="1E62746C">
            <wp:extent cx="2888615" cy="2727719"/>
            <wp:effectExtent l="0" t="0" r="6985" b="1587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7F601A">
        <w:rPr>
          <w:noProof/>
        </w:rPr>
        <w:t xml:space="preserve"> </w:t>
      </w:r>
      <w:r>
        <w:rPr>
          <w:noProof/>
        </w:rPr>
        <w:drawing>
          <wp:inline distT="0" distB="0" distL="0" distR="0" wp14:anchorId="26EB7185" wp14:editId="037E5682">
            <wp:extent cx="3004313" cy="2743200"/>
            <wp:effectExtent l="0" t="0" r="5715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F601A" w:rsidRDefault="007F601A"/>
    <w:p w:rsidR="00D11B96" w:rsidRPr="00D11B96" w:rsidRDefault="00C208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Fig.S2.</w:t>
      </w:r>
      <w:bookmarkStart w:id="0" w:name="_GoBack"/>
      <w:bookmarkEnd w:id="0"/>
      <w:r w:rsidR="00D11B96" w:rsidRPr="00D11B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15E1" w:rsidRPr="002715E1">
        <w:rPr>
          <w:rFonts w:ascii="Times New Roman" w:hAnsi="Times New Roman" w:cs="Times New Roman"/>
          <w:b/>
          <w:sz w:val="24"/>
          <w:szCs w:val="24"/>
        </w:rPr>
        <w:t xml:space="preserve">GA (Gallic Acid), CAF (Caffeine) Gallocatechin gallate (GCG) and TGGP (1, 2, 6-tri-O-galloyl-β-D-glucopyranose) </w:t>
      </w:r>
      <w:r w:rsidR="002715E1">
        <w:rPr>
          <w:rFonts w:ascii="Times New Roman" w:hAnsi="Times New Roman" w:cs="Times New Roman"/>
          <w:b/>
          <w:noProof/>
          <w:sz w:val="24"/>
          <w:szCs w:val="24"/>
        </w:rPr>
        <w:t>in tea young leaves under diﬀerent light condition</w:t>
      </w:r>
      <w:r w:rsidR="002715E1" w:rsidRPr="005618D0">
        <w:rPr>
          <w:rFonts w:ascii="Times New Roman" w:hAnsi="Times New Roman" w:cs="Times New Roman"/>
          <w:b/>
          <w:noProof/>
          <w:sz w:val="24"/>
          <w:szCs w:val="24"/>
        </w:rPr>
        <w:t xml:space="preserve"> by HPLC (Mean ± standard deviation, n=3). Means showing signiﬁcant diﬀerence (P &lt; 0</w:t>
      </w:r>
      <w:r w:rsidR="002715E1">
        <w:rPr>
          <w:rFonts w:ascii="Times New Roman" w:hAnsi="Times New Roman" w:cs="Times New Roman"/>
          <w:b/>
          <w:noProof/>
          <w:sz w:val="24"/>
          <w:szCs w:val="24"/>
        </w:rPr>
        <w:t>.05).</w:t>
      </w:r>
    </w:p>
    <w:sectPr w:rsidR="00D11B96" w:rsidRPr="00D11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A2"/>
    <w:rsid w:val="000371D4"/>
    <w:rsid w:val="002715E1"/>
    <w:rsid w:val="004730D6"/>
    <w:rsid w:val="007F601A"/>
    <w:rsid w:val="00C2088A"/>
    <w:rsid w:val="00C971A2"/>
    <w:rsid w:val="00D11B96"/>
    <w:rsid w:val="00E2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4954E6-C91D-40DC-9916-BBF7217F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Gallic</a:t>
            </a:r>
            <a:r>
              <a:rPr lang="en-US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Acid(mg/g)</a:t>
            </a:r>
            <a:endParaRPr lang="en-US" sz="1000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34940266841644796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8012038495188099"/>
          <c:y val="0.17613444152814231"/>
          <c:w val="0.6865462817147856"/>
          <c:h val="0.6668285214348207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errBars>
            <c:errBarType val="both"/>
            <c:errValType val="cust"/>
            <c:noEndCap val="0"/>
            <c:plus>
              <c:numRef>
                <c:f>analysis!$E$19:$G$19</c:f>
                <c:numCache>
                  <c:formatCode>General</c:formatCode>
                  <c:ptCount val="3"/>
                  <c:pt idx="0">
                    <c:v>1.1409665939922651E-3</c:v>
                  </c:pt>
                  <c:pt idx="1">
                    <c:v>6.2916862324741466E-4</c:v>
                  </c:pt>
                  <c:pt idx="2">
                    <c:v>1.2282491291704613E-3</c:v>
                  </c:pt>
                </c:numCache>
              </c:numRef>
            </c:plus>
            <c:minus>
              <c:numRef>
                <c:f>analysis!$E$19:$G$19</c:f>
                <c:numCache>
                  <c:formatCode>General</c:formatCode>
                  <c:ptCount val="3"/>
                  <c:pt idx="0">
                    <c:v>1.1409665939922651E-3</c:v>
                  </c:pt>
                  <c:pt idx="1">
                    <c:v>6.2916862324741466E-4</c:v>
                  </c:pt>
                  <c:pt idx="2">
                    <c:v>1.2282491291704613E-3</c:v>
                  </c:pt>
                </c:numCache>
              </c:numRef>
            </c:minus>
            <c:spPr>
              <a:noFill/>
              <a:ln w="1587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analysis!$E$17:$G$17</c:f>
              <c:strCache>
                <c:ptCount val="3"/>
                <c:pt idx="0">
                  <c:v>CK</c:v>
                </c:pt>
                <c:pt idx="1">
                  <c:v>BL</c:v>
                </c:pt>
                <c:pt idx="2">
                  <c:v>RL</c:v>
                </c:pt>
              </c:strCache>
            </c:strRef>
          </c:cat>
          <c:val>
            <c:numRef>
              <c:f>analysis!$E$18:$G$18</c:f>
              <c:numCache>
                <c:formatCode>General</c:formatCode>
                <c:ptCount val="3"/>
                <c:pt idx="0">
                  <c:v>6.1939851154681001E-2</c:v>
                </c:pt>
                <c:pt idx="1">
                  <c:v>6.6590299967146382E-2</c:v>
                </c:pt>
                <c:pt idx="2">
                  <c:v>6.2204852077508019E-2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2345472"/>
        <c:axId val="772336768"/>
      </c:barChart>
      <c:catAx>
        <c:axId val="772345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2336768"/>
        <c:crosses val="autoZero"/>
        <c:auto val="1"/>
        <c:lblAlgn val="ctr"/>
        <c:lblOffset val="100"/>
        <c:noMultiLvlLbl val="0"/>
      </c:catAx>
      <c:valAx>
        <c:axId val="772336768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2345472"/>
        <c:crosses val="autoZero"/>
        <c:crossBetween val="between"/>
        <c:majorUnit val="4.000000000000001E-3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Caffeine</a:t>
            </a:r>
            <a:r>
              <a:rPr lang="en-US" sz="11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en-US" sz="11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(mg/g)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197222222222223"/>
          <c:y val="0.13770851560221642"/>
          <c:w val="0.6980277777777778"/>
          <c:h val="0.7052544473607466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errBars>
            <c:errBarType val="both"/>
            <c:errValType val="cust"/>
            <c:noEndCap val="0"/>
            <c:plus>
              <c:numRef>
                <c:f>analysis!$AE$19:$AG$19</c:f>
                <c:numCache>
                  <c:formatCode>General</c:formatCode>
                  <c:ptCount val="3"/>
                  <c:pt idx="0">
                    <c:v>5.7858071953264846E-3</c:v>
                  </c:pt>
                  <c:pt idx="1">
                    <c:v>2.2137373083502953E-3</c:v>
                  </c:pt>
                  <c:pt idx="2">
                    <c:v>5.9803202395690442E-3</c:v>
                  </c:pt>
                </c:numCache>
              </c:numRef>
            </c:plus>
            <c:minus>
              <c:numRef>
                <c:f>analysis!$AE$19:$AG$19</c:f>
                <c:numCache>
                  <c:formatCode>General</c:formatCode>
                  <c:ptCount val="3"/>
                  <c:pt idx="0">
                    <c:v>5.7858071953264846E-3</c:v>
                  </c:pt>
                  <c:pt idx="1">
                    <c:v>2.2137373083502953E-3</c:v>
                  </c:pt>
                  <c:pt idx="2">
                    <c:v>5.9803202395690442E-3</c:v>
                  </c:pt>
                </c:numCache>
              </c:numRef>
            </c:minus>
            <c:spPr>
              <a:noFill/>
              <a:ln w="222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analysis!$AE$17:$AG$17</c:f>
              <c:strCache>
                <c:ptCount val="3"/>
                <c:pt idx="0">
                  <c:v>CK</c:v>
                </c:pt>
                <c:pt idx="1">
                  <c:v>BL</c:v>
                </c:pt>
                <c:pt idx="2">
                  <c:v>RL</c:v>
                </c:pt>
              </c:strCache>
            </c:strRef>
          </c:cat>
          <c:val>
            <c:numRef>
              <c:f>analysis!$AE$18:$AG$18</c:f>
              <c:numCache>
                <c:formatCode>General</c:formatCode>
                <c:ptCount val="3"/>
                <c:pt idx="0">
                  <c:v>0.61638023220341642</c:v>
                </c:pt>
                <c:pt idx="1">
                  <c:v>0.67892160756155051</c:v>
                </c:pt>
                <c:pt idx="2">
                  <c:v>0.63785311180018378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2341120"/>
        <c:axId val="772346560"/>
      </c:barChart>
      <c:catAx>
        <c:axId val="772341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2346560"/>
        <c:crosses val="autoZero"/>
        <c:auto val="1"/>
        <c:lblAlgn val="ctr"/>
        <c:lblOffset val="100"/>
        <c:noMultiLvlLbl val="0"/>
      </c:catAx>
      <c:valAx>
        <c:axId val="772346560"/>
        <c:scaling>
          <c:orientation val="minMax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2341120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GCG </a:t>
            </a:r>
            <a:r>
              <a:rPr lang="en-US" sz="11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(mg/g)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197222222222223"/>
          <c:y val="0.13770851560221642"/>
          <c:w val="0.6980277777777778"/>
          <c:h val="0.7052544473607466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errBars>
            <c:errBarType val="both"/>
            <c:errValType val="cust"/>
            <c:noEndCap val="0"/>
            <c:plus>
              <c:numRef>
                <c:f>analysis!$AW$19:$AY$19</c:f>
                <c:numCache>
                  <c:formatCode>General</c:formatCode>
                  <c:ptCount val="3"/>
                  <c:pt idx="0">
                    <c:v>1.0939157249439779E-3</c:v>
                  </c:pt>
                  <c:pt idx="1">
                    <c:v>7.9960578067830575E-4</c:v>
                  </c:pt>
                  <c:pt idx="2">
                    <c:v>8.9747493838813477E-4</c:v>
                  </c:pt>
                </c:numCache>
              </c:numRef>
            </c:plus>
            <c:minus>
              <c:numRef>
                <c:f>analysis!$AW$19:$AY$19</c:f>
                <c:numCache>
                  <c:formatCode>General</c:formatCode>
                  <c:ptCount val="3"/>
                  <c:pt idx="0">
                    <c:v>1.0939157249439779E-3</c:v>
                  </c:pt>
                  <c:pt idx="1">
                    <c:v>7.9960578067830575E-4</c:v>
                  </c:pt>
                  <c:pt idx="2">
                    <c:v>8.9747493838813477E-4</c:v>
                  </c:pt>
                </c:numCache>
              </c:numRef>
            </c:minus>
            <c:spPr>
              <a:noFill/>
              <a:ln w="222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analysis!$AW$17:$AY$17</c:f>
              <c:strCache>
                <c:ptCount val="3"/>
                <c:pt idx="0">
                  <c:v>CK</c:v>
                </c:pt>
                <c:pt idx="1">
                  <c:v>BL</c:v>
                </c:pt>
                <c:pt idx="2">
                  <c:v>RL</c:v>
                </c:pt>
              </c:strCache>
            </c:strRef>
          </c:cat>
          <c:val>
            <c:numRef>
              <c:f>analysis!$AW$18:$AY$18</c:f>
              <c:numCache>
                <c:formatCode>General</c:formatCode>
                <c:ptCount val="3"/>
                <c:pt idx="0">
                  <c:v>2.6838035275031653E-2</c:v>
                </c:pt>
                <c:pt idx="1">
                  <c:v>2.9240248016934714E-2</c:v>
                </c:pt>
                <c:pt idx="2">
                  <c:v>2.5773963704614052E-2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2347104"/>
        <c:axId val="772337312"/>
      </c:barChart>
      <c:catAx>
        <c:axId val="77234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2337312"/>
        <c:crosses val="autoZero"/>
        <c:auto val="1"/>
        <c:lblAlgn val="ctr"/>
        <c:lblOffset val="100"/>
        <c:noMultiLvlLbl val="0"/>
      </c:catAx>
      <c:valAx>
        <c:axId val="772337312"/>
        <c:scaling>
          <c:orientation val="minMax"/>
          <c:max val="3.0000000000000006E-2"/>
          <c:min val="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2347104"/>
        <c:crosses val="autoZero"/>
        <c:crossBetween val="between"/>
        <c:majorUnit val="1.0000000000000002E-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00" b="1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TGGP </a:t>
            </a:r>
            <a:r>
              <a:rPr lang="en-US" sz="1000"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(mg/g)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197222222222223"/>
          <c:y val="0.13770851560221642"/>
          <c:w val="0.6980277777777778"/>
          <c:h val="0.7052544473607466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2060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</c:dPt>
          <c:errBars>
            <c:errBarType val="both"/>
            <c:errValType val="cust"/>
            <c:noEndCap val="0"/>
            <c:plus>
              <c:numRef>
                <c:f>analysis!$BC$19:$BE$19</c:f>
                <c:numCache>
                  <c:formatCode>General</c:formatCode>
                  <c:ptCount val="3"/>
                  <c:pt idx="0">
                    <c:v>8.8365441259825386E-3</c:v>
                  </c:pt>
                  <c:pt idx="1">
                    <c:v>2.5091895158341291E-2</c:v>
                  </c:pt>
                  <c:pt idx="2">
                    <c:v>1.6927207724961778E-2</c:v>
                  </c:pt>
                </c:numCache>
              </c:numRef>
            </c:plus>
            <c:minus>
              <c:numRef>
                <c:f>analysis!$BC$19:$BE$19</c:f>
                <c:numCache>
                  <c:formatCode>General</c:formatCode>
                  <c:ptCount val="3"/>
                  <c:pt idx="0">
                    <c:v>8.8365441259825386E-3</c:v>
                  </c:pt>
                  <c:pt idx="1">
                    <c:v>2.5091895158341291E-2</c:v>
                  </c:pt>
                  <c:pt idx="2">
                    <c:v>1.6927207724961778E-2</c:v>
                  </c:pt>
                </c:numCache>
              </c:numRef>
            </c:minus>
            <c:spPr>
              <a:noFill/>
              <a:ln w="22225" cap="flat" cmpd="sng" algn="ctr">
                <a:solidFill>
                  <a:schemeClr val="tx1"/>
                </a:solidFill>
                <a:round/>
              </a:ln>
              <a:effectLst/>
            </c:spPr>
          </c:errBars>
          <c:cat>
            <c:strRef>
              <c:f>analysis!$BC$17:$BE$17</c:f>
              <c:strCache>
                <c:ptCount val="3"/>
                <c:pt idx="0">
                  <c:v>CK</c:v>
                </c:pt>
                <c:pt idx="1">
                  <c:v>BL</c:v>
                </c:pt>
                <c:pt idx="2">
                  <c:v>RL</c:v>
                </c:pt>
              </c:strCache>
            </c:strRef>
          </c:cat>
          <c:val>
            <c:numRef>
              <c:f>analysis!$BC$18:$BE$18</c:f>
              <c:numCache>
                <c:formatCode>General</c:formatCode>
                <c:ptCount val="3"/>
                <c:pt idx="0">
                  <c:v>0.68399510819637432</c:v>
                </c:pt>
                <c:pt idx="1">
                  <c:v>0.70505334732851044</c:v>
                </c:pt>
                <c:pt idx="2">
                  <c:v>0.67153654858284151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2349280"/>
        <c:axId val="772337856"/>
      </c:barChart>
      <c:catAx>
        <c:axId val="772349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254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2337856"/>
        <c:crosses val="autoZero"/>
        <c:auto val="1"/>
        <c:lblAlgn val="ctr"/>
        <c:lblOffset val="100"/>
        <c:noMultiLvlLbl val="0"/>
      </c:catAx>
      <c:valAx>
        <c:axId val="772337856"/>
        <c:scaling>
          <c:orientation val="minMax"/>
          <c:max val="0.8"/>
          <c:min val="0"/>
        </c:scaling>
        <c:delete val="0"/>
        <c:axPos val="l"/>
        <c:numFmt formatCode="General" sourceLinked="1"/>
        <c:majorTickMark val="in"/>
        <c:minorTickMark val="none"/>
        <c:tickLblPos val="nextTo"/>
        <c:spPr>
          <a:noFill/>
          <a:ln w="254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7234928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2021-10-08T01:48:00Z</dcterms:created>
  <dcterms:modified xsi:type="dcterms:W3CDTF">2021-11-11T03:20:00Z</dcterms:modified>
</cp:coreProperties>
</file>