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3B3B" w14:textId="77777777" w:rsidR="00CE2CAB" w:rsidRDefault="00CE2CAB" w:rsidP="00CE2CAB">
      <w:pPr>
        <w:pStyle w:val="Heading1"/>
      </w:pPr>
      <w:r>
        <w:t>Additional files</w:t>
      </w:r>
    </w:p>
    <w:p w14:paraId="08A2F006" w14:textId="77777777" w:rsidR="00CE2CAB" w:rsidRDefault="00CE2CAB" w:rsidP="00CE2CAB">
      <w:pPr>
        <w:spacing w:after="80"/>
      </w:pPr>
      <w:r>
        <w:t>Additional file 1 (.xlsx): Reproducibility dataset and supporting results. Contains the synthetic vignette/reference framework, structured consensus analytic data, independent evaluator ratings, structured repeated-query analytic data, supporting analyses, stratified-bootstrap sensitivity results, and a variable glossary. Full narrative responses are not included.</w:t>
      </w:r>
    </w:p>
    <w:p w14:paraId="6DDEC263" w14:textId="77777777" w:rsidR="00CE2CAB" w:rsidRDefault="00CE2CAB" w:rsidP="00CE2CAB">
      <w:pPr>
        <w:spacing w:after="80"/>
      </w:pPr>
      <w:r>
        <w:t>Additional file 2 (.docx): Completed CHART reporting checklist.</w:t>
      </w:r>
    </w:p>
    <w:p w14:paraId="15D43EA1" w14:textId="77777777" w:rsidR="00CE2CAB" w:rsidRDefault="00CE2CAB" w:rsidP="00CE2CAB">
      <w:pPr>
        <w:spacing w:after="80"/>
      </w:pPr>
      <w:r>
        <w:t>Additional file 3 (.pdf): Supplementary Figure S1. Descriptive primary-composite success and safety-critical error rates by cancer domain and decision category.</w:t>
      </w:r>
    </w:p>
    <w:p w14:paraId="53663418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AB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995B91"/>
    <w:rsid w:val="00B10170"/>
    <w:rsid w:val="00B260B7"/>
    <w:rsid w:val="00B85331"/>
    <w:rsid w:val="00C94D66"/>
    <w:rsid w:val="00CE2CAB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3782A"/>
  <w15:chartTrackingRefBased/>
  <w15:docId w15:val="{8FA95458-A46D-4286-84DF-99B08266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CAB"/>
    <w:pPr>
      <w:spacing w:after="0" w:line="480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2C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C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CA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CA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CA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CA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CA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CA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C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C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C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C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C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C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C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2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CA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2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CA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2C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CA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2C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C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C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2026-09-10T12:58:00Z</dcterms:created>
  <dcterms:modified xsi:type="dcterms:W3CDTF">2026-09-10T12:58:00Z</dcterms:modified>
</cp:coreProperties>
</file>