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40"/>
        <w:jc w:val="center"/>
      </w:pPr>
      <w:r>
        <w:rPr>
          <w:rFonts w:ascii="Times New Roman" w:hAnsi="Times New Roman"/>
          <w:b/>
          <w:sz w:val="30"/>
        </w:rPr>
        <w:t>Serum Calcium Dynamics and Respiratory Support Trajectories in Critically Ill Children with Lower Respiratory Tract Infections</w:t>
      </w:r>
    </w:p>
    <w:p>
      <w:pPr>
        <w:spacing w:after="160"/>
        <w:jc w:val="center"/>
      </w:pPr>
      <w:r>
        <w:rPr>
          <w:rFonts w:ascii="Times New Roman" w:hAnsi="Times New Roman"/>
          <w:b/>
          <w:sz w:val="24"/>
        </w:rPr>
        <w:t>Supplementary Material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806440" cy="40049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V5_S1_Cohort_outcomes_transitions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0049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20" w:line="252" w:lineRule="auto"/>
      </w:pPr>
      <w:r>
        <w:rPr>
          <w:rFonts w:ascii="Times New Roman" w:hAnsi="Times New Roman"/>
          <w:b/>
          <w:sz w:val="19"/>
        </w:rPr>
        <w:t xml:space="preserve">Figure S1. Cohort, outcome availability, and respiratory-support transitions. </w:t>
      </w:r>
      <w:r>
        <w:rPr>
          <w:rFonts w:ascii="Times New Roman" w:hAnsi="Times New Roman"/>
          <w:sz w:val="19"/>
        </w:rPr>
        <w:t>(A) Audited cohort construction. (B) Source-recorded within-day step-up and step-down event-days, lag-eligible events, prevalent IMV days (including ECMO days with IMV recorded), and eligible incident IMV events. (C) Daily composition of the maximum recorded respiratory-support level. (D) Separate previous-day-to-current-day maximum-support transition matrix. Across 1,649 consecutive day pairs, the daily maximum rose on 37 days and fell on 188 days. These derived counts are distinct from the 46 source-recorded step-up and 325 source-recorded step-down event-days used in the primary models. The 46 total upward ladder steps in panel D do not represent 46 upward event-days. Only seven eligible incident IMV events followed a non-IMV day, so no adjusted incident-onset model was fitted.</w:t>
      </w:r>
    </w:p>
    <w:p>
      <w:r>
        <w:br w:type="page"/>
      </w:r>
    </w:p>
    <w:p>
      <w:pPr>
        <w:keepNext/>
        <w:spacing w:before="80" w:after="80"/>
      </w:pPr>
      <w:r>
        <w:rPr>
          <w:rFonts w:ascii="Times New Roman" w:hAnsi="Times New Roman"/>
          <w:b/>
          <w:sz w:val="21"/>
        </w:rPr>
        <w:t>Table S1</w:t>
      </w:r>
      <w:r>
        <w:rPr>
          <w:rFonts w:ascii="Times New Roman" w:hAnsi="Times New Roman"/>
          <w:b/>
          <w:sz w:val="21"/>
        </w:rPr>
        <w:t>. Complete primary GEE results, exposure standardization, and software verification</w:t>
      </w:r>
    </w:p>
    <w:tbl>
      <w:tblPr>
        <w:tblStyle w:val="TableGrid"/>
        <w:tblW w:type="dxa" w:w="8712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123"/>
        <w:gridCol w:w="1123"/>
        <w:gridCol w:w="1066"/>
        <w:gridCol w:w="1325"/>
        <w:gridCol w:w="2520"/>
        <w:gridCol w:w="778"/>
        <w:gridCol w:w="778"/>
      </w:tblGrid>
      <w:tr>
        <w:trPr>
          <w:tblHeader w:val="true"/>
          <w:cantSplit/>
        </w:trPr>
        <w:tc>
          <w:tcPr>
            <w:tcW w:type="dxa" w:w="1123"/>
            <w:shd w:fill="D9E2E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Outcome</w:t>
            </w:r>
          </w:p>
        </w:tc>
        <w:tc>
          <w:tcPr>
            <w:tcW w:type="dxa" w:w="1123"/>
            <w:shd w:fill="D9E2E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Exposure</w:t>
            </w:r>
          </w:p>
        </w:tc>
        <w:tc>
          <w:tcPr>
            <w:tcW w:type="dxa" w:w="1066"/>
            <w:shd w:fill="D9E2E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N / events</w:t>
            </w:r>
          </w:p>
        </w:tc>
        <w:tc>
          <w:tcPr>
            <w:tcW w:type="dxa" w:w="1325"/>
            <w:shd w:fill="D9E2E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Mean (SD)</w:t>
            </w:r>
          </w:p>
        </w:tc>
        <w:tc>
          <w:tcPr>
            <w:tcW w:type="dxa" w:w="2520"/>
            <w:shd w:fill="D9E2E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Adjusted OR (95% CI)</w:t>
            </w:r>
          </w:p>
        </w:tc>
        <w:tc>
          <w:tcPr>
            <w:tcW w:type="dxa" w:w="778"/>
            <w:shd w:fill="D9E2E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p</w:t>
            </w:r>
          </w:p>
        </w:tc>
        <w:tc>
          <w:tcPr>
            <w:tcW w:type="dxa" w:w="778"/>
            <w:shd w:fill="D9E2E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q</w:t>
            </w:r>
          </w:p>
        </w:tc>
      </w:tr>
      <w:tr>
        <w:trPr>
          <w:cantSplit/>
        </w:trPr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Step-up</w:t>
            </w:r>
          </w:p>
        </w:tc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Sodium</w:t>
            </w:r>
          </w:p>
        </w:tc>
        <w:tc>
          <w:tcPr>
            <w:tcW w:type="dxa" w:w="106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1,649 / 46</w:t>
            </w:r>
          </w:p>
        </w:tc>
        <w:tc>
          <w:tcPr>
            <w:tcW w:type="dxa" w:w="13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137.835 (2.962)</w:t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0.964 (0.765–1.214)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0.753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0.857</w:t>
            </w:r>
          </w:p>
        </w:tc>
      </w:tr>
      <w:tr>
        <w:trPr>
          <w:cantSplit/>
        </w:trPr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Step-up</w:t>
            </w:r>
          </w:p>
        </w:tc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Potassium</w:t>
            </w:r>
          </w:p>
        </w:tc>
        <w:tc>
          <w:tcPr>
            <w:tcW w:type="dxa" w:w="106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1,649 / 46</w:t>
            </w:r>
          </w:p>
        </w:tc>
        <w:tc>
          <w:tcPr>
            <w:tcW w:type="dxa" w:w="13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4.432 (0.529)</w:t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1.074 (0.796–1.450)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0.640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0.857</w:t>
            </w:r>
          </w:p>
        </w:tc>
      </w:tr>
      <w:tr>
        <w:trPr>
          <w:cantSplit/>
        </w:trPr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Step-up</w:t>
            </w:r>
          </w:p>
        </w:tc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Chloride</w:t>
            </w:r>
          </w:p>
        </w:tc>
        <w:tc>
          <w:tcPr>
            <w:tcW w:type="dxa" w:w="106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1,642 / 46</w:t>
            </w:r>
          </w:p>
        </w:tc>
        <w:tc>
          <w:tcPr>
            <w:tcW w:type="dxa" w:w="13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101.684 (3.889)</w:t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0.968 (0.753–1.244)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0.801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0.857</w:t>
            </w:r>
          </w:p>
        </w:tc>
      </w:tr>
      <w:tr>
        <w:trPr>
          <w:cantSplit/>
        </w:trPr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Step-up</w:t>
            </w:r>
          </w:p>
        </w:tc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Calcium</w:t>
            </w:r>
          </w:p>
        </w:tc>
        <w:tc>
          <w:tcPr>
            <w:tcW w:type="dxa" w:w="106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1,643 / 46</w:t>
            </w:r>
          </w:p>
        </w:tc>
        <w:tc>
          <w:tcPr>
            <w:tcW w:type="dxa" w:w="13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9.301 (0.687)</w:t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1.313 (0.919–1.877)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0.135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0.809</w:t>
            </w:r>
          </w:p>
        </w:tc>
      </w:tr>
      <w:tr>
        <w:trPr>
          <w:cantSplit/>
        </w:trPr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Step-up</w:t>
            </w:r>
          </w:p>
        </w:tc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Magnesium</w:t>
            </w:r>
          </w:p>
        </w:tc>
        <w:tc>
          <w:tcPr>
            <w:tcW w:type="dxa" w:w="106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1,649 / 46</w:t>
            </w:r>
          </w:p>
        </w:tc>
        <w:tc>
          <w:tcPr>
            <w:tcW w:type="dxa" w:w="13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2.081 (0.309)</w:t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1.091 (0.830–1.434)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0.534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0.857</w:t>
            </w:r>
          </w:p>
        </w:tc>
      </w:tr>
      <w:tr>
        <w:trPr>
          <w:cantSplit/>
        </w:trPr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Step-up</w:t>
            </w:r>
          </w:p>
        </w:tc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Phosphorus</w:t>
            </w:r>
          </w:p>
        </w:tc>
        <w:tc>
          <w:tcPr>
            <w:tcW w:type="dxa" w:w="106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1,648 / 46</w:t>
            </w:r>
          </w:p>
        </w:tc>
        <w:tc>
          <w:tcPr>
            <w:tcW w:type="dxa" w:w="13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4.400 (0.920)</w:t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1.023 (0.800–1.308)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0.857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0.857</w:t>
            </w:r>
          </w:p>
        </w:tc>
      </w:tr>
      <w:tr>
        <w:trPr>
          <w:cantSplit/>
        </w:trPr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Step-down</w:t>
            </w:r>
          </w:p>
        </w:tc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Sodium</w:t>
            </w:r>
          </w:p>
        </w:tc>
        <w:tc>
          <w:tcPr>
            <w:tcW w:type="dxa" w:w="106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1,649 / 325</w:t>
            </w:r>
          </w:p>
        </w:tc>
        <w:tc>
          <w:tcPr>
            <w:tcW w:type="dxa" w:w="13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137.835 (2.962)</w:t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1.087 (0.966–1.223)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0.168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0.349</w:t>
            </w:r>
          </w:p>
        </w:tc>
      </w:tr>
      <w:tr>
        <w:trPr>
          <w:cantSplit/>
        </w:trPr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Step-down</w:t>
            </w:r>
          </w:p>
        </w:tc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Potassium</w:t>
            </w:r>
          </w:p>
        </w:tc>
        <w:tc>
          <w:tcPr>
            <w:tcW w:type="dxa" w:w="106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1,649 / 325</w:t>
            </w:r>
          </w:p>
        </w:tc>
        <w:tc>
          <w:tcPr>
            <w:tcW w:type="dxa" w:w="13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4.432 (0.529)</w:t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1.018 (0.893–1.161)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0.787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0.787</w:t>
            </w:r>
          </w:p>
        </w:tc>
      </w:tr>
      <w:tr>
        <w:trPr>
          <w:cantSplit/>
        </w:trPr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Step-down</w:t>
            </w:r>
          </w:p>
        </w:tc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Chloride</w:t>
            </w:r>
          </w:p>
        </w:tc>
        <w:tc>
          <w:tcPr>
            <w:tcW w:type="dxa" w:w="106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1,642 / 323</w:t>
            </w:r>
          </w:p>
        </w:tc>
        <w:tc>
          <w:tcPr>
            <w:tcW w:type="dxa" w:w="13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101.684 (3.889)</w:t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0.969 (0.863–1.087)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0.592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0.710</w:t>
            </w:r>
          </w:p>
        </w:tc>
      </w:tr>
      <w:tr>
        <w:trPr>
          <w:cantSplit/>
        </w:trPr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Step-down</w:t>
            </w:r>
          </w:p>
        </w:tc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Calcium</w:t>
            </w:r>
          </w:p>
        </w:tc>
        <w:tc>
          <w:tcPr>
            <w:tcW w:type="dxa" w:w="106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1,643 / 324</w:t>
            </w:r>
          </w:p>
        </w:tc>
        <w:tc>
          <w:tcPr>
            <w:tcW w:type="dxa" w:w="13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9.301 (0.687)</w:t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1.274 (1.126–1.442)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0.00012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0.00071</w:t>
            </w:r>
          </w:p>
        </w:tc>
      </w:tr>
      <w:tr>
        <w:trPr>
          <w:cantSplit/>
        </w:trPr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Step-down</w:t>
            </w:r>
          </w:p>
        </w:tc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Magnesium</w:t>
            </w:r>
          </w:p>
        </w:tc>
        <w:tc>
          <w:tcPr>
            <w:tcW w:type="dxa" w:w="106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1,649 / 325</w:t>
            </w:r>
          </w:p>
        </w:tc>
        <w:tc>
          <w:tcPr>
            <w:tcW w:type="dxa" w:w="13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2.081 (0.309)</w:t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1.097 (0.960–1.253)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0.175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0.349</w:t>
            </w:r>
          </w:p>
        </w:tc>
      </w:tr>
      <w:tr>
        <w:trPr>
          <w:cantSplit/>
        </w:trPr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Step-down</w:t>
            </w:r>
          </w:p>
        </w:tc>
        <w:tc>
          <w:tcPr>
            <w:tcW w:type="dxa" w:w="112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Phosphorus</w:t>
            </w:r>
          </w:p>
        </w:tc>
        <w:tc>
          <w:tcPr>
            <w:tcW w:type="dxa" w:w="106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1,648 / 324</w:t>
            </w:r>
          </w:p>
        </w:tc>
        <w:tc>
          <w:tcPr>
            <w:tcW w:type="dxa" w:w="13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4.400 (0.920)</w:t>
            </w:r>
          </w:p>
        </w:tc>
        <w:tc>
          <w:tcPr>
            <w:tcW w:type="dxa" w:w="252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1.054 (0.926–1.199)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0.427</w:t>
            </w:r>
          </w:p>
        </w:tc>
        <w:tc>
          <w:tcPr>
            <w:tcW w:type="dxa" w:w="77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0.640</w:t>
            </w:r>
          </w:p>
        </w:tc>
      </w:tr>
    </w:tbl>
    <w:p>
      <w:pPr>
        <w:spacing w:before="60" w:after="100" w:line="240" w:lineRule="auto"/>
      </w:pPr>
      <w:r>
        <w:rPr>
          <w:rFonts w:ascii="Times New Roman" w:hAnsi="Times New Roman"/>
          <w:i/>
          <w:sz w:val="16"/>
        </w:rPr>
        <w:t>ORs are reported per empirical SD increase in the previous-day concentration. Models use an independence working correlation and adjust for standardized log PICU day, previous-day support level, age, sex, and admission PRISM, with patient-cluster sandwich standard errors. Step-up and step-down are source-recorded within-day binary indicators. N excludes each child's first observed day and varies by electrolyte.</w:t>
      </w:r>
    </w:p>
    <w:p>
      <w:pPr>
        <w:spacing w:before="60" w:after="100" w:line="240" w:lineRule="auto"/>
      </w:pPr>
      <w:r>
        <w:rPr>
          <w:rFonts w:ascii="Times New Roman" w:hAnsi="Times New Roman"/>
          <w:i/>
          <w:sz w:val="16"/>
        </w:rPr>
        <w:t>All 12 primary models were independently reproduced in R and Python. The maximum absolute beta difference was 7.22 × 10⁻¹⁶, and the maximum absolute robust SE difference was 4.30 × 10⁻¹⁶.</w:t>
      </w:r>
    </w:p>
    <w:p>
      <w:r>
        <w:br w:type="page"/>
      </w:r>
    </w:p>
    <w:p>
      <w:pPr>
        <w:keepNext/>
        <w:spacing w:before="80" w:after="80"/>
      </w:pPr>
      <w:r>
        <w:rPr>
          <w:rFonts w:ascii="Times New Roman" w:hAnsi="Times New Roman"/>
          <w:b/>
          <w:sz w:val="21"/>
        </w:rPr>
        <w:t>Table S2</w:t>
      </w:r>
      <w:r>
        <w:rPr>
          <w:rFonts w:ascii="Times New Roman" w:hAnsi="Times New Roman"/>
          <w:b/>
          <w:sz w:val="22"/>
          <w:vertAlign w:val="superscript"/>
        </w:rPr>
        <w:t>a</w:t>
      </w:r>
      <w:r>
        <w:rPr>
          <w:rFonts w:ascii="Times New Roman" w:hAnsi="Times New Roman"/>
          <w:b/>
          <w:sz w:val="21"/>
        </w:rPr>
        <w:t>. Consolidated extension, sensitivity, and exploratory analyses</w:t>
      </w:r>
    </w:p>
    <w:tbl>
      <w:tblPr>
        <w:tblStyle w:val="TableGrid"/>
        <w:tblW w:type="dxa" w:w="9504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555"/>
        <w:gridCol w:w="1930"/>
        <w:gridCol w:w="1368"/>
        <w:gridCol w:w="1267"/>
        <w:gridCol w:w="2088"/>
        <w:gridCol w:w="648"/>
        <w:gridCol w:w="648"/>
      </w:tblGrid>
      <w:tr>
        <w:trPr>
          <w:tblHeader w:val="true"/>
          <w:cantSplit/>
        </w:trPr>
        <w:tc>
          <w:tcPr>
            <w:tcW w:type="dxa" w:w="1555"/>
            <w:shd w:fill="D9E2E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Analysis family</w:t>
            </w:r>
          </w:p>
        </w:tc>
        <w:tc>
          <w:tcPr>
            <w:tcW w:type="dxa" w:w="1930"/>
            <w:shd w:fill="D9E2E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Outcome or contrast</w:t>
            </w:r>
          </w:p>
        </w:tc>
        <w:tc>
          <w:tcPr>
            <w:tcW w:type="dxa" w:w="1368"/>
            <w:shd w:fill="D9E2E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Exposure</w:t>
            </w:r>
          </w:p>
        </w:tc>
        <w:tc>
          <w:tcPr>
            <w:tcW w:type="dxa" w:w="1267"/>
            <w:shd w:fill="D9E2E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Analysis size</w:t>
            </w:r>
          </w:p>
        </w:tc>
        <w:tc>
          <w:tcPr>
            <w:tcW w:type="dxa" w:w="2088"/>
            <w:shd w:fill="D9E2E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Estimate (95% CI)</w:t>
            </w:r>
          </w:p>
        </w:tc>
        <w:tc>
          <w:tcPr>
            <w:tcW w:type="dxa" w:w="648"/>
            <w:shd w:fill="D9E2E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p</w:t>
            </w:r>
          </w:p>
        </w:tc>
        <w:tc>
          <w:tcPr>
            <w:tcW w:type="dxa" w:w="648"/>
            <w:shd w:fill="D9E2E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q</w:t>
            </w:r>
          </w:p>
        </w:tc>
      </w:tr>
      <w:tr>
        <w:tc>
          <w:tcPr>
            <w:tcW w:type="dxa" w:w="648"/>
            <w:gridSpan w:val="7"/>
            <w:shd w:fill="EAF0F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5"/>
              </w:rPr>
              <w:t>A. Calcium-focused extensions and sensitivity analyses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Primary reference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Next-day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Previous-day calcium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1,643 days / 324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1.27 (1.13–1.44)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0.00012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0.00071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Event persistence</w:t>
            </w:r>
            <w:r>
              <w:rPr>
                <w:rFonts w:ascii="Times New Roman" w:hAnsi="Times New Roman"/>
                <w:b/>
                <w:sz w:val="16"/>
                <w:vertAlign w:val="superscript"/>
              </w:rPr>
              <w:t>b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Sustained de-escalation (no re-escalation on available day +1/+2)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Previous-day calcium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1,494 days / 175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1.34 (1.14–1.58)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0.00035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Event persistence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Failed de-escalation (re-escalation on available day +1/+2)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Previous-day calcium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1,330 days / 11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1.40 (0.84–2.34)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0.202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Within/between decomposition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Next-day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Within-patient day-to-day calcium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1,643 days / 324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1.27 (1.12–1.44)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0.00025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Within/between decomposition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Next-day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Between-patient average calcium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1,643 days / 324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1.12 (1.00–1.25)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0.057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Additional adjustment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Next-day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Calcium with full acid–base panel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1,643 days / 324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1.26 (1.11–1.43)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0.00037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Additional adjustment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Next-day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Calcium with electrolyte replacement, furosemide, and steroid use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1,643 days / 324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1.21 (1.07–1.37)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0.003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Source sensitivity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Next-day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Calcium, duplicated trajectories excluded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328 children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1.25 (1.10–1.41)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0.00040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c>
          <w:tcPr>
            <w:tcW w:type="dxa" w:w="648"/>
            <w:gridSpan w:val="7"/>
            <w:shd w:fill="EAF0F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5"/>
              </w:rPr>
              <w:t>B</w:t>
            </w:r>
            <w:r>
              <w:rPr>
                <w:rFonts w:ascii="Times New Roman" w:hAnsi="Times New Roman"/>
                <w:b/>
                <w:sz w:val="17"/>
                <w:vertAlign w:val="superscript"/>
              </w:rPr>
              <w:t>c</w:t>
            </w:r>
            <w:r>
              <w:rPr>
                <w:rFonts w:ascii="Times New Roman" w:hAnsi="Times New Roman"/>
                <w:b/>
                <w:sz w:val="15"/>
              </w:rPr>
              <w:t>. Day-to-day electrolyte change and source-recorded transitions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Change-score GEE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Step-up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Sodium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1,649 days / 46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1.12 (0.86–1.47)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0.397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0.757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Change-score GEE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Step-up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Potassium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1,649 days / 46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1.13 (0.85–1.49)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0.403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0.757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Change-score GEE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Step-up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Chloride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1,636 days / 46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0.92 (0.74–1.16)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0.505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0.757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Change-score GEE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Step-up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Calcium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1,637 days / 46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0.94 (0.70–1.26)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0.673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0.808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Change-score GEE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Step-up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Magnesium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1,649 days / 46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1.13 (0.86–1.48)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0.383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0.757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Change-score GEE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Step-up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Phosphorus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1,647 days / 46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1.03 (0.78–1.35)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0.850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0.850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Change-score GEE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Sodium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1,649 days / 325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0.90 (0.79–1.02)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0.111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0.668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Change-score GEE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Potassium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1,649 days / 325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1.00 (0.89–1.13)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0.964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0.964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Change-score GEE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Chloride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1,636 days / 323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1.06 (0.93–1.21)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0.383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0.765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Change-score GEE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Calcium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1,637 days / 323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0.99 (0.88–1.12)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0.934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0.964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Change-score GEE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Magnesium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1,649 days / 325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0.99 (0.87–1.13)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0.937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0.964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Change-score GEE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Phosphorus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1,647 days / 324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1.07 (0.94–1.22)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0.286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0.765</w:t>
            </w:r>
          </w:p>
        </w:tc>
      </w:tr>
      <w:tr>
        <w:tc>
          <w:tcPr>
            <w:tcW w:type="dxa" w:w="648"/>
            <w:gridSpan w:val="7"/>
            <w:shd w:fill="EAF0F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5"/>
              </w:rPr>
              <w:t>C. Time to first de-escalation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Discrete-time survival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First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Sodium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1,199 at-risk days / 257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HR 1.04 (0.92–1.19)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0.512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0.689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Discrete-time survival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First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Potassium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1,199 at-risk days / 257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HR 0.99 (0.87–1.12)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0.837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0.837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Discrete-time survival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First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Chloride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1,194 at-risk days / 255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HR 0.93 (0.81–1.06)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0.260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0.596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Discrete-time survival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First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Calcium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1,194 at-risk days / 256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HR 1.19 (1.05–1.34)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0.006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0.034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Discrete-time survival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First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Magnesium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1,199 at-risk days / 257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HR 1.08 (0.94–1.23)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0.298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0.596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Discrete-time survival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First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Phosphorus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1,198 at-risk days / 256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HR 1.04 (0.91–1.19)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0.574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0.689</w:t>
            </w:r>
          </w:p>
        </w:tc>
      </w:tr>
      <w:tr>
        <w:tc>
          <w:tcPr>
            <w:tcW w:type="dxa" w:w="648"/>
            <w:gridSpan w:val="7"/>
            <w:shd w:fill="EAF0F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5"/>
              </w:rPr>
              <w:t>D. Calcium dose-response and temporal specificity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Calcium quartiles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Next-day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Q2 vs Q1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1,643 days / 324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1.66 (1.15–2.39)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0.006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Calcium quartiles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Next-day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Q3 vs Q1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1,643 days / 324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1.60 (1.12–2.28)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0.010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Calcium quartiles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Next-day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Q4 vs Q1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1,643 days / 324 events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1.72 (1.20–2.46)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0.003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Temporal specificity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Next-day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Previous day (lag-1)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1,643 days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1.27 (1.13–1.44)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0.00012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Temporal specificity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Next-day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Two days before (lag-2)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1,301 days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1.10 (0.96–1.26)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0.177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Temporal specificity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Next-day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Three days before (lag-3)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1,016 days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1.14 (0.98–1.33)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0.089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Temporal specificity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Next-day step-down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Next day (reverse-time control)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1,299 days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OR 1.26 (1.08–1.47)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0.003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c>
          <w:tcPr>
            <w:tcW w:type="dxa" w:w="648"/>
            <w:gridSpan w:val="7"/>
            <w:shd w:fill="EAF0F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5"/>
              </w:rPr>
              <w:t>E</w:t>
            </w:r>
            <w:r>
              <w:rPr>
                <w:rFonts w:ascii="Times New Roman" w:hAnsi="Times New Roman"/>
                <w:b/>
                <w:sz w:val="17"/>
                <w:vertAlign w:val="superscript"/>
              </w:rPr>
              <w:t>d</w:t>
            </w:r>
            <w:r>
              <w:rPr>
                <w:rFonts w:ascii="Times New Roman" w:hAnsi="Times New Roman"/>
                <w:b/>
                <w:sz w:val="15"/>
              </w:rPr>
              <w:t>. Ordinal maximum-support transition model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Proportional odds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Improvement on support ladder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Sodium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1,649 days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POR 1.01 (0.87–1.16)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0.902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0.930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Proportional odds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Improvement on support ladder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Potassium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1,649 days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POR 0.92 (0.79–1.07)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0.281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0.842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Proportional odds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Improvement on support ladder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Chloride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1,642 days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POR 1.01 (0.87–1.17)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0.930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0.930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Proportional odds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Improvement on support ladder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Calcium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1,643 days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POR 1.13 (0.98–1.32)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0.099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0.595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Proportional odds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Improvement on support ladder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Magnesium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1,649 days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POR 1.05 (0.90–1.23)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0.560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0.930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Proportional odds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Improvement on support ladder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Phosphorus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1,648 days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POR 1.02 (0.88–1.19)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0.749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0.930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Patient-cluster bootstrap CI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Improvement on support ladder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Calcium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1,643 days / 300 resamples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POR 1.13 (0.97–1.30)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c>
          <w:tcPr>
            <w:tcW w:type="dxa" w:w="648"/>
            <w:gridSpan w:val="7"/>
            <w:shd w:fill="EAF0F3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5"/>
              </w:rPr>
              <w:t>F</w:t>
            </w:r>
            <w:r>
              <w:rPr>
                <w:rFonts w:ascii="Times New Roman" w:hAnsi="Times New Roman"/>
                <w:b/>
                <w:sz w:val="17"/>
                <w:vertAlign w:val="superscript"/>
              </w:rPr>
              <w:t>e</w:t>
            </w:r>
            <w:r>
              <w:rPr>
                <w:rFonts w:ascii="Times New Roman" w:hAnsi="Times New Roman"/>
                <w:b/>
                <w:sz w:val="15"/>
              </w:rPr>
              <w:t>. Patient-level cumulative electrolyte-disturbance burden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Negative-binomial burden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IMV-day rate (per observed day)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Hypomagnesemia burden (0% to 100%)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344 children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IRR 9.25 (2.11–40.47)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0.003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Negative-binomial burden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IMV-day rate (per observed day)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Hypophosphatemia burden (0% to 100%)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344 children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IRR 1.61 (0.06–41.10)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0.774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Negative-binomial burden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Observed PICU days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Hypomagnesemia burden (0% to 100%)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344 children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IRR 3.19 (1.06–9.62)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0.039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  <w:tr>
        <w:trPr>
          <w:cantSplit/>
        </w:trPr>
        <w:tc>
          <w:tcPr>
            <w:tcW w:type="dxa" w:w="155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Negative-binomial burden</w:t>
            </w:r>
          </w:p>
        </w:tc>
        <w:tc>
          <w:tcPr>
            <w:tcW w:type="dxa" w:w="193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4"/>
              </w:rPr>
              <w:t>Observed PICU days</w:t>
            </w:r>
          </w:p>
        </w:tc>
        <w:tc>
          <w:tcPr>
            <w:tcW w:type="dxa" w:w="13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Hypophosphatemia burden (0% to 100%)</w:t>
            </w:r>
          </w:p>
        </w:tc>
        <w:tc>
          <w:tcPr>
            <w:tcW w:type="dxa" w:w="1267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344 children</w:t>
            </w:r>
          </w:p>
        </w:tc>
        <w:tc>
          <w:tcPr>
            <w:tcW w:type="dxa" w:w="208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IRR 1.06 (0.48–2.34)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0.878</w:t>
            </w:r>
          </w:p>
        </w:tc>
        <w:tc>
          <w:tcPr>
            <w:tcW w:type="dxa" w:w="64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4"/>
              </w:rPr>
              <w:t>NA</w:t>
            </w:r>
          </w:p>
        </w:tc>
      </w:tr>
    </w:tbl>
    <w:p>
      <w:pPr>
        <w:spacing w:before="60" w:after="80" w:line="240" w:lineRule="auto"/>
      </w:pPr>
      <w:r>
        <w:rPr>
          <w:rFonts w:ascii="Times New Roman" w:hAnsi="Times New Roman"/>
          <w:b/>
          <w:sz w:val="15"/>
          <w:vertAlign w:val="superscript"/>
        </w:rPr>
        <w:t>a</w:t>
      </w:r>
      <w:r>
        <w:rPr>
          <w:rFonts w:ascii="Times New Roman" w:hAnsi="Times New Roman"/>
          <w:sz w:val="15"/>
        </w:rPr>
        <w:t xml:space="preserve"> </w:t>
      </w:r>
      <w:r>
        <w:rPr>
          <w:rFonts w:ascii="Times New Roman" w:hAnsi="Times New Roman"/>
          <w:i/>
          <w:sz w:val="15"/>
        </w:rPr>
        <w:t>Unless otherwise stated, estimates are reported per empirical SD increase and use the primary adjustment set with patient-cluster robust standard errors. Benjamini–Hochberg q values are calculated within the change-score, time-to-first-de-escalation, and ordinal families. NA indicates that an adjusted q value was not calculated, or that a p value was not estimated for the bootstrap row. Rows without family-specific q values are exploratory.</w:t>
      </w:r>
      <w:r>
        <w:br/>
      </w:r>
      <w:r>
        <w:rPr>
          <w:rFonts w:ascii="Times New Roman" w:hAnsi="Times New Roman"/>
          <w:b/>
          <w:sz w:val="15"/>
          <w:vertAlign w:val="superscript"/>
        </w:rPr>
        <w:t>b</w:t>
      </w:r>
      <w:r>
        <w:rPr>
          <w:rFonts w:ascii="Times New Roman" w:hAnsi="Times New Roman"/>
          <w:sz w:val="15"/>
        </w:rPr>
        <w:t xml:space="preserve"> </w:t>
      </w:r>
      <w:r>
        <w:rPr>
          <w:rFonts w:ascii="Times New Roman" w:hAnsi="Times New Roman"/>
          <w:i/>
          <w:sz w:val="15"/>
        </w:rPr>
        <w:t>Sustained step-down required at least one available record on day +1 or +2 and no recorded step-up or increase above the event-day maximum on either available day.</w:t>
      </w:r>
      <w:r>
        <w:br/>
      </w:r>
      <w:r>
        <w:rPr>
          <w:rFonts w:ascii="Times New Roman" w:hAnsi="Times New Roman"/>
          <w:b/>
          <w:sz w:val="15"/>
          <w:vertAlign w:val="superscript"/>
        </w:rPr>
        <w:t>c</w:t>
      </w:r>
      <w:r>
        <w:rPr>
          <w:rFonts w:ascii="Times New Roman" w:hAnsi="Times New Roman"/>
          <w:sz w:val="15"/>
        </w:rPr>
        <w:t xml:space="preserve"> </w:t>
      </w:r>
      <w:r>
        <w:rPr>
          <w:rFonts w:ascii="Times New Roman" w:hAnsi="Times New Roman"/>
          <w:i/>
          <w:sz w:val="15"/>
        </w:rPr>
        <w:t>Change scores are current-day minus previous-day values modeled against the current-day source-recorded transition indicator. These analyses are concurrent rather than prospective.</w:t>
      </w:r>
      <w:r>
        <w:br/>
      </w:r>
      <w:r>
        <w:rPr>
          <w:rFonts w:ascii="Times New Roman" w:hAnsi="Times New Roman"/>
          <w:b/>
          <w:sz w:val="15"/>
          <w:vertAlign w:val="superscript"/>
        </w:rPr>
        <w:t>d</w:t>
      </w:r>
      <w:r>
        <w:rPr>
          <w:rFonts w:ascii="Times New Roman" w:hAnsi="Times New Roman"/>
          <w:sz w:val="15"/>
        </w:rPr>
        <w:t xml:space="preserve"> </w:t>
      </w:r>
      <w:r>
        <w:rPr>
          <w:rFonts w:ascii="Times New Roman" w:hAnsi="Times New Roman"/>
          <w:i/>
          <w:sz w:val="15"/>
        </w:rPr>
        <w:t>Ordinal models use model-based standard errors. The bootstrap row reports the model POR with a percentile CI from 300 patient-cluster resamples.</w:t>
      </w:r>
      <w:r>
        <w:br/>
      </w:r>
      <w:r>
        <w:rPr>
          <w:rFonts w:ascii="Times New Roman" w:hAnsi="Times New Roman"/>
          <w:b/>
          <w:sz w:val="15"/>
          <w:vertAlign w:val="superscript"/>
        </w:rPr>
        <w:t>e</w:t>
      </w:r>
      <w:r>
        <w:rPr>
          <w:rFonts w:ascii="Times New Roman" w:hAnsi="Times New Roman"/>
          <w:sz w:val="15"/>
        </w:rPr>
        <w:t xml:space="preserve"> </w:t>
      </w:r>
      <w:r>
        <w:rPr>
          <w:rFonts w:ascii="Times New Roman" w:hAnsi="Times New Roman"/>
          <w:i/>
          <w:sz w:val="15"/>
        </w:rPr>
        <w:t>Patient-level negative-binomial models use alpha fixed at 1 and HC1 robust standard errors, adjusted for age, admission PRISM, sex, pneumonia, and bronchopneumonia. The IMV-day model uses log observed days as an offset. Burden IRRs compare 0% with 100% of observed days below cutoffs of 1.7 for magnesium and 3.0 for phosphorus.</w:t>
      </w:r>
    </w:p>
    <w:sectPr>
      <w:headerReference w:type="default" r:id="rId27"/>
      <w:footerReference w:type="default" r:id="rId28"/>
      <w:pgSz w:w="12240" w:h="15840"/>
      <w:pgMar w:top="1080" w:right="1080" w:bottom="1080" w:left="108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CFFEC" w14:textId="77777777">
      <w:pPr>
        <w:spacing w:after="0" w:line="240" w:lineRule="auto"/>
      </w:pPr>
      <w:r>
        <w:separator/>
      </w:r>
    </w:p>
  </w:endnote>
  <w:endnote w:type="continuationSeparator" w:id="0">
    <w:p w14:paraId="03E1107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93C89" w14:textId="77777777">
    <w:pPr>
      <w:pStyle w:val="Footer"/>
      <w:jc w:val="right"/>
    </w:pPr>
    <w:r>
      <w:rPr>
        <w:color w:val="555555"/>
        <w:sz w:val="18"/>
      </w:rPr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B1716" w14:textId="77777777">
      <w:pPr>
        <w:spacing w:after="0" w:line="240" w:lineRule="auto"/>
      </w:pPr>
      <w:r>
        <w:separator/>
      </w:r>
    </w:p>
  </w:footnote>
  <w:footnote w:type="continuationSeparator" w:id="0">
    <w:p w14:paraId="4DE5697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6621078">
    <w:abstractNumId w:val="8"/>
  </w:num>
  <w:num w:numId="2" w16cid:durableId="644697639">
    <w:abstractNumId w:val="6"/>
  </w:num>
  <w:num w:numId="3" w16cid:durableId="1053388739">
    <w:abstractNumId w:val="5"/>
  </w:num>
  <w:num w:numId="4" w16cid:durableId="828981218">
    <w:abstractNumId w:val="4"/>
  </w:num>
  <w:num w:numId="5" w16cid:durableId="1123110386">
    <w:abstractNumId w:val="7"/>
  </w:num>
  <w:num w:numId="6" w16cid:durableId="241180443">
    <w:abstractNumId w:val="3"/>
  </w:num>
  <w:num w:numId="7" w16cid:durableId="1308045278">
    <w:abstractNumId w:val="2"/>
  </w:num>
  <w:num w:numId="8" w16cid:durableId="2118864775">
    <w:abstractNumId w:val="1"/>
  </w:num>
  <w:num w:numId="9" w16cid:durableId="986863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4062061"/>
  <w14:defaultImageDpi w14:val="300"/>
  <w15:docId w15:val="{9412B3B0-F325-6E44-AB4A-7D0FFB77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/>
    </w:pPr>
    <w:rPr>
      <w:rFonts w:ascii="Times New Roman" w:eastAsia="Times New Roman" w:hAnsi="Times New Roman"/>
      <w:color w:val="141414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pPr>
      <w:keepNext/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unhideWhenUsed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unhideWhenUsed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ind w:left="1080"/>
      <w:contextualSpacing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8" Type="http://schemas.openxmlformats.org/officeDocument/2006/relationships/footer" Target="footer1.xml"/><Relationship Id="rId4" Type="http://schemas.openxmlformats.org/officeDocument/2006/relationships/settings" Target="settings.xml"/><Relationship Id="rId27" Type="http://schemas.openxmlformats.org/officeDocument/2006/relationships/header" Target="header1.xml"/><Relationship Id="rId30" Type="http://schemas.openxmlformats.org/officeDocument/2006/relationships/theme" Target="theme/theme1.xml"/><Relationship Id="rId3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2745</Words>
  <Characters>15647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