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F3F2" w14:textId="7831F041" w:rsidR="008813A2" w:rsidRDefault="007D76B5" w:rsidP="008813A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6074BFE" wp14:editId="27DAFA32">
            <wp:extent cx="5274310" cy="1290955"/>
            <wp:effectExtent l="0" t="0" r="2540" b="4445"/>
            <wp:docPr id="549562796" name="图片 1" descr="图表,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562796" name="图片 1" descr="图表,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811D" w14:textId="6F0FFF60" w:rsidR="008813A2" w:rsidRPr="00927246" w:rsidRDefault="008813A2" w:rsidP="008813A2">
      <w:pPr>
        <w:rPr>
          <w:rFonts w:ascii="Times New Roman" w:hAnsi="Times New Roman"/>
          <w:b/>
          <w:bCs/>
          <w:sz w:val="24"/>
          <w:szCs w:val="24"/>
        </w:rPr>
      </w:pPr>
      <w:r w:rsidRPr="00927246">
        <w:rPr>
          <w:rFonts w:ascii="Times New Roman" w:hAnsi="Times New Roman"/>
          <w:b/>
          <w:bCs/>
          <w:sz w:val="24"/>
          <w:szCs w:val="24"/>
        </w:rPr>
        <w:t>Figure S1. Replication profiles of recombinant VACV strains.</w:t>
      </w:r>
    </w:p>
    <w:p w14:paraId="379ED920" w14:textId="77777777" w:rsidR="008813A2" w:rsidRPr="00927246" w:rsidRDefault="008813A2" w:rsidP="00745D58">
      <w:pPr>
        <w:pStyle w:val="a9"/>
        <w:spacing w:line="480" w:lineRule="auto"/>
        <w:ind w:left="0"/>
        <w:jc w:val="both"/>
        <w:rPr>
          <w:rFonts w:ascii="Times New Roman" w:hAnsi="Times New Roman"/>
          <w:sz w:val="24"/>
        </w:rPr>
      </w:pPr>
      <w:r w:rsidRPr="00927246">
        <w:rPr>
          <w:rFonts w:ascii="Times New Roman" w:hAnsi="Times New Roman"/>
          <w:sz w:val="24"/>
        </w:rPr>
        <w:t>Growth curves for the indicated VACV strains in a normal human hepatocyte cell line (THLE-2), human hepatocarcinoma cell lines (Huh-7 and HepG2). The cells were infected with indicated VACV strains at MOI=0.005. At the specific time points, cultures were collected and assessed for viral titers using Vero cells. The data depict the mean values ± SD of three separate experiments conducted independently.</w:t>
      </w:r>
    </w:p>
    <w:p w14:paraId="63FC852D" w14:textId="1A2B6B86" w:rsidR="008813A2" w:rsidRPr="00927246" w:rsidRDefault="008813A2" w:rsidP="008813A2">
      <w:pPr>
        <w:spacing w:line="480" w:lineRule="auto"/>
        <w:jc w:val="center"/>
        <w:rPr>
          <w:rFonts w:hint="eastAsia"/>
          <w:sz w:val="24"/>
          <w:szCs w:val="24"/>
        </w:rPr>
      </w:pPr>
      <w:r>
        <w:rPr>
          <w:noProof/>
        </w:rPr>
        <w:drawing>
          <wp:inline distT="0" distB="0" distL="0" distR="0" wp14:anchorId="4E28363C" wp14:editId="012E943B">
            <wp:extent cx="3377682" cy="3929341"/>
            <wp:effectExtent l="0" t="0" r="0" b="0"/>
            <wp:docPr id="21356835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687" cy="3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0668" w14:textId="08FEFD01" w:rsidR="008813A2" w:rsidRPr="00927246" w:rsidRDefault="008813A2" w:rsidP="008813A2">
      <w:pPr>
        <w:pStyle w:val="a9"/>
        <w:spacing w:line="480" w:lineRule="auto"/>
        <w:ind w:left="0"/>
        <w:rPr>
          <w:rFonts w:ascii="Times New Roman" w:hAnsi="Times New Roman"/>
          <w:b/>
          <w:bCs/>
          <w:sz w:val="24"/>
        </w:rPr>
      </w:pPr>
      <w:r w:rsidRPr="00927246">
        <w:rPr>
          <w:rFonts w:ascii="Times New Roman" w:hAnsi="Times New Roman"/>
          <w:b/>
          <w:bCs/>
          <w:sz w:val="24"/>
        </w:rPr>
        <w:t xml:space="preserve">Figure S2. </w:t>
      </w:r>
      <w:r w:rsidR="00445A7A" w:rsidRPr="003A1358">
        <w:rPr>
          <w:rFonts w:ascii="Times New Roman" w:hAnsi="Times New Roman"/>
          <w:b/>
          <w:bCs/>
          <w:sz w:val="24"/>
        </w:rPr>
        <w:t>The combination of 5-FC and dTF-FCU1 induces significant damage</w:t>
      </w:r>
      <w:r w:rsidRPr="00927246">
        <w:rPr>
          <w:rFonts w:ascii="Times New Roman" w:hAnsi="Times New Roman"/>
          <w:b/>
          <w:bCs/>
          <w:sz w:val="24"/>
        </w:rPr>
        <w:t xml:space="preserve"> </w:t>
      </w:r>
      <w:bookmarkStart w:id="0" w:name="OLE_LINK33"/>
      <w:r w:rsidRPr="00927246">
        <w:rPr>
          <w:rFonts w:ascii="Times New Roman" w:hAnsi="Times New Roman"/>
          <w:b/>
          <w:bCs/>
          <w:sz w:val="24"/>
        </w:rPr>
        <w:t>to hepatocarcinoma cells.</w:t>
      </w:r>
      <w:bookmarkEnd w:id="0"/>
      <w:r w:rsidRPr="00927246">
        <w:rPr>
          <w:rFonts w:ascii="Times New Roman" w:hAnsi="Times New Roman"/>
          <w:b/>
          <w:bCs/>
          <w:sz w:val="24"/>
        </w:rPr>
        <w:t xml:space="preserve"> </w:t>
      </w:r>
    </w:p>
    <w:p w14:paraId="0898B5AD" w14:textId="2F8A889F" w:rsidR="008813A2" w:rsidRPr="008813A2" w:rsidRDefault="008813A2" w:rsidP="00745D58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(A) </w:t>
      </w:r>
      <w:r w:rsidRPr="008813A2">
        <w:rPr>
          <w:rFonts w:ascii="Times New Roman" w:hAnsi="Times New Roman"/>
          <w:sz w:val="24"/>
        </w:rPr>
        <w:t xml:space="preserve">Evaluation of cytotoxicity from the combination of oncolytic viruses and prodrug </w:t>
      </w:r>
      <w:r w:rsidRPr="008813A2">
        <w:rPr>
          <w:rFonts w:ascii="Times New Roman" w:hAnsi="Times New Roman"/>
          <w:sz w:val="24"/>
        </w:rPr>
        <w:lastRenderedPageBreak/>
        <w:t>activation. Cells were infected with indicated VACVs at MOI=0.001. 48 hours later, 5-FC at a final concentration of 1mM was added. Cell viability was evaluated 96 hours post-infection using the CCK8 assay. Results were normalized against control cells without virus or drug, set at 100% viability. Statistical analysis was performed with one-way ANOVA. Data are presented as mean ± SD of three replicates. *p &lt; 0.05; **p &lt; 0.01; ***p &lt; 0.001; ****p &lt; 0.0001; ns, not significant.</w:t>
      </w:r>
      <w:r w:rsidRPr="008813A2">
        <w:rPr>
          <w:rFonts w:ascii="Times New Roman" w:hAnsi="Times New Roman" w:hint="eastAsia"/>
          <w:sz w:val="24"/>
        </w:rPr>
        <w:t xml:space="preserve"> </w:t>
      </w:r>
      <w:r w:rsidRPr="008813A2">
        <w:rPr>
          <w:rFonts w:ascii="Times New Roman" w:hAnsi="Times New Roman"/>
          <w:sz w:val="24"/>
        </w:rPr>
        <w:t xml:space="preserve">(B-C) Assessment of double-stranded DNA damage (B) and the subsequent apoptosis (C). Cells were infected with dTF-FCU1 at MOI=0.001. After 48 hours, either 1mM 5-FC or an equal volume of 0.9% NaCl was added to the cell culture. </w:t>
      </w:r>
    </w:p>
    <w:p w14:paraId="4AF9AE62" w14:textId="5AB0FB40" w:rsidR="008813A2" w:rsidRPr="008813A2" w:rsidRDefault="008813A2" w:rsidP="006F38B1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54382796" wp14:editId="779FDD05">
            <wp:extent cx="3399839" cy="5365102"/>
            <wp:effectExtent l="0" t="0" r="0" b="7620"/>
            <wp:docPr id="5159803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198" cy="537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651CD" w14:textId="3FC59BA3" w:rsidR="006F38B1" w:rsidRDefault="008813A2" w:rsidP="006F38B1">
      <w:pPr>
        <w:pStyle w:val="a9"/>
        <w:spacing w:line="480" w:lineRule="auto"/>
        <w:ind w:left="0"/>
        <w:rPr>
          <w:rFonts w:ascii="Times New Roman" w:hAnsi="Times New Roman"/>
          <w:b/>
          <w:bCs/>
          <w:sz w:val="24"/>
        </w:rPr>
      </w:pPr>
      <w:r w:rsidRPr="00927246">
        <w:rPr>
          <w:rFonts w:ascii="Times New Roman" w:hAnsi="Times New Roman"/>
          <w:b/>
          <w:bCs/>
          <w:sz w:val="24"/>
        </w:rPr>
        <w:t>Figure S3</w:t>
      </w:r>
      <w:r w:rsidRPr="00927246">
        <w:rPr>
          <w:rFonts w:ascii="Times New Roman" w:hAnsi="Times New Roman" w:hint="eastAsia"/>
          <w:b/>
          <w:bCs/>
          <w:sz w:val="24"/>
        </w:rPr>
        <w:t>.</w:t>
      </w:r>
      <w:r w:rsidRPr="00927246">
        <w:rPr>
          <w:rFonts w:ascii="Times New Roman" w:hAnsi="Times New Roman"/>
          <w:b/>
          <w:bCs/>
          <w:sz w:val="24"/>
        </w:rPr>
        <w:t xml:space="preserve"> Detection of immunogenic cell death signals</w:t>
      </w:r>
      <w:r w:rsidR="004F764B">
        <w:rPr>
          <w:rFonts w:ascii="Times New Roman" w:hAnsi="Times New Roman" w:hint="eastAsia"/>
          <w:b/>
          <w:bCs/>
          <w:sz w:val="24"/>
        </w:rPr>
        <w:t xml:space="preserve"> with </w:t>
      </w:r>
      <w:r w:rsidR="004F764B" w:rsidRPr="00927246">
        <w:rPr>
          <w:rFonts w:ascii="Times New Roman" w:hAnsi="Times New Roman"/>
          <w:b/>
          <w:bCs/>
          <w:sz w:val="24"/>
        </w:rPr>
        <w:t>hepatocarcinoma cells.</w:t>
      </w:r>
    </w:p>
    <w:p w14:paraId="3CF2789E" w14:textId="72321888" w:rsidR="008813A2" w:rsidRPr="006F38B1" w:rsidRDefault="006F38B1" w:rsidP="00745D58">
      <w:pPr>
        <w:pStyle w:val="a9"/>
        <w:spacing w:line="480" w:lineRule="auto"/>
        <w:ind w:left="0"/>
        <w:jc w:val="both"/>
        <w:rPr>
          <w:rFonts w:ascii="Times New Roman" w:hAnsi="Times New Roman"/>
          <w:b/>
          <w:bCs/>
          <w:sz w:val="24"/>
        </w:rPr>
      </w:pPr>
      <w:r w:rsidRPr="006F38B1">
        <w:rPr>
          <w:rFonts w:ascii="Times New Roman" w:hAnsi="Times New Roman" w:hint="eastAsia"/>
          <w:sz w:val="24"/>
        </w:rPr>
        <w:t>(A)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 w:rsidR="008813A2" w:rsidRPr="00927246">
        <w:rPr>
          <w:rFonts w:ascii="Times New Roman" w:hAnsi="Times New Roman"/>
          <w:sz w:val="24"/>
        </w:rPr>
        <w:t xml:space="preserve">The proportion of cells positive for surface calreticulin protein (CRT). Cells were infected with dTF-FCU1 at MOI=0.01. 2 hours post- infection, 5-FC (1mM) or 0.9% NaCl was added. 48 hours post-infection, cells were collected for Flow cytometry. </w:t>
      </w:r>
      <w:r w:rsidR="007D76B5" w:rsidRPr="00745D58">
        <w:rPr>
          <w:rFonts w:ascii="Times New Roman" w:hAnsi="Times New Roman"/>
          <w:color w:val="000000" w:themeColor="text1"/>
          <w:sz w:val="24"/>
        </w:rPr>
        <w:t xml:space="preserve">Statistical analysis was performed with one-way ANOVA. </w:t>
      </w:r>
      <w:r w:rsidR="008813A2" w:rsidRPr="00927246">
        <w:rPr>
          <w:rFonts w:ascii="Times New Roman" w:hAnsi="Times New Roman"/>
          <w:sz w:val="24"/>
        </w:rPr>
        <w:t>(B) The relative content of ATP</w:t>
      </w:r>
      <w:r w:rsidR="008813A2" w:rsidRPr="00927246">
        <w:rPr>
          <w:rFonts w:ascii="Times New Roman" w:hAnsi="Times New Roman" w:hint="eastAsia"/>
          <w:sz w:val="24"/>
        </w:rPr>
        <w:t xml:space="preserve"> was detected </w:t>
      </w:r>
      <w:r w:rsidR="008813A2" w:rsidRPr="00927246">
        <w:rPr>
          <w:rFonts w:ascii="Times New Roman" w:hAnsi="Times New Roman"/>
          <w:sz w:val="24"/>
        </w:rPr>
        <w:t xml:space="preserve">in the supernatant. Cells were exposed to dTF-FCU1 at MOI=0.001. Two days post-infection, 1mM 5-FC was added. Another two days later, supernatant </w:t>
      </w:r>
      <w:r w:rsidR="008813A2" w:rsidRPr="00927246">
        <w:rPr>
          <w:rFonts w:ascii="Times New Roman" w:hAnsi="Times New Roman"/>
          <w:sz w:val="24"/>
        </w:rPr>
        <w:lastRenderedPageBreak/>
        <w:t xml:space="preserve">was collected to measure the ATP content. </w:t>
      </w:r>
      <w:r w:rsidR="007D76B5" w:rsidRPr="00745D58">
        <w:rPr>
          <w:rFonts w:ascii="Times New Roman" w:hAnsi="Times New Roman"/>
          <w:color w:val="000000" w:themeColor="text1"/>
          <w:sz w:val="24"/>
        </w:rPr>
        <w:t>Statistical analysis was performed with one-way ANOVA.</w:t>
      </w:r>
      <w:r w:rsidR="007D76B5" w:rsidRPr="00927246">
        <w:rPr>
          <w:rFonts w:ascii="Times New Roman" w:hAnsi="Times New Roman"/>
          <w:sz w:val="24"/>
        </w:rPr>
        <w:t xml:space="preserve"> </w:t>
      </w:r>
      <w:r w:rsidR="008813A2" w:rsidRPr="00927246">
        <w:rPr>
          <w:rFonts w:ascii="Times New Roman" w:hAnsi="Times New Roman"/>
          <w:sz w:val="24"/>
        </w:rPr>
        <w:t>(</w:t>
      </w:r>
      <w:r w:rsidR="008813A2" w:rsidRPr="00927246">
        <w:rPr>
          <w:rFonts w:ascii="Times New Roman" w:hAnsi="Times New Roman" w:hint="eastAsia"/>
          <w:sz w:val="24"/>
        </w:rPr>
        <w:t>C</w:t>
      </w:r>
      <w:r w:rsidR="008813A2" w:rsidRPr="00927246">
        <w:rPr>
          <w:rFonts w:ascii="Times New Roman" w:hAnsi="Times New Roman"/>
          <w:sz w:val="24"/>
        </w:rPr>
        <w:t>) Western blots to detect ICD markers HSP90 and HMGB1 in cell lysis and culture superna</w:t>
      </w:r>
      <w:r w:rsidR="008813A2" w:rsidRPr="00927246">
        <w:rPr>
          <w:rFonts w:ascii="Times New Roman" w:hAnsi="Times New Roman" w:hint="eastAsia"/>
          <w:sz w:val="24"/>
        </w:rPr>
        <w:t>t</w:t>
      </w:r>
      <w:r w:rsidR="008813A2" w:rsidRPr="00927246">
        <w:rPr>
          <w:rFonts w:ascii="Times New Roman" w:hAnsi="Times New Roman"/>
          <w:sz w:val="24"/>
        </w:rPr>
        <w:t xml:space="preserve">ant infected with the </w:t>
      </w:r>
      <w:r w:rsidR="008813A2" w:rsidRPr="00927246">
        <w:rPr>
          <w:rFonts w:ascii="Times New Roman" w:hAnsi="Times New Roman" w:hint="eastAsia"/>
          <w:sz w:val="24"/>
        </w:rPr>
        <w:t>same treatment as (B)</w:t>
      </w:r>
      <w:r w:rsidR="008813A2" w:rsidRPr="00927246">
        <w:rPr>
          <w:rFonts w:ascii="Times New Roman" w:hAnsi="Times New Roman"/>
          <w:sz w:val="24"/>
        </w:rPr>
        <w:t>.</w:t>
      </w:r>
      <w:r w:rsidR="008813A2" w:rsidRPr="00927246">
        <w:rPr>
          <w:rFonts w:ascii="Times New Roman" w:hAnsi="Times New Roman" w:hint="eastAsia"/>
          <w:sz w:val="24"/>
        </w:rPr>
        <w:t xml:space="preserve"> </w:t>
      </w:r>
      <w:r w:rsidR="008813A2" w:rsidRPr="00927246">
        <w:rPr>
          <w:rFonts w:ascii="Times New Roman" w:hAnsi="Times New Roman"/>
          <w:sz w:val="24"/>
        </w:rPr>
        <w:t>The data represents the results of three independent replicates, shown as the mean ± SD. *p &lt; 0.05; **p &lt; 0.01; ***p &lt; 0.001; ****p &lt; 0.0001; ns, not significant.</w:t>
      </w:r>
    </w:p>
    <w:p w14:paraId="4D066FE9" w14:textId="0E34315E" w:rsidR="006F38B1" w:rsidRPr="006F38B1" w:rsidRDefault="006F38B1" w:rsidP="00A86415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5AE131A9" wp14:editId="4101963E">
            <wp:extent cx="4588510" cy="2783158"/>
            <wp:effectExtent l="0" t="0" r="2540" b="0"/>
            <wp:docPr id="19643028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648" cy="278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2B9DE" w14:textId="77777777" w:rsidR="006F38B1" w:rsidRDefault="008813A2" w:rsidP="006F38B1">
      <w:pPr>
        <w:pStyle w:val="a9"/>
        <w:spacing w:line="480" w:lineRule="auto"/>
        <w:ind w:left="480" w:hangingChars="200" w:hanging="480"/>
        <w:rPr>
          <w:rFonts w:ascii="Times New Roman" w:hAnsi="Times New Roman"/>
          <w:sz w:val="24"/>
        </w:rPr>
      </w:pPr>
      <w:r w:rsidRPr="00927246">
        <w:rPr>
          <w:rFonts w:ascii="Times New Roman" w:hAnsi="Times New Roman"/>
          <w:b/>
          <w:bCs/>
          <w:sz w:val="24"/>
        </w:rPr>
        <w:t>Figure S4. T lymphocyte activation in spleen by flow cytometry</w:t>
      </w:r>
    </w:p>
    <w:p w14:paraId="476603F4" w14:textId="5A4E5456" w:rsidR="008813A2" w:rsidRPr="006F38B1" w:rsidRDefault="006F38B1" w:rsidP="00745D58">
      <w:pPr>
        <w:pStyle w:val="a9"/>
        <w:spacing w:line="480" w:lineRule="auto"/>
        <w:ind w:left="1" w:hanging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(A) </w:t>
      </w:r>
      <w:r w:rsidR="008813A2" w:rsidRPr="006F38B1">
        <w:rPr>
          <w:rFonts w:ascii="Times New Roman" w:hAnsi="Times New Roman"/>
          <w:sz w:val="24"/>
        </w:rPr>
        <w:t>Schematic diagram of treatment regimen. Spleens were harvested 24 hours after the final administration of the two treatment cycles.</w:t>
      </w:r>
      <w:r w:rsidR="008813A2" w:rsidRPr="006F38B1">
        <w:rPr>
          <w:rFonts w:ascii="Times New Roman" w:hAnsi="Times New Roman" w:hint="eastAsia"/>
          <w:sz w:val="24"/>
        </w:rPr>
        <w:t xml:space="preserve"> (B) </w:t>
      </w:r>
      <w:r w:rsidR="008813A2" w:rsidRPr="006F38B1">
        <w:rPr>
          <w:rFonts w:ascii="Times New Roman" w:hAnsi="Times New Roman"/>
          <w:sz w:val="24"/>
        </w:rPr>
        <w:t>The ratio of CD8</w:t>
      </w:r>
      <w:r w:rsidR="008813A2" w:rsidRPr="000235EF">
        <w:rPr>
          <w:rFonts w:ascii="Times New Roman" w:hAnsi="Times New Roman"/>
          <w:sz w:val="24"/>
          <w:vertAlign w:val="superscript"/>
        </w:rPr>
        <w:t>+</w:t>
      </w:r>
      <w:r w:rsidR="008813A2" w:rsidRPr="006F38B1">
        <w:rPr>
          <w:rFonts w:ascii="Times New Roman" w:hAnsi="Times New Roman"/>
          <w:sz w:val="24"/>
        </w:rPr>
        <w:t>TNF</w:t>
      </w:r>
      <w:r w:rsidR="008813A2" w:rsidRPr="000235EF">
        <w:rPr>
          <w:rFonts w:ascii="Times New Roman" w:hAnsi="Times New Roman"/>
          <w:sz w:val="24"/>
          <w:vertAlign w:val="superscript"/>
        </w:rPr>
        <w:t>+</w:t>
      </w:r>
      <w:r w:rsidR="008813A2" w:rsidRPr="006F38B1">
        <w:rPr>
          <w:rFonts w:ascii="Times New Roman" w:hAnsi="Times New Roman"/>
          <w:sz w:val="24"/>
        </w:rPr>
        <w:t>T cells to CD8</w:t>
      </w:r>
      <w:r w:rsidR="008813A2" w:rsidRPr="000235EF">
        <w:rPr>
          <w:rFonts w:ascii="Times New Roman" w:hAnsi="Times New Roman"/>
          <w:sz w:val="24"/>
          <w:vertAlign w:val="superscript"/>
        </w:rPr>
        <w:t>+</w:t>
      </w:r>
      <w:r w:rsidR="008813A2" w:rsidRPr="006F38B1">
        <w:rPr>
          <w:rFonts w:ascii="Times New Roman" w:hAnsi="Times New Roman"/>
          <w:sz w:val="24"/>
        </w:rPr>
        <w:t>T cells.</w:t>
      </w:r>
      <w:r w:rsidR="008813A2" w:rsidRPr="00745D58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7D76B5" w:rsidRPr="00745D58">
        <w:rPr>
          <w:rFonts w:ascii="Times New Roman" w:hAnsi="Times New Roman"/>
          <w:color w:val="000000" w:themeColor="text1"/>
          <w:sz w:val="24"/>
        </w:rPr>
        <w:t>Statistical analysis was performed with one-way ANOVA.</w:t>
      </w:r>
      <w:r w:rsidR="007D76B5" w:rsidRPr="00745D58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8813A2" w:rsidRPr="00745D58">
        <w:rPr>
          <w:rFonts w:ascii="Times New Roman" w:hAnsi="Times New Roman" w:hint="eastAsia"/>
          <w:color w:val="000000" w:themeColor="text1"/>
          <w:sz w:val="24"/>
        </w:rPr>
        <w:t xml:space="preserve">(C) </w:t>
      </w:r>
      <w:r w:rsidR="008813A2" w:rsidRPr="00745D58">
        <w:rPr>
          <w:rFonts w:ascii="Times New Roman" w:hAnsi="Times New Roman"/>
          <w:color w:val="000000" w:themeColor="text1"/>
          <w:sz w:val="24"/>
        </w:rPr>
        <w:t>The ratio of CD4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TNF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 to CD4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cells.</w:t>
      </w:r>
      <w:r w:rsidR="007D76B5" w:rsidRPr="00745D58">
        <w:rPr>
          <w:rFonts w:ascii="Times New Roman" w:hAnsi="Times New Roman"/>
          <w:color w:val="000000" w:themeColor="text1"/>
          <w:sz w:val="24"/>
        </w:rPr>
        <w:t xml:space="preserve"> Statistical analysis was performed with one-way ANOVA.</w:t>
      </w:r>
      <w:r w:rsidR="008813A2" w:rsidRPr="00745D58">
        <w:rPr>
          <w:rFonts w:ascii="Times New Roman" w:hAnsi="Times New Roman" w:hint="eastAsia"/>
          <w:color w:val="000000" w:themeColor="text1"/>
          <w:sz w:val="24"/>
        </w:rPr>
        <w:t xml:space="preserve"> (D) </w:t>
      </w:r>
      <w:r w:rsidR="008813A2" w:rsidRPr="00745D58">
        <w:rPr>
          <w:rFonts w:ascii="Times New Roman" w:hAnsi="Times New Roman"/>
          <w:color w:val="000000" w:themeColor="text1"/>
          <w:sz w:val="24"/>
        </w:rPr>
        <w:t>The ratio of CD8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GZMB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 to CD8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cells.</w:t>
      </w:r>
      <w:r w:rsidR="008813A2" w:rsidRPr="00745D58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7D76B5" w:rsidRPr="00745D58">
        <w:rPr>
          <w:rFonts w:ascii="Times New Roman" w:hAnsi="Times New Roman"/>
          <w:color w:val="000000" w:themeColor="text1"/>
          <w:sz w:val="24"/>
        </w:rPr>
        <w:t>Statistical analysis was performed with one-way ANOVA.</w:t>
      </w:r>
      <w:r w:rsidR="007D76B5" w:rsidRPr="00745D58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8813A2" w:rsidRPr="00745D58">
        <w:rPr>
          <w:rFonts w:ascii="Times New Roman" w:hAnsi="Times New Roman" w:hint="eastAsia"/>
          <w:color w:val="000000" w:themeColor="text1"/>
          <w:sz w:val="24"/>
        </w:rPr>
        <w:t xml:space="preserve">(E) </w:t>
      </w:r>
      <w:r w:rsidR="008813A2" w:rsidRPr="00745D58">
        <w:rPr>
          <w:rFonts w:ascii="Times New Roman" w:hAnsi="Times New Roman"/>
          <w:color w:val="000000" w:themeColor="text1"/>
          <w:sz w:val="24"/>
        </w:rPr>
        <w:t>The ratio of CD4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GZMB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 to CD4</w:t>
      </w:r>
      <w:r w:rsidR="008813A2" w:rsidRPr="00745D58">
        <w:rPr>
          <w:rFonts w:ascii="Times New Roman" w:hAnsi="Times New Roman"/>
          <w:color w:val="000000" w:themeColor="text1"/>
          <w:sz w:val="24"/>
          <w:vertAlign w:val="superscript"/>
        </w:rPr>
        <w:t>+</w:t>
      </w:r>
      <w:r w:rsidR="008813A2" w:rsidRPr="00745D58">
        <w:rPr>
          <w:rFonts w:ascii="Times New Roman" w:hAnsi="Times New Roman"/>
          <w:color w:val="000000" w:themeColor="text1"/>
          <w:sz w:val="24"/>
        </w:rPr>
        <w:t>T cells.</w:t>
      </w:r>
      <w:r w:rsidR="007D76B5" w:rsidRPr="00745D58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7D76B5" w:rsidRPr="00745D58">
        <w:rPr>
          <w:rFonts w:ascii="Times New Roman" w:hAnsi="Times New Roman"/>
          <w:color w:val="000000" w:themeColor="text1"/>
          <w:sz w:val="24"/>
        </w:rPr>
        <w:t>Statistical analysis was performed with one-way ANOVA.</w:t>
      </w:r>
      <w:r w:rsidR="008813A2" w:rsidRPr="006F38B1">
        <w:rPr>
          <w:rFonts w:ascii="Times New Roman" w:hAnsi="Times New Roman" w:hint="eastAsia"/>
          <w:sz w:val="24"/>
        </w:rPr>
        <w:t xml:space="preserve"> </w:t>
      </w:r>
      <w:r w:rsidR="008813A2" w:rsidRPr="006F38B1">
        <w:rPr>
          <w:rFonts w:ascii="Times New Roman" w:hAnsi="Times New Roman"/>
          <w:sz w:val="24"/>
        </w:rPr>
        <w:t>Data are presented as mean values ±SD. *p &lt; 0.05; **p &lt; 0.01; ***p &lt; 0.001; ****p &lt; 0.0001; ns, not significant.</w:t>
      </w:r>
    </w:p>
    <w:p w14:paraId="62EE5BC4" w14:textId="77777777" w:rsidR="006F38B1" w:rsidRDefault="006F38B1" w:rsidP="006F38B1">
      <w:pPr>
        <w:spacing w:line="480" w:lineRule="auto"/>
        <w:rPr>
          <w:rFonts w:ascii="Times New Roman" w:hAnsi="Times New Roman"/>
          <w:sz w:val="24"/>
        </w:rPr>
      </w:pPr>
    </w:p>
    <w:p w14:paraId="7612F624" w14:textId="0E370D2F" w:rsidR="006F38B1" w:rsidRPr="006F38B1" w:rsidRDefault="006F38B1" w:rsidP="00A86415">
      <w:pPr>
        <w:spacing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7ACE0C6" wp14:editId="0019801C">
            <wp:extent cx="5274310" cy="3084830"/>
            <wp:effectExtent l="0" t="0" r="2540" b="1270"/>
            <wp:docPr id="8870618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28A2C" w14:textId="77777777" w:rsidR="008813A2" w:rsidRPr="00927246" w:rsidRDefault="008813A2" w:rsidP="008813A2">
      <w:pPr>
        <w:pStyle w:val="a9"/>
        <w:spacing w:line="480" w:lineRule="auto"/>
        <w:ind w:left="480" w:hangingChars="200" w:hanging="480"/>
        <w:rPr>
          <w:rFonts w:hint="eastAsia"/>
          <w:sz w:val="24"/>
        </w:rPr>
      </w:pPr>
      <w:r w:rsidRPr="00927246">
        <w:rPr>
          <w:rFonts w:ascii="Times New Roman" w:hAnsi="Times New Roman"/>
          <w:b/>
          <w:bCs/>
          <w:sz w:val="24"/>
        </w:rPr>
        <w:t>Figure S</w:t>
      </w:r>
      <w:r w:rsidRPr="00927246">
        <w:rPr>
          <w:rFonts w:ascii="Times New Roman" w:hAnsi="Times New Roman" w:hint="eastAsia"/>
          <w:b/>
          <w:bCs/>
          <w:sz w:val="24"/>
        </w:rPr>
        <w:t>5</w:t>
      </w:r>
      <w:r w:rsidRPr="00927246">
        <w:rPr>
          <w:rFonts w:ascii="Times New Roman" w:hAnsi="Times New Roman"/>
          <w:b/>
          <w:bCs/>
          <w:sz w:val="24"/>
        </w:rPr>
        <w:t xml:space="preserve">. </w:t>
      </w:r>
      <w:r w:rsidRPr="00927246">
        <w:rPr>
          <w:rFonts w:ascii="Times New Roman" w:hAnsi="Times New Roman" w:cs="Times New Roman"/>
          <w:b/>
          <w:bCs/>
          <w:sz w:val="24"/>
        </w:rPr>
        <w:t>Gating strategy of flow cytometry to locate T cells (A) and TAMs (B).</w:t>
      </w:r>
    </w:p>
    <w:p w14:paraId="384F9A4C" w14:textId="77777777" w:rsidR="00A115CC" w:rsidRPr="008813A2" w:rsidRDefault="00A115CC">
      <w:pPr>
        <w:rPr>
          <w:rFonts w:hint="eastAsia"/>
        </w:rPr>
      </w:pPr>
    </w:p>
    <w:sectPr w:rsidR="00A115CC" w:rsidRPr="00881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C962" w14:textId="77777777" w:rsidR="000B6EB8" w:rsidRDefault="000B6EB8" w:rsidP="008813A2">
      <w:pPr>
        <w:rPr>
          <w:rFonts w:hint="eastAsia"/>
        </w:rPr>
      </w:pPr>
      <w:r>
        <w:separator/>
      </w:r>
    </w:p>
  </w:endnote>
  <w:endnote w:type="continuationSeparator" w:id="0">
    <w:p w14:paraId="26E7ECF8" w14:textId="77777777" w:rsidR="000B6EB8" w:rsidRDefault="000B6EB8" w:rsidP="008813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700E" w14:textId="77777777" w:rsidR="000B6EB8" w:rsidRDefault="000B6EB8" w:rsidP="008813A2">
      <w:pPr>
        <w:rPr>
          <w:rFonts w:hint="eastAsia"/>
        </w:rPr>
      </w:pPr>
      <w:r>
        <w:separator/>
      </w:r>
    </w:p>
  </w:footnote>
  <w:footnote w:type="continuationSeparator" w:id="0">
    <w:p w14:paraId="5E770C97" w14:textId="77777777" w:rsidR="000B6EB8" w:rsidRDefault="000B6EB8" w:rsidP="008813A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E0AD5"/>
    <w:multiLevelType w:val="hybridMultilevel"/>
    <w:tmpl w:val="BCB4E64A"/>
    <w:lvl w:ilvl="0" w:tplc="6E7627D0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01F37D0"/>
    <w:multiLevelType w:val="hybridMultilevel"/>
    <w:tmpl w:val="85B854E2"/>
    <w:lvl w:ilvl="0" w:tplc="2954D128">
      <w:start w:val="1"/>
      <w:numFmt w:val="upperLetter"/>
      <w:lvlText w:val="(%1)"/>
      <w:lvlJc w:val="left"/>
      <w:pPr>
        <w:ind w:left="38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6026C9A"/>
    <w:multiLevelType w:val="hybridMultilevel"/>
    <w:tmpl w:val="A5E00258"/>
    <w:lvl w:ilvl="0" w:tplc="EAEE5C9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22451508">
    <w:abstractNumId w:val="0"/>
  </w:num>
  <w:num w:numId="2" w16cid:durableId="440302342">
    <w:abstractNumId w:val="2"/>
  </w:num>
  <w:num w:numId="3" w16cid:durableId="1787890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8A"/>
    <w:rsid w:val="000235EF"/>
    <w:rsid w:val="00041FB3"/>
    <w:rsid w:val="000B6EB8"/>
    <w:rsid w:val="00102D40"/>
    <w:rsid w:val="002919D3"/>
    <w:rsid w:val="00326BF7"/>
    <w:rsid w:val="00342BB6"/>
    <w:rsid w:val="00445A7A"/>
    <w:rsid w:val="004F764B"/>
    <w:rsid w:val="006E214E"/>
    <w:rsid w:val="006F0C6F"/>
    <w:rsid w:val="006F38B1"/>
    <w:rsid w:val="00745D58"/>
    <w:rsid w:val="007C797F"/>
    <w:rsid w:val="007D76B5"/>
    <w:rsid w:val="008813A2"/>
    <w:rsid w:val="00991BC2"/>
    <w:rsid w:val="009D5245"/>
    <w:rsid w:val="00A115CC"/>
    <w:rsid w:val="00A86415"/>
    <w:rsid w:val="00DE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EAE2EB"/>
  <w15:chartTrackingRefBased/>
  <w15:docId w15:val="{810E45A0-4387-4CCB-8775-98A49050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3A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6A8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A8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8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8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8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8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8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8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8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A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6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6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6A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6A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6A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6A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6A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6A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6A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E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A8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E6A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6A8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E6A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6A8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E6A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6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E6A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6A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813A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813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813A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81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huang</dc:creator>
  <cp:keywords/>
  <dc:description/>
  <cp:lastModifiedBy>yu huang</cp:lastModifiedBy>
  <cp:revision>3</cp:revision>
  <dcterms:created xsi:type="dcterms:W3CDTF">2026-06-27T08:24:00Z</dcterms:created>
  <dcterms:modified xsi:type="dcterms:W3CDTF">2026-06-27T08:25:00Z</dcterms:modified>
</cp:coreProperties>
</file>