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2E77" w14:textId="77777777" w:rsidR="0072591E" w:rsidRPr="00DB1BB1" w:rsidRDefault="0072591E" w:rsidP="00D65C17">
      <w:pPr>
        <w:rPr>
          <w:rFonts w:ascii="Arial" w:hAnsi="Arial" w:cs="Arial"/>
          <w:b/>
          <w:bCs/>
        </w:rPr>
      </w:pPr>
      <w:r w:rsidRPr="00DB1BB1">
        <w:rPr>
          <w:rFonts w:ascii="Arial" w:hAnsi="Arial" w:cs="Arial"/>
          <w:b/>
          <w:bCs/>
        </w:rPr>
        <w:t>SUPPLEMENTARY METHODS</w:t>
      </w:r>
    </w:p>
    <w:p w14:paraId="58C6205A" w14:textId="6EB3296D" w:rsidR="00DB1BB1" w:rsidRPr="005D3396" w:rsidRDefault="00DB1BB1" w:rsidP="00DB1BB1">
      <w:pPr>
        <w:rPr>
          <w:rFonts w:ascii="Arial" w:hAnsi="Arial" w:cs="Arial"/>
          <w:b/>
          <w:bCs/>
        </w:rPr>
      </w:pPr>
      <w:r w:rsidRPr="005D3396">
        <w:rPr>
          <w:rFonts w:ascii="Arial" w:hAnsi="Arial" w:cs="Arial"/>
          <w:b/>
          <w:bCs/>
        </w:rPr>
        <w:t>Alternative Clustering Approaches</w:t>
      </w:r>
    </w:p>
    <w:p w14:paraId="43D3F27D" w14:textId="1FE0C3F9" w:rsidR="00DB1BB1" w:rsidRPr="00DB1BB1" w:rsidRDefault="00DB1BB1" w:rsidP="00DB1BB1">
      <w:pPr>
        <w:rPr>
          <w:rFonts w:ascii="Arial" w:hAnsi="Arial" w:cs="Arial"/>
        </w:rPr>
      </w:pPr>
      <w:r w:rsidRPr="00DB1BB1">
        <w:rPr>
          <w:rFonts w:ascii="Arial" w:hAnsi="Arial" w:cs="Arial"/>
        </w:rPr>
        <w:t xml:space="preserve">To evaluate </w:t>
      </w:r>
      <w:r w:rsidR="00F63D77">
        <w:rPr>
          <w:rFonts w:ascii="Arial" w:hAnsi="Arial" w:cs="Arial"/>
        </w:rPr>
        <w:t>utility</w:t>
      </w:r>
      <w:r w:rsidRPr="00DB1BB1">
        <w:rPr>
          <w:rFonts w:ascii="Arial" w:hAnsi="Arial" w:cs="Arial"/>
        </w:rPr>
        <w:t xml:space="preserve"> of the latent class analysis (LCA) solution, we applied three alternative clustering methods to the </w:t>
      </w:r>
      <w:r w:rsidR="00F63D77">
        <w:rPr>
          <w:rFonts w:ascii="Arial" w:hAnsi="Arial" w:cs="Arial"/>
        </w:rPr>
        <w:t xml:space="preserve">14 </w:t>
      </w:r>
      <w:r w:rsidRPr="00DB1BB1">
        <w:rPr>
          <w:rFonts w:ascii="Arial" w:hAnsi="Arial" w:cs="Arial"/>
        </w:rPr>
        <w:t>continuous</w:t>
      </w:r>
      <w:r w:rsidR="005D3396">
        <w:rPr>
          <w:rFonts w:ascii="Arial" w:hAnsi="Arial" w:cs="Arial"/>
        </w:rPr>
        <w:t xml:space="preserve"> </w:t>
      </w:r>
      <w:r w:rsidRPr="00DB1BB1">
        <w:rPr>
          <w:rFonts w:ascii="Arial" w:hAnsi="Arial" w:cs="Arial"/>
        </w:rPr>
        <w:t xml:space="preserve">cardiometabolic </w:t>
      </w:r>
      <w:r w:rsidR="005D3396">
        <w:rPr>
          <w:rFonts w:ascii="Arial" w:hAnsi="Arial" w:cs="Arial"/>
        </w:rPr>
        <w:t xml:space="preserve">variables. </w:t>
      </w:r>
      <w:r w:rsidRPr="00DB1BB1">
        <w:rPr>
          <w:rFonts w:ascii="Arial" w:hAnsi="Arial" w:cs="Arial"/>
        </w:rPr>
        <w:t>Whereas LCA operates on binary indicators, these methods leverage the full distributional information of the original continuous measurements, thereby providing a complementary assessment of cluster stability across both data representations and analytic frameworks. All alternative methods were constrained to a 4-cluster solution to enable direct comparison with the optimal LCA-derived classification</w:t>
      </w:r>
      <w:r w:rsidR="00F63D77">
        <w:rPr>
          <w:rFonts w:ascii="Arial" w:hAnsi="Arial" w:cs="Arial"/>
        </w:rPr>
        <w:t xml:space="preserve">; </w:t>
      </w:r>
      <w:proofErr w:type="gramStart"/>
      <w:r w:rsidR="00F63D77">
        <w:rPr>
          <w:rFonts w:ascii="Arial" w:hAnsi="Arial" w:cs="Arial"/>
        </w:rPr>
        <w:t>however</w:t>
      </w:r>
      <w:proofErr w:type="gramEnd"/>
      <w:r w:rsidR="00F63D77">
        <w:rPr>
          <w:rFonts w:ascii="Arial" w:hAnsi="Arial" w:cs="Arial"/>
        </w:rPr>
        <w:t xml:space="preserve"> </w:t>
      </w:r>
      <w:r w:rsidR="00C5357C">
        <w:rPr>
          <w:rFonts w:ascii="Arial" w:hAnsi="Arial" w:cs="Arial"/>
        </w:rPr>
        <w:t>k=4 was also the best-supported solution between k=3-5 (balancing between cluster resolution and complexity) across all clustering methods considered</w:t>
      </w:r>
      <w:r w:rsidR="00BF6D58">
        <w:rPr>
          <w:rFonts w:ascii="Arial" w:hAnsi="Arial" w:cs="Arial"/>
        </w:rPr>
        <w:t>.</w:t>
      </w:r>
    </w:p>
    <w:p w14:paraId="350A7E6D" w14:textId="77777777" w:rsidR="00DB1BB1" w:rsidRPr="00DB1BB1" w:rsidRDefault="00DB1BB1" w:rsidP="00DB1BB1">
      <w:pPr>
        <w:rPr>
          <w:rFonts w:ascii="Arial" w:hAnsi="Arial" w:cs="Arial"/>
        </w:rPr>
      </w:pPr>
      <w:r w:rsidRPr="00DB1BB1">
        <w:rPr>
          <w:rFonts w:ascii="Arial" w:hAnsi="Arial" w:cs="Arial"/>
        </w:rPr>
        <w:t>Prior to all continuous clustering analyses, cardiometabolic variables were standardized to z-scores (mean = 0, SD = 1) to ensure equal contribution of each variable to the distance or covariance calculations, given that the 14 indicators were measured on different scales.</w:t>
      </w:r>
    </w:p>
    <w:p w14:paraId="6EA0ED58" w14:textId="3C50121E" w:rsidR="00DB1BB1" w:rsidRPr="00196B01" w:rsidRDefault="00196B01" w:rsidP="00DB1BB1">
      <w:pPr>
        <w:rPr>
          <w:rFonts w:ascii="Arial" w:hAnsi="Arial" w:cs="Arial"/>
          <w:b/>
          <w:bCs/>
        </w:rPr>
      </w:pPr>
      <w:r>
        <w:rPr>
          <w:rFonts w:ascii="Arial" w:hAnsi="Arial" w:cs="Arial"/>
          <w:b/>
          <w:bCs/>
        </w:rPr>
        <w:t xml:space="preserve">(A) </w:t>
      </w:r>
      <w:r w:rsidR="00DB1BB1" w:rsidRPr="00196B01">
        <w:rPr>
          <w:rFonts w:ascii="Arial" w:hAnsi="Arial" w:cs="Arial"/>
          <w:b/>
          <w:bCs/>
        </w:rPr>
        <w:t>Latent Profile Analysis</w:t>
      </w:r>
      <w:r w:rsidR="00243839">
        <w:rPr>
          <w:rFonts w:ascii="Arial" w:hAnsi="Arial" w:cs="Arial"/>
          <w:b/>
          <w:bCs/>
        </w:rPr>
        <w:t xml:space="preserve"> (LPA)</w:t>
      </w:r>
    </w:p>
    <w:p w14:paraId="2EBE2954" w14:textId="22708308" w:rsidR="00DB1BB1" w:rsidRPr="00DB1BB1" w:rsidRDefault="00DB1BB1" w:rsidP="00DB1BB1">
      <w:pPr>
        <w:rPr>
          <w:rFonts w:ascii="Arial" w:hAnsi="Arial" w:cs="Arial"/>
        </w:rPr>
      </w:pPr>
      <w:r w:rsidRPr="00DB1BB1">
        <w:rPr>
          <w:rFonts w:ascii="Arial" w:hAnsi="Arial" w:cs="Arial"/>
        </w:rPr>
        <w:t>Latent profile analysis (LPA) extends the LCA framework to continuous observed variables by modelling the joint distribution of observed indicators as a finite mixture of multivariate normal distributions, where each mixture component corresponds to a latent profile. A 4-profile model was estimated using the </w:t>
      </w:r>
      <w:proofErr w:type="spellStart"/>
      <w:r w:rsidRPr="00DB1BB1">
        <w:rPr>
          <w:rFonts w:ascii="Arial" w:hAnsi="Arial" w:cs="Arial"/>
          <w:i/>
          <w:iCs/>
        </w:rPr>
        <w:t>mclust</w:t>
      </w:r>
      <w:proofErr w:type="spellEnd"/>
      <w:r w:rsidRPr="00DB1BB1">
        <w:rPr>
          <w:rFonts w:ascii="Arial" w:hAnsi="Arial" w:cs="Arial"/>
        </w:rPr>
        <w:t> package in R, which employs an expectation-maximization (EM) algorithm for model fitting. This decomposition gives rise to a family of 14 parsimonious covariance structures ranging from the most constrained (EEI: equal volume, equal shape, axis-aligned) to the most flexible (VVV: variable volume, va</w:t>
      </w:r>
      <w:r w:rsidRPr="002D08D9">
        <w:rPr>
          <w:rFonts w:ascii="Arial" w:hAnsi="Arial" w:cs="Arial"/>
        </w:rPr>
        <w:t>riable shape, variable orientation). All 14 covariance parameterizations were fitted for the 4-profile solution</w:t>
      </w:r>
      <w:r w:rsidR="00A61940" w:rsidRPr="002D08D9">
        <w:rPr>
          <w:rFonts w:ascii="Arial" w:hAnsi="Arial" w:cs="Arial"/>
        </w:rPr>
        <w:t>. T</w:t>
      </w:r>
      <w:r w:rsidRPr="002D08D9">
        <w:rPr>
          <w:rFonts w:ascii="Arial" w:hAnsi="Arial" w:cs="Arial"/>
        </w:rPr>
        <w:t>he VVE</w:t>
      </w:r>
      <w:r w:rsidR="002D08D9" w:rsidRPr="002D08D9">
        <w:rPr>
          <w:rFonts w:ascii="Arial" w:hAnsi="Arial" w:cs="Arial"/>
        </w:rPr>
        <w:t xml:space="preserve"> </w:t>
      </w:r>
      <w:r w:rsidRPr="002D08D9">
        <w:rPr>
          <w:rFonts w:ascii="Arial" w:hAnsi="Arial" w:cs="Arial"/>
        </w:rPr>
        <w:t>parameterization</w:t>
      </w:r>
      <w:r w:rsidR="00006B5B">
        <w:rPr>
          <w:rFonts w:ascii="Arial" w:hAnsi="Arial" w:cs="Arial"/>
        </w:rPr>
        <w:t xml:space="preserve"> (</w:t>
      </w:r>
      <w:r w:rsidR="002D08D9" w:rsidRPr="002D08D9">
        <w:rPr>
          <w:rFonts w:ascii="Arial" w:hAnsi="Arial" w:cs="Arial"/>
        </w:rPr>
        <w:t>variable volume, variable shape and equal orientation</w:t>
      </w:r>
      <w:r w:rsidR="00006B5B">
        <w:rPr>
          <w:rFonts w:ascii="Arial" w:hAnsi="Arial" w:cs="Arial"/>
        </w:rPr>
        <w:t>)</w:t>
      </w:r>
      <w:r w:rsidRPr="002D08D9">
        <w:rPr>
          <w:rFonts w:ascii="Arial" w:hAnsi="Arial" w:cs="Arial"/>
        </w:rPr>
        <w:t xml:space="preserve"> yielded the highest BIC and was retained. Each pa</w:t>
      </w:r>
      <w:r w:rsidRPr="00DB1BB1">
        <w:rPr>
          <w:rFonts w:ascii="Arial" w:hAnsi="Arial" w:cs="Arial"/>
        </w:rPr>
        <w:t>rticipant was assigned to the profile for which they had the highest posterior membership probability.</w:t>
      </w:r>
      <w:r w:rsidRPr="0032261B">
        <w:rPr>
          <w:rFonts w:ascii="Arial" w:hAnsi="Arial" w:cs="Arial"/>
        </w:rPr>
        <w:t xml:space="preserve"> </w:t>
      </w:r>
      <w:r w:rsidR="0032261B" w:rsidRPr="0032261B">
        <w:rPr>
          <w:rFonts w:ascii="Arial" w:hAnsi="Arial" w:cs="Arial"/>
        </w:rPr>
        <w:t>Heatmaps illustrating the standardised cardiometabolic indicator means across</w:t>
      </w:r>
      <w:r w:rsidR="00EC164D">
        <w:rPr>
          <w:rFonts w:ascii="Arial" w:hAnsi="Arial" w:cs="Arial"/>
        </w:rPr>
        <w:t xml:space="preserve"> latent</w:t>
      </w:r>
      <w:r w:rsidR="0032261B" w:rsidRPr="0032261B">
        <w:rPr>
          <w:rFonts w:ascii="Arial" w:hAnsi="Arial" w:cs="Arial"/>
        </w:rPr>
        <w:t xml:space="preserve"> profiles, along with associations between </w:t>
      </w:r>
      <w:r w:rsidR="00EC164D">
        <w:rPr>
          <w:rFonts w:ascii="Arial" w:hAnsi="Arial" w:cs="Arial"/>
        </w:rPr>
        <w:t>these profiles</w:t>
      </w:r>
      <w:r w:rsidR="0032261B" w:rsidRPr="0032261B">
        <w:rPr>
          <w:rFonts w:ascii="Arial" w:hAnsi="Arial" w:cs="Arial"/>
        </w:rPr>
        <w:t xml:space="preserve"> and wearable-derived sleep and physical activity metrics, are presented in Figures S2 and S3, respectively.</w:t>
      </w:r>
    </w:p>
    <w:p w14:paraId="504445C5" w14:textId="7FFC3240" w:rsidR="00DB1BB1" w:rsidRPr="009A5B51" w:rsidRDefault="009A5B51" w:rsidP="00DB1BB1">
      <w:pPr>
        <w:rPr>
          <w:rFonts w:ascii="Arial" w:hAnsi="Arial" w:cs="Arial"/>
          <w:b/>
          <w:bCs/>
        </w:rPr>
      </w:pPr>
      <w:r>
        <w:rPr>
          <w:rFonts w:ascii="Arial" w:hAnsi="Arial" w:cs="Arial"/>
          <w:b/>
          <w:bCs/>
        </w:rPr>
        <w:t xml:space="preserve">(B) </w:t>
      </w:r>
      <w:r w:rsidR="00DB1BB1" w:rsidRPr="009A5B51">
        <w:rPr>
          <w:rFonts w:ascii="Arial" w:hAnsi="Arial" w:cs="Arial"/>
          <w:b/>
          <w:bCs/>
        </w:rPr>
        <w:t>K-Medoids Clustering</w:t>
      </w:r>
      <w:r w:rsidR="00243839">
        <w:rPr>
          <w:rFonts w:ascii="Arial" w:hAnsi="Arial" w:cs="Arial"/>
          <w:b/>
          <w:bCs/>
        </w:rPr>
        <w:t xml:space="preserve"> (k-medoids)</w:t>
      </w:r>
    </w:p>
    <w:p w14:paraId="663570A1" w14:textId="158D2072" w:rsidR="00DB1BB1" w:rsidRPr="00DB1BB1" w:rsidRDefault="00DB1BB1" w:rsidP="00DB1BB1">
      <w:pPr>
        <w:rPr>
          <w:rFonts w:ascii="Arial" w:hAnsi="Arial" w:cs="Arial"/>
        </w:rPr>
      </w:pPr>
      <w:r w:rsidRPr="00DB1BB1">
        <w:rPr>
          <w:rFonts w:ascii="Arial" w:hAnsi="Arial" w:cs="Arial"/>
        </w:rPr>
        <w:t>K-medoids clustering is a partitional algorithm that, like k-means, assigns observations to a pre-specified number of clusters but differs in that cluster centres are defined by actual data points (medoids) rather than centroids. This property confers greater robustness to outliers and skewed distributions, which are common features of cardiometabolic data. A 4-cluster solution was estimated using the Partitioning Around Medoids (PAM) algorithm via the </w:t>
      </w:r>
      <w:r w:rsidRPr="00DB1BB1">
        <w:rPr>
          <w:rFonts w:ascii="Arial" w:hAnsi="Arial" w:cs="Arial"/>
          <w:i/>
          <w:iCs/>
        </w:rPr>
        <w:t>cluster</w:t>
      </w:r>
      <w:r w:rsidRPr="00DB1BB1">
        <w:rPr>
          <w:rFonts w:ascii="Arial" w:hAnsi="Arial" w:cs="Arial"/>
        </w:rPr>
        <w:t xml:space="preserve"> package in R, with Euclidean distance as the dissimilarity metric. </w:t>
      </w:r>
      <w:r w:rsidR="00EC164D" w:rsidRPr="0032261B">
        <w:rPr>
          <w:rFonts w:ascii="Arial" w:hAnsi="Arial" w:cs="Arial"/>
        </w:rPr>
        <w:t xml:space="preserve">Heatmaps illustrating the standardised cardiometabolic indicator means across </w:t>
      </w:r>
      <w:r w:rsidR="00EC164D">
        <w:rPr>
          <w:rFonts w:ascii="Arial" w:hAnsi="Arial" w:cs="Arial"/>
        </w:rPr>
        <w:t xml:space="preserve">k-medoid </w:t>
      </w:r>
      <w:r w:rsidR="00EC164D" w:rsidRPr="0032261B">
        <w:rPr>
          <w:rFonts w:ascii="Arial" w:hAnsi="Arial" w:cs="Arial"/>
        </w:rPr>
        <w:t xml:space="preserve">profiles, along with associations </w:t>
      </w:r>
      <w:r w:rsidR="00EC164D" w:rsidRPr="0032261B">
        <w:rPr>
          <w:rFonts w:ascii="Arial" w:hAnsi="Arial" w:cs="Arial"/>
        </w:rPr>
        <w:lastRenderedPageBreak/>
        <w:t xml:space="preserve">between </w:t>
      </w:r>
      <w:r w:rsidR="00EC164D">
        <w:rPr>
          <w:rFonts w:ascii="Arial" w:hAnsi="Arial" w:cs="Arial"/>
        </w:rPr>
        <w:t>these profiles</w:t>
      </w:r>
      <w:r w:rsidR="00EC164D" w:rsidRPr="0032261B">
        <w:rPr>
          <w:rFonts w:ascii="Arial" w:hAnsi="Arial" w:cs="Arial"/>
        </w:rPr>
        <w:t xml:space="preserve"> and wearable-derived sleep and physical activity metrics, are presented in Figures S</w:t>
      </w:r>
      <w:r w:rsidR="00CD1D1C">
        <w:rPr>
          <w:rFonts w:ascii="Arial" w:hAnsi="Arial" w:cs="Arial"/>
        </w:rPr>
        <w:t>4</w:t>
      </w:r>
      <w:r w:rsidR="00EC164D" w:rsidRPr="0032261B">
        <w:rPr>
          <w:rFonts w:ascii="Arial" w:hAnsi="Arial" w:cs="Arial"/>
        </w:rPr>
        <w:t xml:space="preserve"> and S</w:t>
      </w:r>
      <w:r w:rsidR="00CD1D1C">
        <w:rPr>
          <w:rFonts w:ascii="Arial" w:hAnsi="Arial" w:cs="Arial"/>
        </w:rPr>
        <w:t>5</w:t>
      </w:r>
      <w:r w:rsidR="00EC164D" w:rsidRPr="0032261B">
        <w:rPr>
          <w:rFonts w:ascii="Arial" w:hAnsi="Arial" w:cs="Arial"/>
        </w:rPr>
        <w:t>, respectively.</w:t>
      </w:r>
    </w:p>
    <w:p w14:paraId="2B2EB711" w14:textId="18D026C1" w:rsidR="00DB1BB1" w:rsidRPr="001B4AD2" w:rsidRDefault="001B4AD2" w:rsidP="00DB1BB1">
      <w:pPr>
        <w:rPr>
          <w:rFonts w:ascii="Arial" w:hAnsi="Arial" w:cs="Arial"/>
          <w:b/>
          <w:bCs/>
        </w:rPr>
      </w:pPr>
      <w:r>
        <w:rPr>
          <w:rFonts w:ascii="Arial" w:hAnsi="Arial" w:cs="Arial"/>
          <w:b/>
          <w:bCs/>
        </w:rPr>
        <w:t>(C)</w:t>
      </w:r>
      <w:r w:rsidR="00554F71">
        <w:rPr>
          <w:rFonts w:ascii="Arial" w:hAnsi="Arial" w:cs="Arial"/>
          <w:b/>
          <w:bCs/>
        </w:rPr>
        <w:t xml:space="preserve"> </w:t>
      </w:r>
      <w:r w:rsidR="00DB1BB1" w:rsidRPr="001B4AD2">
        <w:rPr>
          <w:rFonts w:ascii="Arial" w:hAnsi="Arial" w:cs="Arial"/>
          <w:b/>
          <w:bCs/>
        </w:rPr>
        <w:t>Self-Organi</w:t>
      </w:r>
      <w:r w:rsidR="002111C0">
        <w:rPr>
          <w:rFonts w:ascii="Arial" w:hAnsi="Arial" w:cs="Arial"/>
          <w:b/>
          <w:bCs/>
        </w:rPr>
        <w:t>s</w:t>
      </w:r>
      <w:r w:rsidR="00DB1BB1" w:rsidRPr="001B4AD2">
        <w:rPr>
          <w:rFonts w:ascii="Arial" w:hAnsi="Arial" w:cs="Arial"/>
          <w:b/>
          <w:bCs/>
        </w:rPr>
        <w:t>ing Maps with K-Medoids Clustering</w:t>
      </w:r>
      <w:r w:rsidR="00243839">
        <w:rPr>
          <w:rFonts w:ascii="Arial" w:hAnsi="Arial" w:cs="Arial"/>
          <w:b/>
          <w:bCs/>
        </w:rPr>
        <w:t xml:space="preserve"> (SOM)</w:t>
      </w:r>
    </w:p>
    <w:p w14:paraId="3A31D434" w14:textId="2A775316" w:rsidR="00DB1BB1" w:rsidRPr="00DB1BB1" w:rsidRDefault="00DB1BB1" w:rsidP="00DB1BB1">
      <w:pPr>
        <w:rPr>
          <w:rFonts w:ascii="Arial" w:hAnsi="Arial" w:cs="Arial"/>
        </w:rPr>
      </w:pPr>
      <w:r w:rsidRPr="00DB1BB1">
        <w:rPr>
          <w:rFonts w:ascii="Arial" w:hAnsi="Arial" w:cs="Arial"/>
        </w:rPr>
        <w:t>Self-organi</w:t>
      </w:r>
      <w:r w:rsidR="002111C0">
        <w:rPr>
          <w:rFonts w:ascii="Arial" w:hAnsi="Arial" w:cs="Arial"/>
        </w:rPr>
        <w:t>s</w:t>
      </w:r>
      <w:r w:rsidRPr="00DB1BB1">
        <w:rPr>
          <w:rFonts w:ascii="Arial" w:hAnsi="Arial" w:cs="Arial"/>
        </w:rPr>
        <w:t>ing maps (SOMs) are a form of unsupervised artificial neural network that projects high-dimensional data onto a lower-dimensional (typically two-dimensional) grid of nodes while preserving the topological relationships among observations. This two-stage approach first reduces the complexity of the multivariate cardiometabolic space and then applies a clustering algorithm to the reduced representation, which can reveal structure that may be obscured in the original high-dimensional space.</w:t>
      </w:r>
      <w:r w:rsidR="00704C93" w:rsidRPr="00704C93">
        <w:rPr>
          <w:rFonts w:ascii="Noto Sans" w:hAnsi="Noto Sans" w:cs="Noto Sans"/>
          <w:color w:val="000000"/>
          <w:spacing w:val="8"/>
          <w:sz w:val="23"/>
          <w:szCs w:val="23"/>
          <w:shd w:val="clear" w:color="auto" w:fill="FFFFFF"/>
        </w:rPr>
        <w:t xml:space="preserve"> </w:t>
      </w:r>
      <w:r w:rsidR="00704C93" w:rsidRPr="00704C93">
        <w:rPr>
          <w:rFonts w:ascii="Arial" w:hAnsi="Arial" w:cs="Arial"/>
        </w:rPr>
        <w:t>A</w:t>
      </w:r>
      <w:r w:rsidR="00704C93">
        <w:rPr>
          <w:rFonts w:ascii="Arial" w:hAnsi="Arial" w:cs="Arial"/>
        </w:rPr>
        <w:t xml:space="preserve">n SOM </w:t>
      </w:r>
      <w:r w:rsidR="00704C93" w:rsidRPr="00704C93">
        <w:rPr>
          <w:rFonts w:ascii="Arial" w:hAnsi="Arial" w:cs="Arial"/>
        </w:rPr>
        <w:t xml:space="preserve">was trained on the standardised cardiometabolic data using the </w:t>
      </w:r>
      <w:proofErr w:type="spellStart"/>
      <w:r w:rsidR="00704C93" w:rsidRPr="00704C93">
        <w:rPr>
          <w:rFonts w:ascii="Arial" w:hAnsi="Arial" w:cs="Arial"/>
        </w:rPr>
        <w:t>Numero</w:t>
      </w:r>
      <w:proofErr w:type="spellEnd"/>
      <w:r w:rsidR="00704C93" w:rsidRPr="00704C93">
        <w:rPr>
          <w:rFonts w:ascii="Arial" w:hAnsi="Arial" w:cs="Arial"/>
        </w:rPr>
        <w:t xml:space="preserve"> package in R</w:t>
      </w:r>
      <w:r w:rsidR="00704C93">
        <w:rPr>
          <w:rFonts w:ascii="Arial" w:hAnsi="Arial" w:cs="Arial"/>
        </w:rPr>
        <w:t xml:space="preserve"> </w:t>
      </w:r>
      <w:r w:rsidR="00704C93">
        <w:rPr>
          <w:rFonts w:ascii="Arial" w:hAnsi="Arial" w:cs="Arial"/>
        </w:rPr>
        <w:fldChar w:fldCharType="begin"/>
      </w:r>
      <w:r w:rsidR="00704C93">
        <w:rPr>
          <w:rFonts w:ascii="Arial" w:hAnsi="Arial" w:cs="Arial"/>
        </w:rPr>
        <w:instrText xml:space="preserve"> ADDIN EN.CITE &lt;EndNote&gt;&lt;Cite&gt;&lt;Author&gt;Gao&lt;/Author&gt;&lt;Year&gt;2019&lt;/Year&gt;&lt;RecNum&gt;176&lt;/RecNum&gt;&lt;DisplayText&gt;(1)&lt;/DisplayText&gt;&lt;record&gt;&lt;rec-number&gt;176&lt;/rec-number&gt;&lt;foreign-keys&gt;&lt;key app="EN" db-id="ptpv9v5280rspce09ss55xxua9xw2de2ffr5" timestamp="1783226490"&gt;176&lt;/key&gt;&lt;/foreign-keys&gt;&lt;ref-type name="Journal Article"&gt;17&lt;/ref-type&gt;&lt;contributors&gt;&lt;authors&gt;&lt;author&gt;Gao, S.&lt;/author&gt;&lt;author&gt;Mutter, S.&lt;/author&gt;&lt;author&gt;Casey, A.&lt;/author&gt;&lt;author&gt;Makinen, V. P.&lt;/author&gt;&lt;/authors&gt;&lt;/contributors&gt;&lt;auth-address&gt;Heart Health Theme, South Australian Health and Medical Research Institute, Adelaide, SA, Australia.&amp;#xD;School of Biological Sciences, University of Adelaide, Adelaide, SA, Australia.&amp;#xD;Computational Medicine, University of Oulu and Biocenter Oulu, Oulu, Finland.&lt;/auth-address&gt;&lt;titles&gt;&lt;title&gt;Numero: a statistical framework to define multivariable subgroups in complex population-based datasets&lt;/title&gt;&lt;secondary-title&gt;Int J Epidemiol&lt;/secondary-title&gt;&lt;/titles&gt;&lt;periodical&gt;&lt;full-title&gt;Int J Epidemiol&lt;/full-title&gt;&lt;/periodical&gt;&lt;pages&gt;369-374&lt;/pages&gt;&lt;volume&gt;48&lt;/volume&gt;&lt;number&gt;2&lt;/number&gt;&lt;edition&gt;2018/06/28&lt;/edition&gt;&lt;keywords&gt;&lt;keyword&gt;*Algorithms&lt;/keyword&gt;&lt;keyword&gt;Datasets as Topic&lt;/keyword&gt;&lt;keyword&gt;*Epidemiologic Methods&lt;/keyword&gt;&lt;keyword&gt;Humans&lt;/keyword&gt;&lt;keyword&gt;*Statistics as Topic&lt;/keyword&gt;&lt;keyword&gt;Multivariable statistics&lt;/keyword&gt;&lt;keyword&gt;data-driven subgrouping&lt;/keyword&gt;&lt;keyword&gt;population data&lt;/keyword&gt;&lt;keyword&gt;self-organizing map&lt;/keyword&gt;&lt;/keywords&gt;&lt;dates&gt;&lt;year&gt;2019&lt;/year&gt;&lt;pub-dates&gt;&lt;date&gt;Apr 1&lt;/date&gt;&lt;/pub-dates&gt;&lt;/dates&gt;&lt;isbn&gt;1464-3685 (Electronic)&amp;#xD;0300-5771 (Linking)&lt;/isbn&gt;&lt;accession-num&gt;29947762&lt;/accession-num&gt;&lt;urls&gt;&lt;related-urls&gt;&lt;url&gt;https://www.ncbi.nlm.nih.gov/pubmed/29947762&lt;/url&gt;&lt;/related-urls&gt;&lt;/urls&gt;&lt;electronic-resource-num&gt;10.1093/ije/dyy113&lt;/electronic-resource-num&gt;&lt;/record&gt;&lt;/Cite&gt;&lt;/EndNote&gt;</w:instrText>
      </w:r>
      <w:r w:rsidR="00704C93">
        <w:rPr>
          <w:rFonts w:ascii="Arial" w:hAnsi="Arial" w:cs="Arial"/>
        </w:rPr>
        <w:fldChar w:fldCharType="separate"/>
      </w:r>
      <w:r w:rsidR="00704C93">
        <w:rPr>
          <w:rFonts w:ascii="Arial" w:hAnsi="Arial" w:cs="Arial"/>
          <w:noProof/>
        </w:rPr>
        <w:t>(1)</w:t>
      </w:r>
      <w:r w:rsidR="00704C93">
        <w:rPr>
          <w:rFonts w:ascii="Arial" w:hAnsi="Arial" w:cs="Arial"/>
        </w:rPr>
        <w:fldChar w:fldCharType="end"/>
      </w:r>
      <w:r w:rsidR="00704C93" w:rsidRPr="00704C93">
        <w:rPr>
          <w:rFonts w:ascii="Arial" w:hAnsi="Arial" w:cs="Arial"/>
        </w:rPr>
        <w:t xml:space="preserve">. The </w:t>
      </w:r>
      <w:proofErr w:type="spellStart"/>
      <w:r w:rsidR="00704C93" w:rsidRPr="00704C93">
        <w:rPr>
          <w:rFonts w:ascii="Arial" w:hAnsi="Arial" w:cs="Arial"/>
        </w:rPr>
        <w:t>Numero</w:t>
      </w:r>
      <w:proofErr w:type="spellEnd"/>
      <w:r w:rsidR="00704C93" w:rsidRPr="00704C93">
        <w:rPr>
          <w:rFonts w:ascii="Arial" w:hAnsi="Arial" w:cs="Arial"/>
        </w:rPr>
        <w:t xml:space="preserve"> package employs a balanced circular map topology with an automated grid size determined by the dataset dimensions. Following SOM training, the centroid vectors associated with each map node were extracted and subjected to k-medoids (PAM) clustering using Euclidean distance. Each participant was then assigned the cluster label of their best-matching SOM node. The resulting SOM component planes for all 14 cardiometabolic indicators are presented in Figure </w:t>
      </w:r>
      <w:r w:rsidR="00704C93">
        <w:rPr>
          <w:rFonts w:ascii="Arial" w:hAnsi="Arial" w:cs="Arial"/>
        </w:rPr>
        <w:t>S6</w:t>
      </w:r>
      <w:r w:rsidR="00704C93" w:rsidRPr="00704C93">
        <w:rPr>
          <w:rFonts w:ascii="Arial" w:hAnsi="Arial" w:cs="Arial"/>
        </w:rPr>
        <w:t xml:space="preserve">, where colour gradients represent standardised variable values across the map surface and numbered labels (1–4) denote the four identified clusters. </w:t>
      </w:r>
      <w:r w:rsidR="00704C93" w:rsidRPr="0032261B">
        <w:rPr>
          <w:rFonts w:ascii="Arial" w:hAnsi="Arial" w:cs="Arial"/>
        </w:rPr>
        <w:t xml:space="preserve">Heatmaps illustrating the standardised cardiometabolic indicator means across </w:t>
      </w:r>
      <w:r w:rsidR="00704C93">
        <w:rPr>
          <w:rFonts w:ascii="Arial" w:hAnsi="Arial" w:cs="Arial"/>
        </w:rPr>
        <w:t xml:space="preserve">SOM </w:t>
      </w:r>
      <w:r w:rsidR="00704C93" w:rsidRPr="0032261B">
        <w:rPr>
          <w:rFonts w:ascii="Arial" w:hAnsi="Arial" w:cs="Arial"/>
        </w:rPr>
        <w:t xml:space="preserve">profiles, along with associations between </w:t>
      </w:r>
      <w:r w:rsidR="00704C93">
        <w:rPr>
          <w:rFonts w:ascii="Arial" w:hAnsi="Arial" w:cs="Arial"/>
        </w:rPr>
        <w:t>these profiles</w:t>
      </w:r>
      <w:r w:rsidR="00704C93" w:rsidRPr="0032261B">
        <w:rPr>
          <w:rFonts w:ascii="Arial" w:hAnsi="Arial" w:cs="Arial"/>
        </w:rPr>
        <w:t xml:space="preserve"> and wearable-derived sleep and physical activity metrics, are presented in Figures S</w:t>
      </w:r>
      <w:r w:rsidR="00704C93">
        <w:rPr>
          <w:rFonts w:ascii="Arial" w:hAnsi="Arial" w:cs="Arial"/>
        </w:rPr>
        <w:t>7</w:t>
      </w:r>
      <w:r w:rsidR="00704C93" w:rsidRPr="0032261B">
        <w:rPr>
          <w:rFonts w:ascii="Arial" w:hAnsi="Arial" w:cs="Arial"/>
        </w:rPr>
        <w:t xml:space="preserve"> and S</w:t>
      </w:r>
      <w:r w:rsidR="00704C93">
        <w:rPr>
          <w:rFonts w:ascii="Arial" w:hAnsi="Arial" w:cs="Arial"/>
        </w:rPr>
        <w:t>8</w:t>
      </w:r>
      <w:r w:rsidR="00704C93" w:rsidRPr="0032261B">
        <w:rPr>
          <w:rFonts w:ascii="Arial" w:hAnsi="Arial" w:cs="Arial"/>
        </w:rPr>
        <w:t>, respectively.</w:t>
      </w:r>
    </w:p>
    <w:p w14:paraId="23125DAE" w14:textId="77777777" w:rsidR="00894E7C" w:rsidRPr="00894E7C" w:rsidRDefault="00894E7C" w:rsidP="00894E7C">
      <w:pPr>
        <w:rPr>
          <w:rFonts w:ascii="Arial" w:hAnsi="Arial" w:cs="Arial"/>
        </w:rPr>
      </w:pPr>
      <w:r w:rsidRPr="00894E7C">
        <w:rPr>
          <w:rFonts w:ascii="Arial" w:hAnsi="Arial" w:cs="Arial"/>
          <w:b/>
          <w:bCs/>
        </w:rPr>
        <w:t>Discriminant Validity</w:t>
      </w:r>
    </w:p>
    <w:p w14:paraId="0391F3DD" w14:textId="3D13C6AA" w:rsidR="0072591E" w:rsidRPr="009F598B" w:rsidRDefault="00894E7C" w:rsidP="00D65C17">
      <w:pPr>
        <w:rPr>
          <w:rFonts w:ascii="Arial" w:hAnsi="Arial" w:cs="Arial"/>
        </w:rPr>
      </w:pPr>
      <w:r w:rsidRPr="00894E7C">
        <w:rPr>
          <w:rFonts w:ascii="Arial" w:hAnsi="Arial" w:cs="Arial"/>
        </w:rPr>
        <w:t>To compare the discriminant validity of the cluster solutions derived from each method, we computed partial eta-squared (partial η²) values from adjusted linear regression models (controlling for age, sex, ethnicity, and medication use) for each of the 1</w:t>
      </w:r>
      <w:r w:rsidR="00784D8D">
        <w:rPr>
          <w:rFonts w:ascii="Arial" w:hAnsi="Arial" w:cs="Arial"/>
        </w:rPr>
        <w:t>2</w:t>
      </w:r>
      <w:r w:rsidRPr="00894E7C">
        <w:rPr>
          <w:rFonts w:ascii="Arial" w:hAnsi="Arial" w:cs="Arial"/>
        </w:rPr>
        <w:t xml:space="preserve"> wearable-derived sleep and physical activity metrics, with cluster membership as the independent variable. Partial η² quantifies the proportion of variance in each outcome attributable to cluster membership after accounting for covariates, with larger values indicating greater between-cluster differentiation. For each clustering method, we calculated the mean partial η² averaged across all 12 metrics as a summary measure of overall discriminant validity. The LCA-derived solution demonstrated the highest average discriminant validity across metrics </w:t>
      </w:r>
      <w:r w:rsidR="001F442C">
        <w:rPr>
          <w:rFonts w:ascii="Arial" w:hAnsi="Arial" w:cs="Arial"/>
        </w:rPr>
        <w:t>(0.04</w:t>
      </w:r>
      <w:r w:rsidR="00243839">
        <w:rPr>
          <w:rFonts w:ascii="Arial" w:hAnsi="Arial" w:cs="Arial"/>
        </w:rPr>
        <w:t>4</w:t>
      </w:r>
      <w:r w:rsidR="001F442C">
        <w:rPr>
          <w:rFonts w:ascii="Arial" w:hAnsi="Arial" w:cs="Arial"/>
        </w:rPr>
        <w:t xml:space="preserve">) </w:t>
      </w:r>
      <w:r w:rsidRPr="00894E7C">
        <w:rPr>
          <w:rFonts w:ascii="Arial" w:hAnsi="Arial" w:cs="Arial"/>
        </w:rPr>
        <w:t>compared to the three alternative approaches (</w:t>
      </w:r>
      <w:r w:rsidR="001F442C">
        <w:rPr>
          <w:rFonts w:ascii="Arial" w:hAnsi="Arial" w:cs="Arial"/>
        </w:rPr>
        <w:t>k-medoids: 0.04</w:t>
      </w:r>
      <w:r w:rsidR="00243839">
        <w:rPr>
          <w:rFonts w:ascii="Arial" w:hAnsi="Arial" w:cs="Arial"/>
        </w:rPr>
        <w:t>3</w:t>
      </w:r>
      <w:r w:rsidR="001F442C">
        <w:rPr>
          <w:rFonts w:ascii="Arial" w:hAnsi="Arial" w:cs="Arial"/>
        </w:rPr>
        <w:t xml:space="preserve">, SOM: 0.039, LPA: 0.027; </w:t>
      </w:r>
      <w:r w:rsidR="0014288E">
        <w:rPr>
          <w:rFonts w:ascii="Arial" w:hAnsi="Arial" w:cs="Arial"/>
        </w:rPr>
        <w:t>Figure S9; Table S2</w:t>
      </w:r>
      <w:r w:rsidRPr="00894E7C">
        <w:rPr>
          <w:rFonts w:ascii="Arial" w:hAnsi="Arial" w:cs="Arial"/>
        </w:rPr>
        <w:t>), suggesting that clusters derived from binary cardiometabolic indicators via LCA yielded the most behaviourally distinct groupings with respect to objectively measured sleep and physical activity patterns.</w:t>
      </w:r>
    </w:p>
    <w:p w14:paraId="498AAE30" w14:textId="77777777" w:rsidR="004844CD" w:rsidRPr="00DB1BB1" w:rsidRDefault="004844CD">
      <w:pPr>
        <w:rPr>
          <w:rFonts w:ascii="Arial" w:hAnsi="Arial" w:cs="Arial"/>
          <w:b/>
          <w:bCs/>
        </w:rPr>
      </w:pPr>
      <w:r w:rsidRPr="00DB1BB1">
        <w:rPr>
          <w:rFonts w:ascii="Arial" w:hAnsi="Arial" w:cs="Arial"/>
          <w:b/>
          <w:bCs/>
        </w:rPr>
        <w:br w:type="page"/>
      </w:r>
    </w:p>
    <w:p w14:paraId="53F814A0" w14:textId="32322A3A" w:rsidR="00D65C17" w:rsidRPr="009F598B" w:rsidRDefault="00D65C17" w:rsidP="00D65C17">
      <w:pPr>
        <w:rPr>
          <w:rFonts w:ascii="Arial" w:hAnsi="Arial" w:cs="Arial"/>
          <w:b/>
          <w:bCs/>
        </w:rPr>
      </w:pPr>
      <w:r w:rsidRPr="009F598B">
        <w:rPr>
          <w:rFonts w:ascii="Arial" w:hAnsi="Arial" w:cs="Arial"/>
          <w:b/>
          <w:bCs/>
        </w:rPr>
        <w:lastRenderedPageBreak/>
        <w:t>SUPPLEMENTARY FIGURES</w:t>
      </w:r>
    </w:p>
    <w:p w14:paraId="4B1421F1" w14:textId="039A5D40" w:rsidR="00D71281" w:rsidRPr="009F598B" w:rsidRDefault="006A6F3A" w:rsidP="006A6F3A">
      <w:pPr>
        <w:jc w:val="center"/>
        <w:rPr>
          <w:rFonts w:ascii="Arial" w:hAnsi="Arial" w:cs="Arial"/>
        </w:rPr>
      </w:pPr>
      <w:r w:rsidRPr="009F598B">
        <w:rPr>
          <w:rFonts w:ascii="Arial" w:hAnsi="Arial" w:cs="Arial"/>
          <w:noProof/>
        </w:rPr>
        <w:drawing>
          <wp:inline distT="0" distB="0" distL="0" distR="0" wp14:anchorId="01C2AE22" wp14:editId="41244E21">
            <wp:extent cx="3275330" cy="3126709"/>
            <wp:effectExtent l="0" t="0" r="1270" b="0"/>
            <wp:docPr id="1827149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t="12854"/>
                    <a:stretch>
                      <a:fillRect/>
                    </a:stretch>
                  </pic:blipFill>
                  <pic:spPr bwMode="auto">
                    <a:xfrm>
                      <a:off x="0" y="0"/>
                      <a:ext cx="3277362" cy="3128649"/>
                    </a:xfrm>
                    <a:prstGeom prst="rect">
                      <a:avLst/>
                    </a:prstGeom>
                    <a:noFill/>
                    <a:ln>
                      <a:noFill/>
                    </a:ln>
                    <a:extLst>
                      <a:ext uri="{53640926-AAD7-44D8-BBD7-CCE9431645EC}">
                        <a14:shadowObscured xmlns:a14="http://schemas.microsoft.com/office/drawing/2010/main"/>
                      </a:ext>
                    </a:extLst>
                  </pic:spPr>
                </pic:pic>
              </a:graphicData>
            </a:graphic>
          </wp:inline>
        </w:drawing>
      </w:r>
    </w:p>
    <w:p w14:paraId="67A16E17" w14:textId="384F138B" w:rsidR="006A6F3A" w:rsidRPr="009F598B" w:rsidRDefault="006A6F3A" w:rsidP="00D75E5A">
      <w:pPr>
        <w:rPr>
          <w:rFonts w:ascii="Arial" w:hAnsi="Arial" w:cs="Arial"/>
          <w:sz w:val="20"/>
          <w:szCs w:val="20"/>
        </w:rPr>
      </w:pPr>
      <w:r w:rsidRPr="009F598B">
        <w:rPr>
          <w:rFonts w:ascii="Arial" w:hAnsi="Arial" w:cs="Arial"/>
          <w:b/>
          <w:bCs/>
          <w:sz w:val="20"/>
          <w:szCs w:val="20"/>
        </w:rPr>
        <w:t>Figure S1</w:t>
      </w:r>
      <w:r w:rsidRPr="009F598B">
        <w:rPr>
          <w:rFonts w:ascii="Arial" w:hAnsi="Arial" w:cs="Arial"/>
          <w:sz w:val="20"/>
          <w:szCs w:val="20"/>
        </w:rPr>
        <w:t> Bayesian Information Criterion (BIC) values across different numbers of latent classes in the Latent Class Analysis (LCA). The optimal model is indicated by the lowest BIC value, observed at the 4-class solution (BIC ≈ 7,825), suggesting that a 4-class model provides the best balance between model fit and parsimony.</w:t>
      </w:r>
    </w:p>
    <w:p w14:paraId="73BC6DA2" w14:textId="23255F18" w:rsidR="006D6CAF" w:rsidRPr="009F598B" w:rsidRDefault="006D6CAF" w:rsidP="00D75E5A">
      <w:pPr>
        <w:rPr>
          <w:rFonts w:ascii="Arial" w:hAnsi="Arial" w:cs="Arial"/>
          <w:sz w:val="28"/>
          <w:szCs w:val="28"/>
        </w:rPr>
      </w:pPr>
      <w:r w:rsidRPr="009F598B">
        <w:rPr>
          <w:rFonts w:ascii="Arial" w:hAnsi="Arial" w:cs="Arial"/>
          <w:noProof/>
          <w:sz w:val="28"/>
          <w:szCs w:val="28"/>
        </w:rPr>
        <w:drawing>
          <wp:inline distT="0" distB="0" distL="0" distR="0" wp14:anchorId="78E5CC49" wp14:editId="640B5E16">
            <wp:extent cx="5724525" cy="3286125"/>
            <wp:effectExtent l="0" t="0" r="9525" b="9525"/>
            <wp:docPr id="3604066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inline>
        </w:drawing>
      </w:r>
    </w:p>
    <w:p w14:paraId="1EFE2534" w14:textId="4AE0DF4F" w:rsidR="006D6CAF" w:rsidRPr="009F598B" w:rsidRDefault="006D6CAF" w:rsidP="006D6CAF">
      <w:pPr>
        <w:rPr>
          <w:rFonts w:ascii="Arial" w:hAnsi="Arial" w:cs="Arial"/>
          <w:noProof/>
          <w:sz w:val="20"/>
          <w:szCs w:val="20"/>
        </w:rPr>
      </w:pPr>
      <w:r w:rsidRPr="009F598B">
        <w:rPr>
          <w:rFonts w:ascii="Arial" w:hAnsi="Arial" w:cs="Arial"/>
          <w:b/>
          <w:bCs/>
          <w:sz w:val="20"/>
          <w:szCs w:val="20"/>
        </w:rPr>
        <w:t xml:space="preserve">Figure S2 </w:t>
      </w:r>
      <w:r w:rsidR="009C1427" w:rsidRPr="009F598B">
        <w:rPr>
          <w:rFonts w:ascii="Arial" w:hAnsi="Arial" w:cs="Arial"/>
          <w:b/>
          <w:bCs/>
          <w:sz w:val="20"/>
          <w:szCs w:val="20"/>
        </w:rPr>
        <w:t xml:space="preserve">Heatmap of standardised cardiometabolic indicator means across </w:t>
      </w:r>
      <w:r w:rsidRPr="009F598B">
        <w:rPr>
          <w:rFonts w:ascii="Arial" w:hAnsi="Arial" w:cs="Arial"/>
          <w:b/>
          <w:bCs/>
          <w:sz w:val="20"/>
          <w:szCs w:val="20"/>
        </w:rPr>
        <w:t xml:space="preserve">latent profile </w:t>
      </w:r>
      <w:r w:rsidR="009C1427" w:rsidRPr="009F598B">
        <w:rPr>
          <w:rFonts w:ascii="Arial" w:hAnsi="Arial" w:cs="Arial"/>
          <w:b/>
          <w:bCs/>
          <w:sz w:val="20"/>
          <w:szCs w:val="20"/>
        </w:rPr>
        <w:t>clusters</w:t>
      </w:r>
      <w:r w:rsidRPr="009F598B">
        <w:rPr>
          <w:rFonts w:ascii="Arial" w:hAnsi="Arial" w:cs="Arial"/>
          <w:b/>
          <w:bCs/>
          <w:sz w:val="20"/>
          <w:szCs w:val="20"/>
        </w:rPr>
        <w:t>.</w:t>
      </w:r>
      <w:r w:rsidRPr="009F598B">
        <w:rPr>
          <w:rFonts w:ascii="Arial" w:hAnsi="Arial" w:cs="Arial"/>
          <w:sz w:val="20"/>
          <w:szCs w:val="20"/>
        </w:rPr>
        <w:t xml:space="preserve"> Heatmap illustrating standardised cardiometabolic indicator means within each of the four latent classes identified using latent profile analysis</w:t>
      </w:r>
      <w:r w:rsidR="009C1427" w:rsidRPr="009F598B">
        <w:rPr>
          <w:rFonts w:ascii="Arial" w:hAnsi="Arial" w:cs="Arial"/>
          <w:sz w:val="20"/>
          <w:szCs w:val="20"/>
        </w:rPr>
        <w:t xml:space="preserve"> (LPA)</w:t>
      </w:r>
      <w:r w:rsidRPr="009F598B">
        <w:rPr>
          <w:rFonts w:ascii="Arial" w:hAnsi="Arial" w:cs="Arial"/>
          <w:sz w:val="20"/>
          <w:szCs w:val="20"/>
        </w:rPr>
        <w:t xml:space="preserve">. Darker red shading indicates higher standardised cardiometabolic indicator means. Abbreviations: HDL, high-density lipoprotein; LDL, low-density lipoprotein; FPG, fasting plasma glucose; HbA1c, glycated haemoglobin; HOMA-IR, </w:t>
      </w:r>
      <w:r w:rsidRPr="009F598B">
        <w:rPr>
          <w:rFonts w:ascii="Arial" w:hAnsi="Arial" w:cs="Arial"/>
          <w:sz w:val="20"/>
          <w:szCs w:val="20"/>
        </w:rPr>
        <w:lastRenderedPageBreak/>
        <w:t>homeostatic model assessment of insulin resistance; SBP, systolic blood pressure; DBP, diastolic blood pressure; hsCRP, high-sensitivity C-reactive protein</w:t>
      </w:r>
      <w:r w:rsidRPr="009F598B">
        <w:rPr>
          <w:rFonts w:ascii="Arial" w:hAnsi="Arial" w:cs="Arial"/>
          <w:noProof/>
          <w:sz w:val="20"/>
          <w:szCs w:val="20"/>
        </w:rPr>
        <w:t>.</w:t>
      </w:r>
    </w:p>
    <w:p w14:paraId="5ABDD1A9" w14:textId="4CAD8659" w:rsidR="006D6CAF" w:rsidRPr="009F598B" w:rsidRDefault="006D6CAF" w:rsidP="006D6CAF">
      <w:pPr>
        <w:rPr>
          <w:rFonts w:ascii="Arial" w:hAnsi="Arial" w:cs="Arial"/>
          <w:sz w:val="20"/>
          <w:szCs w:val="20"/>
        </w:rPr>
      </w:pPr>
      <w:r w:rsidRPr="009F598B">
        <w:rPr>
          <w:rFonts w:ascii="Arial" w:hAnsi="Arial" w:cs="Arial"/>
          <w:noProof/>
          <w:sz w:val="22"/>
          <w:szCs w:val="22"/>
        </w:rPr>
        <w:drawing>
          <wp:inline distT="0" distB="0" distL="0" distR="0" wp14:anchorId="3938D3D5" wp14:editId="54237030">
            <wp:extent cx="5724525" cy="3286125"/>
            <wp:effectExtent l="0" t="0" r="9525" b="9525"/>
            <wp:docPr id="20449091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inline>
        </w:drawing>
      </w:r>
      <w:r w:rsidRPr="009F598B">
        <w:rPr>
          <w:rFonts w:ascii="Arial" w:hAnsi="Arial" w:cs="Arial"/>
          <w:b/>
          <w:bCs/>
          <w:sz w:val="20"/>
          <w:szCs w:val="20"/>
        </w:rPr>
        <w:t xml:space="preserve">Figure S3 Associations between cardiometabolic phenotypes and wearable-derived sleep and physical activity metrics. </w:t>
      </w:r>
      <w:r w:rsidRPr="009F598B">
        <w:rPr>
          <w:rFonts w:ascii="Arial" w:hAnsi="Arial" w:cs="Arial"/>
          <w:sz w:val="20"/>
          <w:szCs w:val="20"/>
        </w:rPr>
        <w:t xml:space="preserve">Estimated marginal means (±95% confidence intervals) of multidimensional sleep and physical activity metrics across the four latent cardiometabolic clusters identified by latent class analysis, from regression models adjusted for age, sex, ethnicity and medication use (blood pressure, cholesterol and diabetes). Significant differences between clusters are indicated by asterisks (*p&lt;0.05, **p&lt;0.01, ***p&lt;0.001). </w:t>
      </w:r>
    </w:p>
    <w:p w14:paraId="17B1B9F1" w14:textId="18371CA8" w:rsidR="002922D7" w:rsidRPr="009F598B" w:rsidRDefault="002922D7">
      <w:pPr>
        <w:rPr>
          <w:rFonts w:ascii="Arial" w:hAnsi="Arial" w:cs="Arial"/>
          <w:sz w:val="20"/>
          <w:szCs w:val="20"/>
        </w:rPr>
      </w:pPr>
      <w:r w:rsidRPr="009F598B">
        <w:rPr>
          <w:rFonts w:ascii="Arial" w:hAnsi="Arial" w:cs="Arial"/>
          <w:sz w:val="20"/>
          <w:szCs w:val="20"/>
        </w:rPr>
        <w:br w:type="page"/>
      </w:r>
    </w:p>
    <w:p w14:paraId="7B1D7397" w14:textId="08D05DCC" w:rsidR="006D6CAF" w:rsidRPr="009F598B" w:rsidRDefault="000E51EE" w:rsidP="006D6CAF">
      <w:pPr>
        <w:rPr>
          <w:rFonts w:ascii="Arial" w:hAnsi="Arial" w:cs="Arial"/>
          <w:sz w:val="22"/>
          <w:szCs w:val="22"/>
        </w:rPr>
      </w:pPr>
      <w:r w:rsidRPr="009F598B">
        <w:rPr>
          <w:rFonts w:ascii="Arial" w:hAnsi="Arial" w:cs="Arial"/>
          <w:noProof/>
          <w:sz w:val="22"/>
          <w:szCs w:val="22"/>
        </w:rPr>
        <w:lastRenderedPageBreak/>
        <w:drawing>
          <wp:inline distT="0" distB="0" distL="0" distR="0" wp14:anchorId="75537660" wp14:editId="2B1CBECC">
            <wp:extent cx="5724525" cy="3286125"/>
            <wp:effectExtent l="0" t="0" r="9525" b="9525"/>
            <wp:docPr id="1435323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3286125"/>
                    </a:xfrm>
                    <a:prstGeom prst="rect">
                      <a:avLst/>
                    </a:prstGeom>
                    <a:noFill/>
                    <a:ln>
                      <a:noFill/>
                    </a:ln>
                  </pic:spPr>
                </pic:pic>
              </a:graphicData>
            </a:graphic>
          </wp:inline>
        </w:drawing>
      </w:r>
    </w:p>
    <w:p w14:paraId="7BC16EF8" w14:textId="791E9B4D" w:rsidR="002922D7" w:rsidRPr="009F598B" w:rsidRDefault="000E51EE" w:rsidP="000E51EE">
      <w:pPr>
        <w:rPr>
          <w:rFonts w:ascii="Arial" w:hAnsi="Arial" w:cs="Arial"/>
          <w:noProof/>
          <w:sz w:val="20"/>
          <w:szCs w:val="20"/>
        </w:rPr>
      </w:pPr>
      <w:r w:rsidRPr="009F598B">
        <w:rPr>
          <w:rFonts w:ascii="Arial" w:hAnsi="Arial" w:cs="Arial"/>
          <w:b/>
          <w:bCs/>
          <w:sz w:val="20"/>
          <w:szCs w:val="20"/>
        </w:rPr>
        <w:t xml:space="preserve">Figure S4 </w:t>
      </w:r>
      <w:r w:rsidR="009C1427" w:rsidRPr="009F598B">
        <w:rPr>
          <w:rFonts w:ascii="Arial" w:hAnsi="Arial" w:cs="Arial"/>
          <w:b/>
          <w:bCs/>
          <w:sz w:val="20"/>
          <w:szCs w:val="20"/>
        </w:rPr>
        <w:t>Heatmap of standardised cardiometabolic indicator means across k-medoids clusters</w:t>
      </w:r>
      <w:r w:rsidRPr="009F598B">
        <w:rPr>
          <w:rFonts w:ascii="Arial" w:hAnsi="Arial" w:cs="Arial"/>
          <w:b/>
          <w:bCs/>
          <w:sz w:val="20"/>
          <w:szCs w:val="20"/>
        </w:rPr>
        <w:t>.</w:t>
      </w:r>
      <w:r w:rsidRPr="009F598B">
        <w:rPr>
          <w:rFonts w:ascii="Arial" w:hAnsi="Arial" w:cs="Arial"/>
          <w:sz w:val="20"/>
          <w:szCs w:val="20"/>
        </w:rPr>
        <w:t xml:space="preserve"> Heatmap illustrating standardised cardiometabolic indicator means within each of the four classes identified using k-medoids. Darker red shading indicates higher standardised cardiometabolic indicator means. Abbreviations: HDL, high-density lipoprotein; LDL, low-density lipoprotein; FPG, fasting plasma glucose; HbA1c, glycated haemoglobin; HOMA-IR, homeostatic model assessment of insulin resistance; SBP, systolic blood pressure; DBP, diastolic blood pressure; hsCRP, high-sensitivity C-reactive protein</w:t>
      </w:r>
      <w:r w:rsidRPr="009F598B">
        <w:rPr>
          <w:rFonts w:ascii="Arial" w:hAnsi="Arial" w:cs="Arial"/>
          <w:noProof/>
          <w:sz w:val="20"/>
          <w:szCs w:val="20"/>
        </w:rPr>
        <w:t>.</w:t>
      </w:r>
    </w:p>
    <w:p w14:paraId="549CA8D9" w14:textId="46CB1CD9" w:rsidR="000E51EE" w:rsidRPr="009F598B" w:rsidRDefault="000E51EE" w:rsidP="006D6CAF">
      <w:pPr>
        <w:rPr>
          <w:rFonts w:ascii="Arial" w:hAnsi="Arial" w:cs="Arial"/>
          <w:sz w:val="22"/>
          <w:szCs w:val="22"/>
        </w:rPr>
      </w:pPr>
      <w:r w:rsidRPr="009F598B">
        <w:rPr>
          <w:rFonts w:ascii="Arial" w:hAnsi="Arial" w:cs="Arial"/>
          <w:noProof/>
          <w:sz w:val="22"/>
          <w:szCs w:val="22"/>
        </w:rPr>
        <w:drawing>
          <wp:inline distT="0" distB="0" distL="0" distR="0" wp14:anchorId="20A96CD2" wp14:editId="0AC9E15D">
            <wp:extent cx="5638800" cy="3236915"/>
            <wp:effectExtent l="0" t="0" r="0" b="1905"/>
            <wp:docPr id="14853585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49004" cy="3242773"/>
                    </a:xfrm>
                    <a:prstGeom prst="rect">
                      <a:avLst/>
                    </a:prstGeom>
                    <a:noFill/>
                    <a:ln>
                      <a:noFill/>
                    </a:ln>
                  </pic:spPr>
                </pic:pic>
              </a:graphicData>
            </a:graphic>
          </wp:inline>
        </w:drawing>
      </w:r>
      <w:r w:rsidRPr="009F598B">
        <w:rPr>
          <w:rFonts w:ascii="Arial" w:hAnsi="Arial" w:cs="Arial"/>
          <w:b/>
          <w:bCs/>
          <w:sz w:val="20"/>
          <w:szCs w:val="20"/>
        </w:rPr>
        <w:t xml:space="preserve">Figure S5 Associations between cardiometabolic phenotypes and wearable-derived sleep and physical activity metrics. </w:t>
      </w:r>
      <w:r w:rsidRPr="009F598B">
        <w:rPr>
          <w:rFonts w:ascii="Arial" w:hAnsi="Arial" w:cs="Arial"/>
          <w:sz w:val="20"/>
          <w:szCs w:val="20"/>
        </w:rPr>
        <w:t xml:space="preserve">Estimated marginal means (±95% confidence intervals) of multidimensional sleep and physical activity metrics across the four latent cardiometabolic clusters identified by </w:t>
      </w:r>
      <w:r w:rsidR="00842AB1" w:rsidRPr="009F598B">
        <w:rPr>
          <w:rFonts w:ascii="Arial" w:hAnsi="Arial" w:cs="Arial"/>
          <w:sz w:val="20"/>
          <w:szCs w:val="20"/>
        </w:rPr>
        <w:t>k-medoids</w:t>
      </w:r>
      <w:r w:rsidRPr="009F598B">
        <w:rPr>
          <w:rFonts w:ascii="Arial" w:hAnsi="Arial" w:cs="Arial"/>
          <w:sz w:val="20"/>
          <w:szCs w:val="20"/>
        </w:rPr>
        <w:t xml:space="preserve">, from regression models adjusted for age, sex, ethnicity and medication use </w:t>
      </w:r>
      <w:r w:rsidRPr="009F598B">
        <w:rPr>
          <w:rFonts w:ascii="Arial" w:hAnsi="Arial" w:cs="Arial"/>
          <w:sz w:val="20"/>
          <w:szCs w:val="20"/>
        </w:rPr>
        <w:lastRenderedPageBreak/>
        <w:t>(blood pressure, cholesterol and diabetes). Significant differences between clusters are indicated by asterisks (*p&lt;0.05, **p&lt;0.01, ***p&lt;0.001).</w:t>
      </w:r>
    </w:p>
    <w:p w14:paraId="07E9DC5F" w14:textId="5F70F4D1" w:rsidR="00CD149E" w:rsidRPr="009F598B" w:rsidRDefault="00704C93" w:rsidP="00704C93">
      <w:pPr>
        <w:jc w:val="center"/>
        <w:rPr>
          <w:rFonts w:ascii="Arial" w:hAnsi="Arial" w:cs="Arial"/>
          <w:sz w:val="22"/>
          <w:szCs w:val="22"/>
        </w:rPr>
      </w:pPr>
      <w:r w:rsidRPr="009F598B">
        <w:rPr>
          <w:rFonts w:ascii="Arial" w:hAnsi="Arial" w:cs="Arial"/>
          <w:noProof/>
          <w:sz w:val="22"/>
          <w:szCs w:val="22"/>
        </w:rPr>
        <w:drawing>
          <wp:inline distT="0" distB="0" distL="0" distR="0" wp14:anchorId="0B6CE86B" wp14:editId="16F0E093">
            <wp:extent cx="4839419" cy="4994906"/>
            <wp:effectExtent l="0" t="0" r="0" b="0"/>
            <wp:docPr id="1581996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996730" name=""/>
                    <pic:cNvPicPr/>
                  </pic:nvPicPr>
                  <pic:blipFill>
                    <a:blip r:embed="rId9"/>
                    <a:stretch>
                      <a:fillRect/>
                    </a:stretch>
                  </pic:blipFill>
                  <pic:spPr>
                    <a:xfrm>
                      <a:off x="0" y="0"/>
                      <a:ext cx="4860321" cy="5016480"/>
                    </a:xfrm>
                    <a:prstGeom prst="rect">
                      <a:avLst/>
                    </a:prstGeom>
                  </pic:spPr>
                </pic:pic>
              </a:graphicData>
            </a:graphic>
          </wp:inline>
        </w:drawing>
      </w:r>
    </w:p>
    <w:p w14:paraId="6A941A55" w14:textId="30B08DE0" w:rsidR="00106927" w:rsidRPr="009F598B" w:rsidRDefault="00775406" w:rsidP="00D65C17">
      <w:pPr>
        <w:rPr>
          <w:rFonts w:ascii="Arial" w:hAnsi="Arial" w:cs="Arial"/>
          <w:sz w:val="20"/>
          <w:szCs w:val="20"/>
        </w:rPr>
      </w:pPr>
      <w:r w:rsidRPr="009F598B">
        <w:rPr>
          <w:rFonts w:ascii="Arial" w:hAnsi="Arial" w:cs="Arial"/>
          <w:b/>
          <w:bCs/>
          <w:sz w:val="20"/>
          <w:szCs w:val="20"/>
        </w:rPr>
        <w:t>Figure S6 Self-organising map (SOM) component planes of 14 cardiometabolic indicators with k-medoids cluster assignment.</w:t>
      </w:r>
      <w:r w:rsidRPr="009F598B">
        <w:rPr>
          <w:rFonts w:ascii="Arial" w:hAnsi="Arial" w:cs="Arial"/>
          <w:sz w:val="20"/>
          <w:szCs w:val="20"/>
        </w:rPr>
        <w:t xml:space="preserve"> Each </w:t>
      </w:r>
      <w:r w:rsidR="00E20FF4" w:rsidRPr="009F598B">
        <w:rPr>
          <w:rFonts w:ascii="Arial" w:hAnsi="Arial" w:cs="Arial"/>
          <w:sz w:val="20"/>
          <w:szCs w:val="20"/>
        </w:rPr>
        <w:t>sub-</w:t>
      </w:r>
      <w:r w:rsidRPr="009F598B">
        <w:rPr>
          <w:rFonts w:ascii="Arial" w:hAnsi="Arial" w:cs="Arial"/>
          <w:sz w:val="20"/>
          <w:szCs w:val="20"/>
        </w:rPr>
        <w:t xml:space="preserve">panel </w:t>
      </w:r>
      <w:r w:rsidR="00E20FF4" w:rsidRPr="009F598B">
        <w:rPr>
          <w:rFonts w:ascii="Arial" w:hAnsi="Arial" w:cs="Arial"/>
          <w:sz w:val="20"/>
          <w:szCs w:val="20"/>
        </w:rPr>
        <w:t>represents a self-organi</w:t>
      </w:r>
      <w:r w:rsidR="002111C0">
        <w:rPr>
          <w:rFonts w:ascii="Arial" w:hAnsi="Arial" w:cs="Arial"/>
          <w:sz w:val="20"/>
          <w:szCs w:val="20"/>
        </w:rPr>
        <w:t>s</w:t>
      </w:r>
      <w:r w:rsidR="00E20FF4" w:rsidRPr="009F598B">
        <w:rPr>
          <w:rFonts w:ascii="Arial" w:hAnsi="Arial" w:cs="Arial"/>
          <w:sz w:val="20"/>
          <w:szCs w:val="20"/>
        </w:rPr>
        <w:t xml:space="preserve">ing map (SOM) unit, with colours indicating the standardized value of the corresponding variable (blue = lower values; </w:t>
      </w:r>
      <w:r w:rsidR="008E0B33" w:rsidRPr="009F598B">
        <w:rPr>
          <w:rFonts w:ascii="Arial" w:hAnsi="Arial" w:cs="Arial"/>
          <w:sz w:val="20"/>
          <w:szCs w:val="20"/>
        </w:rPr>
        <w:t xml:space="preserve">white = intermediate values; </w:t>
      </w:r>
      <w:r w:rsidR="00E20FF4" w:rsidRPr="009F598B">
        <w:rPr>
          <w:rFonts w:ascii="Arial" w:hAnsi="Arial" w:cs="Arial"/>
          <w:sz w:val="20"/>
          <w:szCs w:val="20"/>
        </w:rPr>
        <w:t>red = higher values)</w:t>
      </w:r>
      <w:r w:rsidRPr="009F598B">
        <w:rPr>
          <w:rFonts w:ascii="Arial" w:hAnsi="Arial" w:cs="Arial"/>
          <w:sz w:val="20"/>
          <w:szCs w:val="20"/>
        </w:rPr>
        <w:t xml:space="preserve">. </w:t>
      </w:r>
      <w:r w:rsidR="008E0B33" w:rsidRPr="009F598B">
        <w:rPr>
          <w:rFonts w:ascii="Arial" w:hAnsi="Arial" w:cs="Arial"/>
          <w:sz w:val="20"/>
          <w:szCs w:val="20"/>
        </w:rPr>
        <w:t xml:space="preserve">Similar colour patterns across component planes indicate correlated variables and reveal underlying multidimensional relationships. </w:t>
      </w:r>
      <w:r w:rsidR="00B119D6" w:rsidRPr="009F598B">
        <w:rPr>
          <w:rFonts w:ascii="Arial" w:hAnsi="Arial" w:cs="Arial"/>
          <w:sz w:val="20"/>
          <w:szCs w:val="20"/>
        </w:rPr>
        <w:t xml:space="preserve">Cluster labels (1–4) on each map node were derived from k-medoids (PAM) clustering of the SOM </w:t>
      </w:r>
      <w:r w:rsidRPr="009F598B">
        <w:rPr>
          <w:rFonts w:ascii="Arial" w:hAnsi="Arial" w:cs="Arial"/>
          <w:sz w:val="20"/>
          <w:szCs w:val="20"/>
        </w:rPr>
        <w:t xml:space="preserve">centroids. </w:t>
      </w:r>
      <w:r w:rsidR="008E0B33" w:rsidRPr="009F598B">
        <w:rPr>
          <w:rFonts w:ascii="Arial" w:hAnsi="Arial" w:cs="Arial"/>
          <w:sz w:val="20"/>
          <w:szCs w:val="20"/>
        </w:rPr>
        <w:t>Visual inspection of the component planes revealed co-localisation of elevated BMI, waist circumference, visceral fat area, triglycerides, HOMA-IR, and uric acid in Cluster 3, suggesting a profile characterised by central adiposity and insulin resistance. HDL cholesterol displayed an opposing spatial gradient, with the highest values concentrated in Cluster 1</w:t>
      </w:r>
      <w:r w:rsidR="006C2E64" w:rsidRPr="009F598B">
        <w:rPr>
          <w:rFonts w:ascii="Arial" w:hAnsi="Arial" w:cs="Arial"/>
          <w:sz w:val="20"/>
          <w:szCs w:val="20"/>
        </w:rPr>
        <w:t xml:space="preserve"> </w:t>
      </w:r>
      <w:r w:rsidR="008E0B33" w:rsidRPr="009F598B">
        <w:rPr>
          <w:rFonts w:ascii="Arial" w:hAnsi="Arial" w:cs="Arial"/>
          <w:sz w:val="20"/>
          <w:szCs w:val="20"/>
        </w:rPr>
        <w:t xml:space="preserve">where adiposity markers were </w:t>
      </w:r>
      <w:r w:rsidR="00E824AF" w:rsidRPr="009F598B">
        <w:rPr>
          <w:rFonts w:ascii="Arial" w:hAnsi="Arial" w:cs="Arial"/>
          <w:sz w:val="20"/>
          <w:szCs w:val="20"/>
        </w:rPr>
        <w:t xml:space="preserve">also the </w:t>
      </w:r>
      <w:r w:rsidR="008E0B33" w:rsidRPr="009F598B">
        <w:rPr>
          <w:rFonts w:ascii="Arial" w:hAnsi="Arial" w:cs="Arial"/>
          <w:sz w:val="20"/>
          <w:szCs w:val="20"/>
        </w:rPr>
        <w:t xml:space="preserve">lowest. LDL cholesterol also showed elevated values in Cluster 1, largely independent of the adiposity and blood pressure gradients. Systolic and diastolic blood pressure exhibited strong spatial concordance, with the highest values localised in Cluster 2, indicating a hypertensive phenotype partially independent of the adiposity-driven cluster. Cluster 4 was </w:t>
      </w:r>
      <w:r w:rsidR="00E824AF" w:rsidRPr="009F598B">
        <w:rPr>
          <w:rFonts w:ascii="Arial" w:hAnsi="Arial" w:cs="Arial"/>
          <w:sz w:val="20"/>
          <w:szCs w:val="20"/>
        </w:rPr>
        <w:t xml:space="preserve">largely </w:t>
      </w:r>
      <w:r w:rsidR="008E0B33" w:rsidRPr="009F598B">
        <w:rPr>
          <w:rFonts w:ascii="Arial" w:hAnsi="Arial" w:cs="Arial"/>
          <w:sz w:val="20"/>
          <w:szCs w:val="20"/>
        </w:rPr>
        <w:t xml:space="preserve">characterised by elevated fasting glucose and HbA1c in the absence of pronounced adiposity, suggesting a </w:t>
      </w:r>
      <w:proofErr w:type="spellStart"/>
      <w:r w:rsidR="008E0B33" w:rsidRPr="009F598B">
        <w:rPr>
          <w:rFonts w:ascii="Arial" w:hAnsi="Arial" w:cs="Arial"/>
          <w:sz w:val="20"/>
          <w:szCs w:val="20"/>
        </w:rPr>
        <w:t>dysglycaemic</w:t>
      </w:r>
      <w:proofErr w:type="spellEnd"/>
      <w:r w:rsidR="008E0B33" w:rsidRPr="009F598B">
        <w:rPr>
          <w:rFonts w:ascii="Arial" w:hAnsi="Arial" w:cs="Arial"/>
          <w:sz w:val="20"/>
          <w:szCs w:val="20"/>
        </w:rPr>
        <w:t xml:space="preserve"> phenotype. Abbreviations: BMI, body mass index; </w:t>
      </w:r>
      <w:proofErr w:type="spellStart"/>
      <w:r w:rsidR="008E0B33" w:rsidRPr="009F598B">
        <w:rPr>
          <w:rFonts w:ascii="Arial" w:hAnsi="Arial" w:cs="Arial"/>
          <w:sz w:val="20"/>
          <w:szCs w:val="20"/>
        </w:rPr>
        <w:t>VFat</w:t>
      </w:r>
      <w:proofErr w:type="spellEnd"/>
      <w:r w:rsidR="008E0B33" w:rsidRPr="009F598B">
        <w:rPr>
          <w:rFonts w:ascii="Arial" w:hAnsi="Arial" w:cs="Arial"/>
          <w:sz w:val="20"/>
          <w:szCs w:val="20"/>
        </w:rPr>
        <w:t xml:space="preserve">, visceral fat area; LDL, low-density lipoprotein cholesterol; HDL, high-density lipoprotein cholesterol; TG, triglycerides; </w:t>
      </w:r>
      <w:proofErr w:type="spellStart"/>
      <w:r w:rsidR="008E0B33" w:rsidRPr="009F598B">
        <w:rPr>
          <w:rFonts w:ascii="Arial" w:hAnsi="Arial" w:cs="Arial"/>
          <w:sz w:val="20"/>
          <w:szCs w:val="20"/>
        </w:rPr>
        <w:t>FGlucose</w:t>
      </w:r>
      <w:proofErr w:type="spellEnd"/>
      <w:r w:rsidR="008E0B33" w:rsidRPr="009F598B">
        <w:rPr>
          <w:rFonts w:ascii="Arial" w:hAnsi="Arial" w:cs="Arial"/>
          <w:sz w:val="20"/>
          <w:szCs w:val="20"/>
        </w:rPr>
        <w:t>, fasting glucose; HbA1c, glycated haemoglobin; HOMA-IR, homeostatic model assessment of insulin resistance; CAP, controlled attenuation parameter; UA, uric acid; hsCRP, high-sensitivity C-</w:t>
      </w:r>
      <w:r w:rsidR="00106927" w:rsidRPr="009F598B">
        <w:rPr>
          <w:rFonts w:ascii="Arial" w:hAnsi="Arial" w:cs="Arial"/>
          <w:sz w:val="20"/>
          <w:szCs w:val="20"/>
        </w:rPr>
        <w:t>r</w:t>
      </w:r>
      <w:r w:rsidR="008E0B33" w:rsidRPr="009F598B">
        <w:rPr>
          <w:rFonts w:ascii="Arial" w:hAnsi="Arial" w:cs="Arial"/>
          <w:sz w:val="20"/>
          <w:szCs w:val="20"/>
        </w:rPr>
        <w:t>eactive protein.</w:t>
      </w:r>
    </w:p>
    <w:p w14:paraId="2484C7BF" w14:textId="1B0F8B90" w:rsidR="009C1427" w:rsidRPr="009F598B" w:rsidRDefault="009C1427" w:rsidP="00D65C17">
      <w:pPr>
        <w:rPr>
          <w:rFonts w:ascii="Arial" w:hAnsi="Arial" w:cs="Arial"/>
          <w:noProof/>
          <w:sz w:val="20"/>
          <w:szCs w:val="20"/>
        </w:rPr>
      </w:pPr>
      <w:r w:rsidRPr="009F598B">
        <w:rPr>
          <w:rFonts w:ascii="Arial" w:hAnsi="Arial" w:cs="Arial"/>
          <w:sz w:val="20"/>
          <w:szCs w:val="20"/>
        </w:rPr>
        <w:br w:type="page"/>
      </w:r>
      <w:r w:rsidRPr="009F598B">
        <w:rPr>
          <w:rFonts w:ascii="Arial" w:hAnsi="Arial" w:cs="Arial"/>
          <w:noProof/>
          <w:sz w:val="20"/>
          <w:szCs w:val="20"/>
        </w:rPr>
        <w:lastRenderedPageBreak/>
        <w:drawing>
          <wp:inline distT="0" distB="0" distL="0" distR="0" wp14:anchorId="766FE620" wp14:editId="52D28C23">
            <wp:extent cx="5738495" cy="3279140"/>
            <wp:effectExtent l="0" t="0" r="0" b="0"/>
            <wp:docPr id="188367230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8495" cy="3279140"/>
                    </a:xfrm>
                    <a:prstGeom prst="rect">
                      <a:avLst/>
                    </a:prstGeom>
                    <a:noFill/>
                    <a:ln>
                      <a:noFill/>
                    </a:ln>
                  </pic:spPr>
                </pic:pic>
              </a:graphicData>
            </a:graphic>
          </wp:inline>
        </w:drawing>
      </w:r>
    </w:p>
    <w:p w14:paraId="4B3067D2" w14:textId="42A47CA5" w:rsidR="0023245A" w:rsidRPr="009F598B" w:rsidRDefault="0023245A" w:rsidP="0023245A">
      <w:pPr>
        <w:rPr>
          <w:rFonts w:ascii="Arial" w:hAnsi="Arial" w:cs="Arial"/>
          <w:noProof/>
          <w:sz w:val="20"/>
          <w:szCs w:val="20"/>
        </w:rPr>
      </w:pPr>
      <w:r w:rsidRPr="009F598B">
        <w:rPr>
          <w:rFonts w:ascii="Arial" w:hAnsi="Arial" w:cs="Arial"/>
          <w:b/>
          <w:bCs/>
          <w:sz w:val="20"/>
          <w:szCs w:val="20"/>
        </w:rPr>
        <w:t>Figure S7 Heatmap of standardised cardiometabolic indicator means across self-organi</w:t>
      </w:r>
      <w:r w:rsidR="002111C0">
        <w:rPr>
          <w:rFonts w:ascii="Arial" w:hAnsi="Arial" w:cs="Arial"/>
          <w:b/>
          <w:bCs/>
          <w:sz w:val="20"/>
          <w:szCs w:val="20"/>
        </w:rPr>
        <w:t>s</w:t>
      </w:r>
      <w:r w:rsidRPr="009F598B">
        <w:rPr>
          <w:rFonts w:ascii="Arial" w:hAnsi="Arial" w:cs="Arial"/>
          <w:b/>
          <w:bCs/>
          <w:sz w:val="20"/>
          <w:szCs w:val="20"/>
        </w:rPr>
        <w:t>ing map (SOM) clusters.</w:t>
      </w:r>
      <w:r w:rsidRPr="009F598B">
        <w:rPr>
          <w:rFonts w:ascii="Arial" w:hAnsi="Arial" w:cs="Arial"/>
          <w:sz w:val="20"/>
          <w:szCs w:val="20"/>
        </w:rPr>
        <w:t xml:space="preserve"> Heatmap illustrating standardised cardiometabolic indicator means within each of the four classes identified using self-organi</w:t>
      </w:r>
      <w:r w:rsidR="002111C0">
        <w:rPr>
          <w:rFonts w:ascii="Arial" w:hAnsi="Arial" w:cs="Arial"/>
          <w:sz w:val="20"/>
          <w:szCs w:val="20"/>
        </w:rPr>
        <w:t>s</w:t>
      </w:r>
      <w:r w:rsidRPr="009F598B">
        <w:rPr>
          <w:rFonts w:ascii="Arial" w:hAnsi="Arial" w:cs="Arial"/>
          <w:sz w:val="20"/>
          <w:szCs w:val="20"/>
        </w:rPr>
        <w:t>ing maps followed by k-medoids. Darker red shading indicates higher standardised cardiometabolic indicator means. Abbreviations: HDL, high-density lipoprotein; LDL, low-density lipoprotein; FPG, fasting plasma glucose; HbA1c, glycated haemoglobin; HOMA-IR, homeostatic model assessment of insulin resistance; SBP, systolic blood pressure; DBP, diastolic blood pressure; hsCRP, high-sensitivity C-reactive protein</w:t>
      </w:r>
      <w:r w:rsidRPr="009F598B">
        <w:rPr>
          <w:rFonts w:ascii="Arial" w:hAnsi="Arial" w:cs="Arial"/>
          <w:noProof/>
          <w:sz w:val="20"/>
          <w:szCs w:val="20"/>
        </w:rPr>
        <w:t>.</w:t>
      </w:r>
    </w:p>
    <w:p w14:paraId="6380474C" w14:textId="5376E044" w:rsidR="009C1427" w:rsidRPr="009F598B" w:rsidRDefault="00842AB1" w:rsidP="00D65C17">
      <w:pPr>
        <w:rPr>
          <w:rFonts w:ascii="Arial" w:hAnsi="Arial" w:cs="Arial"/>
          <w:sz w:val="20"/>
          <w:szCs w:val="20"/>
        </w:rPr>
      </w:pPr>
      <w:r w:rsidRPr="009F598B">
        <w:rPr>
          <w:rFonts w:ascii="Arial" w:hAnsi="Arial" w:cs="Arial"/>
          <w:noProof/>
          <w:sz w:val="20"/>
          <w:szCs w:val="20"/>
        </w:rPr>
        <w:drawing>
          <wp:inline distT="0" distB="0" distL="0" distR="0" wp14:anchorId="30A6C827" wp14:editId="2B00A6FE">
            <wp:extent cx="5727700" cy="3286760"/>
            <wp:effectExtent l="0" t="0" r="6350" b="8890"/>
            <wp:docPr id="11454359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286760"/>
                    </a:xfrm>
                    <a:prstGeom prst="rect">
                      <a:avLst/>
                    </a:prstGeom>
                    <a:noFill/>
                    <a:ln>
                      <a:noFill/>
                    </a:ln>
                  </pic:spPr>
                </pic:pic>
              </a:graphicData>
            </a:graphic>
          </wp:inline>
        </w:drawing>
      </w:r>
      <w:r w:rsidRPr="009F598B">
        <w:rPr>
          <w:rFonts w:ascii="Arial" w:hAnsi="Arial" w:cs="Arial"/>
          <w:b/>
          <w:bCs/>
          <w:sz w:val="20"/>
          <w:szCs w:val="20"/>
        </w:rPr>
        <w:t xml:space="preserve">Figure S8 Associations between cardiometabolic phenotypes and wearable-derived sleep and physical activity metrics. </w:t>
      </w:r>
      <w:r w:rsidRPr="009F598B">
        <w:rPr>
          <w:rFonts w:ascii="Arial" w:hAnsi="Arial" w:cs="Arial"/>
          <w:sz w:val="20"/>
          <w:szCs w:val="20"/>
        </w:rPr>
        <w:t>Estimated marginal means (±95% confidence intervals) of multidimensional sleep and physical activity metrics across the four latent cardiometabolic clusters identified by self-organi</w:t>
      </w:r>
      <w:r w:rsidR="002111C0">
        <w:rPr>
          <w:rFonts w:ascii="Arial" w:hAnsi="Arial" w:cs="Arial"/>
          <w:sz w:val="20"/>
          <w:szCs w:val="20"/>
        </w:rPr>
        <w:t>s</w:t>
      </w:r>
      <w:r w:rsidRPr="009F598B">
        <w:rPr>
          <w:rFonts w:ascii="Arial" w:hAnsi="Arial" w:cs="Arial"/>
          <w:sz w:val="20"/>
          <w:szCs w:val="20"/>
        </w:rPr>
        <w:t xml:space="preserve">ing maps followed by k-medoids, from regression models adjusted for age, </w:t>
      </w:r>
      <w:r w:rsidRPr="009F598B">
        <w:rPr>
          <w:rFonts w:ascii="Arial" w:hAnsi="Arial" w:cs="Arial"/>
          <w:sz w:val="20"/>
          <w:szCs w:val="20"/>
        </w:rPr>
        <w:lastRenderedPageBreak/>
        <w:t>sex, ethnicity and medication use (blood pressure, cholesterol and diabetes). Significant differences between clusters are indicated by asterisks (*p&lt;0.05, **p&lt;0.01, ***p&lt;0.001).</w:t>
      </w:r>
    </w:p>
    <w:p w14:paraId="1EBB0735" w14:textId="48B7B6FE" w:rsidR="00C217BB" w:rsidRPr="009F598B" w:rsidRDefault="00363BD2" w:rsidP="00D65C17">
      <w:pPr>
        <w:rPr>
          <w:rFonts w:ascii="Arial" w:hAnsi="Arial" w:cs="Arial"/>
          <w:b/>
          <w:bCs/>
          <w:sz w:val="28"/>
          <w:szCs w:val="28"/>
        </w:rPr>
      </w:pPr>
      <w:r w:rsidRPr="009F598B">
        <w:rPr>
          <w:rFonts w:ascii="Arial" w:hAnsi="Arial" w:cs="Arial"/>
          <w:b/>
          <w:bCs/>
          <w:noProof/>
          <w:sz w:val="28"/>
          <w:szCs w:val="28"/>
        </w:rPr>
        <w:drawing>
          <wp:inline distT="0" distB="0" distL="0" distR="0" wp14:anchorId="454467F1" wp14:editId="692B99CA">
            <wp:extent cx="5727700" cy="4641215"/>
            <wp:effectExtent l="0" t="0" r="6350" b="6985"/>
            <wp:docPr id="3666372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27700" cy="4641215"/>
                    </a:xfrm>
                    <a:prstGeom prst="rect">
                      <a:avLst/>
                    </a:prstGeom>
                    <a:noFill/>
                    <a:ln>
                      <a:noFill/>
                    </a:ln>
                  </pic:spPr>
                </pic:pic>
              </a:graphicData>
            </a:graphic>
          </wp:inline>
        </w:drawing>
      </w:r>
    </w:p>
    <w:p w14:paraId="639FC1DF" w14:textId="4A7E3EFC" w:rsidR="00D163AF" w:rsidRPr="009F598B" w:rsidRDefault="00D163AF" w:rsidP="00D65C17">
      <w:pPr>
        <w:rPr>
          <w:rFonts w:ascii="Arial" w:hAnsi="Arial" w:cs="Arial"/>
          <w:b/>
          <w:bCs/>
          <w:sz w:val="20"/>
          <w:szCs w:val="20"/>
        </w:rPr>
      </w:pPr>
      <w:r w:rsidRPr="009F598B">
        <w:rPr>
          <w:rFonts w:ascii="Arial" w:hAnsi="Arial" w:cs="Arial"/>
          <w:b/>
          <w:bCs/>
          <w:sz w:val="20"/>
          <w:szCs w:val="20"/>
        </w:rPr>
        <w:t>Figure S</w:t>
      </w:r>
      <w:r w:rsidR="00363BD2" w:rsidRPr="009F598B">
        <w:rPr>
          <w:rFonts w:ascii="Arial" w:hAnsi="Arial" w:cs="Arial"/>
          <w:b/>
          <w:bCs/>
          <w:sz w:val="20"/>
          <w:szCs w:val="20"/>
        </w:rPr>
        <w:t>9</w:t>
      </w:r>
      <w:r w:rsidRPr="009F598B">
        <w:rPr>
          <w:rFonts w:ascii="Arial" w:hAnsi="Arial" w:cs="Arial"/>
          <w:b/>
          <w:bCs/>
          <w:sz w:val="20"/>
          <w:szCs w:val="20"/>
        </w:rPr>
        <w:t xml:space="preserve"> Discriminant validity of cluster solutions across four clustering methods. </w:t>
      </w:r>
      <w:r w:rsidRPr="009F598B">
        <w:rPr>
          <w:rFonts w:ascii="Arial" w:hAnsi="Arial" w:cs="Arial"/>
          <w:sz w:val="20"/>
          <w:szCs w:val="20"/>
        </w:rPr>
        <w:t>Horizontal bars represent partial eta-squared (partial η²) values from adjusted linear regression models (controlling for age, sex, ethnicity, and medication use) for each of the 12 wearable-derived sleep and physical activity metrics, with cluster membership as the independent variable. Higher values indicate greater between-cluster differentiation on a given metric. Clustering methods shown are latent class analysis (LCA; applied to binary indicators), k-medoids, self-organi</w:t>
      </w:r>
      <w:r w:rsidR="002111C0">
        <w:rPr>
          <w:rFonts w:ascii="Arial" w:hAnsi="Arial" w:cs="Arial"/>
          <w:sz w:val="20"/>
          <w:szCs w:val="20"/>
        </w:rPr>
        <w:t>s</w:t>
      </w:r>
      <w:r w:rsidRPr="009F598B">
        <w:rPr>
          <w:rFonts w:ascii="Arial" w:hAnsi="Arial" w:cs="Arial"/>
          <w:sz w:val="20"/>
          <w:szCs w:val="20"/>
        </w:rPr>
        <w:t>ing maps with k-medoids (SOM), and latent profile analysis (LPA; all applied to continuous data). All solutions were constrained to four clusters. ACT = actigraphy; MVPA = moderate-to-vigorous physical activity; LPA = light physical activity; M10 = most active 10-hour period; Var = intraindividual variability; Perc = percentage.</w:t>
      </w:r>
    </w:p>
    <w:p w14:paraId="04D13969" w14:textId="77777777" w:rsidR="00D163AF" w:rsidRPr="009F598B" w:rsidRDefault="00D163AF" w:rsidP="00D65C17">
      <w:pPr>
        <w:rPr>
          <w:rFonts w:ascii="Arial" w:hAnsi="Arial" w:cs="Arial"/>
          <w:b/>
          <w:bCs/>
          <w:sz w:val="28"/>
          <w:szCs w:val="28"/>
        </w:rPr>
      </w:pPr>
    </w:p>
    <w:p w14:paraId="5B59A7C8" w14:textId="77777777" w:rsidR="00D8188D" w:rsidRPr="002922D7" w:rsidRDefault="00D8188D">
      <w:pPr>
        <w:rPr>
          <w:rFonts w:ascii="Arial" w:hAnsi="Arial" w:cs="Arial"/>
          <w:b/>
          <w:bCs/>
          <w:sz w:val="28"/>
          <w:szCs w:val="28"/>
        </w:rPr>
      </w:pPr>
      <w:r w:rsidRPr="002922D7">
        <w:rPr>
          <w:rFonts w:ascii="Arial" w:hAnsi="Arial" w:cs="Arial"/>
          <w:b/>
          <w:bCs/>
          <w:sz w:val="28"/>
          <w:szCs w:val="28"/>
        </w:rPr>
        <w:br w:type="page"/>
      </w:r>
    </w:p>
    <w:p w14:paraId="1E66265E" w14:textId="0325C741" w:rsidR="004D53A3" w:rsidRPr="00DB1BB1" w:rsidRDefault="00D65C17" w:rsidP="00D65C17">
      <w:pPr>
        <w:rPr>
          <w:rFonts w:ascii="Arial" w:hAnsi="Arial" w:cs="Arial"/>
          <w:b/>
          <w:bCs/>
        </w:rPr>
      </w:pPr>
      <w:r w:rsidRPr="00DB1BB1">
        <w:rPr>
          <w:rFonts w:ascii="Arial" w:hAnsi="Arial" w:cs="Arial"/>
          <w:b/>
          <w:bCs/>
        </w:rPr>
        <w:lastRenderedPageBreak/>
        <w:t>SUPPLEMENTARY TABLE</w:t>
      </w:r>
      <w:r w:rsidR="004D53A3" w:rsidRPr="00DB1BB1">
        <w:rPr>
          <w:rFonts w:ascii="Arial" w:hAnsi="Arial" w:cs="Arial"/>
          <w:b/>
          <w:bCs/>
        </w:rPr>
        <w:t>S</w:t>
      </w:r>
    </w:p>
    <w:p w14:paraId="3327663C" w14:textId="511A84AC" w:rsidR="00D65C17" w:rsidRPr="002922D7" w:rsidRDefault="004D53A3" w:rsidP="00D65C17">
      <w:pPr>
        <w:rPr>
          <w:rFonts w:ascii="Arial" w:hAnsi="Arial" w:cs="Arial"/>
          <w:sz w:val="20"/>
          <w:szCs w:val="20"/>
        </w:rPr>
      </w:pPr>
      <w:r w:rsidRPr="002922D7">
        <w:rPr>
          <w:rFonts w:ascii="Arial" w:hAnsi="Arial" w:cs="Arial"/>
          <w:b/>
          <w:bCs/>
          <w:sz w:val="20"/>
          <w:szCs w:val="20"/>
        </w:rPr>
        <w:t>Table S</w:t>
      </w:r>
      <w:r w:rsidR="00D65C17" w:rsidRPr="002922D7">
        <w:rPr>
          <w:rFonts w:ascii="Arial" w:hAnsi="Arial" w:cs="Arial"/>
          <w:b/>
          <w:bCs/>
          <w:sz w:val="20"/>
          <w:szCs w:val="20"/>
        </w:rPr>
        <w:t xml:space="preserve">1 </w:t>
      </w:r>
      <w:r w:rsidR="00D65C17" w:rsidRPr="002922D7">
        <w:rPr>
          <w:rFonts w:ascii="Arial" w:hAnsi="Arial" w:cs="Arial"/>
          <w:sz w:val="20"/>
          <w:szCs w:val="20"/>
        </w:rPr>
        <w:t xml:space="preserve">Operational definitions of sleep variables used, adapted from </w:t>
      </w:r>
      <w:r w:rsidR="00D65C17" w:rsidRPr="002922D7">
        <w:rPr>
          <w:rFonts w:ascii="Arial" w:hAnsi="Arial" w:cs="Arial"/>
          <w:sz w:val="20"/>
          <w:szCs w:val="20"/>
        </w:rPr>
        <w:fldChar w:fldCharType="begin">
          <w:fldData xml:space="preserve">PEVuZE5vdGU+PENpdGU+PEF1dGhvcj5DaGVlPC9BdXRob3I+PFllYXI+MjAyNTwvWWVhcj48UmVj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</w:fldData>
        </w:fldChar>
      </w:r>
      <w:r w:rsidR="00704C93" w:rsidRPr="002922D7">
        <w:rPr>
          <w:rFonts w:ascii="Arial" w:hAnsi="Arial" w:cs="Arial"/>
          <w:sz w:val="20"/>
          <w:szCs w:val="20"/>
        </w:rPr>
        <w:instrText xml:space="preserve"> ADDIN EN.CITE </w:instrText>
      </w:r>
      <w:r w:rsidR="00704C93" w:rsidRPr="002922D7">
        <w:rPr>
          <w:rFonts w:ascii="Arial" w:hAnsi="Arial" w:cs="Arial"/>
          <w:sz w:val="20"/>
          <w:szCs w:val="20"/>
        </w:rPr>
        <w:fldChar w:fldCharType="begin">
          <w:fldData xml:space="preserve">PEVuZE5vdGU+PENpdGU+PEF1dGhvcj5DaGVlPC9BdXRob3I+PFllYXI+MjAyNTwvWWVhcj48UmVj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</w:fldData>
        </w:fldChar>
      </w:r>
      <w:r w:rsidR="00704C93" w:rsidRPr="002922D7">
        <w:rPr>
          <w:rFonts w:ascii="Arial" w:hAnsi="Arial" w:cs="Arial"/>
          <w:sz w:val="20"/>
          <w:szCs w:val="20"/>
        </w:rPr>
        <w:instrText xml:space="preserve"> ADDIN EN.CITE.DATA </w:instrText>
      </w:r>
      <w:r w:rsidR="00704C93" w:rsidRPr="002922D7">
        <w:rPr>
          <w:rFonts w:ascii="Arial" w:hAnsi="Arial" w:cs="Arial"/>
          <w:sz w:val="20"/>
          <w:szCs w:val="20"/>
        </w:rPr>
      </w:r>
      <w:r w:rsidR="00704C93" w:rsidRPr="002922D7">
        <w:rPr>
          <w:rFonts w:ascii="Arial" w:hAnsi="Arial" w:cs="Arial"/>
          <w:sz w:val="20"/>
          <w:szCs w:val="20"/>
        </w:rPr>
        <w:fldChar w:fldCharType="end"/>
      </w:r>
      <w:r w:rsidR="00D65C17" w:rsidRPr="002922D7">
        <w:rPr>
          <w:rFonts w:ascii="Arial" w:hAnsi="Arial" w:cs="Arial"/>
          <w:sz w:val="20"/>
          <w:szCs w:val="20"/>
        </w:rPr>
      </w:r>
      <w:r w:rsidR="00D65C17" w:rsidRPr="002922D7">
        <w:rPr>
          <w:rFonts w:ascii="Arial" w:hAnsi="Arial" w:cs="Arial"/>
          <w:sz w:val="20"/>
          <w:szCs w:val="20"/>
        </w:rPr>
        <w:fldChar w:fldCharType="separate"/>
      </w:r>
      <w:r w:rsidR="00704C93" w:rsidRPr="002922D7">
        <w:rPr>
          <w:rFonts w:ascii="Arial" w:hAnsi="Arial" w:cs="Arial"/>
          <w:noProof/>
          <w:sz w:val="20"/>
          <w:szCs w:val="20"/>
        </w:rPr>
        <w:t>(2)</w:t>
      </w:r>
      <w:r w:rsidR="00D65C17" w:rsidRPr="002922D7">
        <w:rPr>
          <w:rFonts w:ascii="Arial" w:hAnsi="Arial" w:cs="Arial"/>
          <w:sz w:val="20"/>
          <w:szCs w:val="20"/>
        </w:rPr>
        <w:fldChar w:fldCharType="end"/>
      </w:r>
      <w:r w:rsidR="00D65C17" w:rsidRPr="002922D7">
        <w:rPr>
          <w:rFonts w:ascii="Arial" w:hAnsi="Arial" w:cs="Arial"/>
          <w:sz w:val="20"/>
          <w:szCs w:val="20"/>
        </w:rPr>
        <w:t>.</w:t>
      </w:r>
    </w:p>
    <w:tbl>
      <w:tblPr>
        <w:tblStyle w:val="TableGrid"/>
        <w:tblW w:w="0" w:type="auto"/>
        <w:tblLook w:val="04A0" w:firstRow="1" w:lastRow="0" w:firstColumn="1" w:lastColumn="0" w:noHBand="0" w:noVBand="1"/>
      </w:tblPr>
      <w:tblGrid>
        <w:gridCol w:w="1805"/>
        <w:gridCol w:w="2004"/>
        <w:gridCol w:w="1407"/>
        <w:gridCol w:w="3800"/>
      </w:tblGrid>
      <w:tr w:rsidR="00D65C17" w:rsidRPr="002922D7" w14:paraId="3C4F0488" w14:textId="77777777" w:rsidTr="007B5D64">
        <w:tc>
          <w:tcPr>
            <w:tcW w:w="1805" w:type="dxa"/>
          </w:tcPr>
          <w:p w14:paraId="0989E8A3" w14:textId="77777777" w:rsidR="00D65C17" w:rsidRPr="002922D7" w:rsidRDefault="00D65C17" w:rsidP="004246CD">
            <w:pPr>
              <w:rPr>
                <w:rFonts w:ascii="Arial" w:hAnsi="Arial" w:cs="Arial"/>
                <w:b/>
                <w:bCs/>
                <w:sz w:val="20"/>
                <w:szCs w:val="20"/>
              </w:rPr>
            </w:pPr>
            <w:r w:rsidRPr="002922D7">
              <w:rPr>
                <w:rFonts w:ascii="Arial" w:eastAsiaTheme="minorHAnsi" w:hAnsi="Arial" w:cs="Arial"/>
                <w:b/>
                <w:bCs/>
                <w:sz w:val="20"/>
                <w:szCs w:val="20"/>
                <w:lang w:val="en-SG" w:eastAsia="en-US"/>
              </w:rPr>
              <w:t>Sleep Dimension</w:t>
            </w:r>
          </w:p>
        </w:tc>
        <w:tc>
          <w:tcPr>
            <w:tcW w:w="2004" w:type="dxa"/>
          </w:tcPr>
          <w:p w14:paraId="0AAE6AB8" w14:textId="77777777" w:rsidR="00D65C17" w:rsidRPr="002922D7" w:rsidRDefault="00D65C17" w:rsidP="004246CD">
            <w:pPr>
              <w:rPr>
                <w:rFonts w:ascii="Arial" w:hAnsi="Arial" w:cs="Arial"/>
                <w:b/>
                <w:bCs/>
                <w:sz w:val="20"/>
                <w:szCs w:val="20"/>
              </w:rPr>
            </w:pPr>
            <w:r w:rsidRPr="002922D7">
              <w:rPr>
                <w:rFonts w:ascii="Arial" w:hAnsi="Arial" w:cs="Arial"/>
                <w:b/>
                <w:bCs/>
                <w:sz w:val="20"/>
                <w:szCs w:val="20"/>
              </w:rPr>
              <w:t>Sleep Variable</w:t>
            </w:r>
          </w:p>
        </w:tc>
        <w:tc>
          <w:tcPr>
            <w:tcW w:w="1407" w:type="dxa"/>
          </w:tcPr>
          <w:p w14:paraId="6040BC7B" w14:textId="77777777" w:rsidR="00D65C17" w:rsidRPr="002922D7" w:rsidRDefault="00D65C17" w:rsidP="004246CD">
            <w:pPr>
              <w:rPr>
                <w:rFonts w:ascii="Arial" w:hAnsi="Arial" w:cs="Arial"/>
                <w:b/>
                <w:bCs/>
                <w:sz w:val="20"/>
                <w:szCs w:val="20"/>
              </w:rPr>
            </w:pPr>
            <w:r w:rsidRPr="002922D7">
              <w:rPr>
                <w:rFonts w:ascii="Arial" w:hAnsi="Arial" w:cs="Arial"/>
                <w:b/>
                <w:bCs/>
                <w:sz w:val="20"/>
                <w:szCs w:val="20"/>
              </w:rPr>
              <w:t>Units</w:t>
            </w:r>
          </w:p>
        </w:tc>
        <w:tc>
          <w:tcPr>
            <w:tcW w:w="3800" w:type="dxa"/>
          </w:tcPr>
          <w:p w14:paraId="2E8B97E5" w14:textId="77777777" w:rsidR="00D65C17" w:rsidRPr="002922D7" w:rsidRDefault="00D65C17" w:rsidP="004246CD">
            <w:pPr>
              <w:rPr>
                <w:rFonts w:ascii="Arial" w:hAnsi="Arial" w:cs="Arial"/>
                <w:b/>
                <w:bCs/>
                <w:sz w:val="20"/>
                <w:szCs w:val="20"/>
              </w:rPr>
            </w:pPr>
            <w:r w:rsidRPr="002922D7">
              <w:rPr>
                <w:rFonts w:ascii="Arial" w:hAnsi="Arial" w:cs="Arial"/>
                <w:b/>
                <w:bCs/>
                <w:sz w:val="20"/>
                <w:szCs w:val="20"/>
              </w:rPr>
              <w:t>Operational Definition</w:t>
            </w:r>
          </w:p>
        </w:tc>
      </w:tr>
      <w:tr w:rsidR="00D65C17" w:rsidRPr="002922D7" w14:paraId="34653048" w14:textId="77777777" w:rsidTr="007B5D64">
        <w:tc>
          <w:tcPr>
            <w:tcW w:w="1805" w:type="dxa"/>
            <w:vMerge w:val="restart"/>
          </w:tcPr>
          <w:p w14:paraId="3E6DB52A" w14:textId="77777777" w:rsidR="00D65C17" w:rsidRPr="002922D7" w:rsidRDefault="00D65C17" w:rsidP="004246CD">
            <w:pPr>
              <w:rPr>
                <w:rFonts w:ascii="Arial" w:hAnsi="Arial" w:cs="Arial"/>
                <w:sz w:val="20"/>
                <w:szCs w:val="20"/>
              </w:rPr>
            </w:pPr>
            <w:r w:rsidRPr="002922D7">
              <w:rPr>
                <w:rFonts w:ascii="Arial" w:hAnsi="Arial" w:cs="Arial"/>
                <w:sz w:val="20"/>
                <w:szCs w:val="20"/>
              </w:rPr>
              <w:t>Timing</w:t>
            </w:r>
          </w:p>
        </w:tc>
        <w:tc>
          <w:tcPr>
            <w:tcW w:w="2004" w:type="dxa"/>
          </w:tcPr>
          <w:p w14:paraId="11CBEB58" w14:textId="77777777" w:rsidR="00D65C17" w:rsidRPr="002922D7" w:rsidRDefault="00D65C17" w:rsidP="004246CD">
            <w:pPr>
              <w:rPr>
                <w:rFonts w:ascii="Arial" w:hAnsi="Arial" w:cs="Arial"/>
                <w:sz w:val="20"/>
                <w:szCs w:val="20"/>
              </w:rPr>
            </w:pPr>
            <w:r w:rsidRPr="002922D7">
              <w:rPr>
                <w:rFonts w:ascii="Arial" w:hAnsi="Arial" w:cs="Arial"/>
                <w:sz w:val="20"/>
                <w:szCs w:val="20"/>
              </w:rPr>
              <w:t>Sleep Onset</w:t>
            </w:r>
          </w:p>
        </w:tc>
        <w:tc>
          <w:tcPr>
            <w:tcW w:w="1407" w:type="dxa"/>
          </w:tcPr>
          <w:p w14:paraId="571055B3" w14:textId="77777777" w:rsidR="00D65C17" w:rsidRPr="002922D7" w:rsidRDefault="00D65C17" w:rsidP="004246CD">
            <w:pPr>
              <w:rPr>
                <w:rFonts w:ascii="Arial" w:hAnsi="Arial" w:cs="Arial"/>
                <w:sz w:val="20"/>
                <w:szCs w:val="20"/>
              </w:rPr>
            </w:pPr>
            <w:proofErr w:type="spellStart"/>
            <w:r w:rsidRPr="002922D7">
              <w:rPr>
                <w:rFonts w:ascii="Arial" w:hAnsi="Arial" w:cs="Arial"/>
                <w:sz w:val="20"/>
                <w:szCs w:val="20"/>
              </w:rPr>
              <w:t>hh:mm</w:t>
            </w:r>
            <w:proofErr w:type="spellEnd"/>
          </w:p>
        </w:tc>
        <w:tc>
          <w:tcPr>
            <w:tcW w:w="3800" w:type="dxa"/>
          </w:tcPr>
          <w:p w14:paraId="28B49FDA" w14:textId="77777777" w:rsidR="00D65C17" w:rsidRPr="002922D7" w:rsidRDefault="00D65C17" w:rsidP="004246CD">
            <w:pPr>
              <w:rPr>
                <w:rFonts w:ascii="Arial" w:hAnsi="Arial" w:cs="Arial"/>
                <w:sz w:val="20"/>
                <w:szCs w:val="20"/>
              </w:rPr>
            </w:pPr>
            <w:r w:rsidRPr="002922D7">
              <w:rPr>
                <w:rFonts w:ascii="Arial" w:hAnsi="Arial" w:cs="Arial"/>
                <w:sz w:val="20"/>
                <w:szCs w:val="20"/>
              </w:rPr>
              <w:t>Time of the first epoch of detected sleep</w:t>
            </w:r>
          </w:p>
        </w:tc>
      </w:tr>
      <w:tr w:rsidR="00D65C17" w:rsidRPr="002922D7" w14:paraId="588367FE" w14:textId="77777777" w:rsidTr="007B5D64">
        <w:tc>
          <w:tcPr>
            <w:tcW w:w="1805" w:type="dxa"/>
            <w:vMerge/>
          </w:tcPr>
          <w:p w14:paraId="28FA1BF0" w14:textId="77777777" w:rsidR="00D65C17" w:rsidRPr="002922D7" w:rsidRDefault="00D65C17" w:rsidP="004246CD">
            <w:pPr>
              <w:rPr>
                <w:rFonts w:ascii="Arial" w:hAnsi="Arial" w:cs="Arial"/>
                <w:sz w:val="20"/>
                <w:szCs w:val="20"/>
              </w:rPr>
            </w:pPr>
          </w:p>
        </w:tc>
        <w:tc>
          <w:tcPr>
            <w:tcW w:w="2004" w:type="dxa"/>
          </w:tcPr>
          <w:p w14:paraId="1E0EA19A" w14:textId="77777777" w:rsidR="00D65C17" w:rsidRPr="002922D7" w:rsidRDefault="00D65C17" w:rsidP="004246CD">
            <w:pPr>
              <w:rPr>
                <w:rFonts w:ascii="Arial" w:hAnsi="Arial" w:cs="Arial"/>
                <w:sz w:val="20"/>
                <w:szCs w:val="20"/>
              </w:rPr>
            </w:pPr>
            <w:r w:rsidRPr="002922D7">
              <w:rPr>
                <w:rFonts w:ascii="Arial" w:hAnsi="Arial" w:cs="Arial"/>
                <w:sz w:val="20"/>
                <w:szCs w:val="20"/>
              </w:rPr>
              <w:t>Sleep Offset</w:t>
            </w:r>
          </w:p>
        </w:tc>
        <w:tc>
          <w:tcPr>
            <w:tcW w:w="1407" w:type="dxa"/>
          </w:tcPr>
          <w:p w14:paraId="325A5B80" w14:textId="77777777" w:rsidR="00D65C17" w:rsidRPr="002922D7" w:rsidRDefault="00D65C17" w:rsidP="004246CD">
            <w:pPr>
              <w:rPr>
                <w:rFonts w:ascii="Arial" w:hAnsi="Arial" w:cs="Arial"/>
                <w:sz w:val="20"/>
                <w:szCs w:val="20"/>
              </w:rPr>
            </w:pPr>
            <w:proofErr w:type="spellStart"/>
            <w:r w:rsidRPr="002922D7">
              <w:rPr>
                <w:rFonts w:ascii="Arial" w:hAnsi="Arial" w:cs="Arial"/>
                <w:sz w:val="20"/>
                <w:szCs w:val="20"/>
              </w:rPr>
              <w:t>hh:mm</w:t>
            </w:r>
            <w:proofErr w:type="spellEnd"/>
          </w:p>
        </w:tc>
        <w:tc>
          <w:tcPr>
            <w:tcW w:w="3800" w:type="dxa"/>
          </w:tcPr>
          <w:p w14:paraId="4F750D13" w14:textId="77777777" w:rsidR="00D65C17" w:rsidRPr="002922D7" w:rsidRDefault="00D65C17" w:rsidP="004246CD">
            <w:pPr>
              <w:rPr>
                <w:rFonts w:ascii="Arial" w:hAnsi="Arial" w:cs="Arial"/>
                <w:sz w:val="20"/>
                <w:szCs w:val="20"/>
              </w:rPr>
            </w:pPr>
            <w:r w:rsidRPr="002922D7">
              <w:rPr>
                <w:rFonts w:ascii="Arial" w:hAnsi="Arial" w:cs="Arial"/>
                <w:sz w:val="20"/>
                <w:szCs w:val="20"/>
              </w:rPr>
              <w:t>Time of the last epoch of detected sleep</w:t>
            </w:r>
          </w:p>
        </w:tc>
      </w:tr>
      <w:tr w:rsidR="00D65C17" w:rsidRPr="002922D7" w14:paraId="27512A95" w14:textId="77777777" w:rsidTr="007B5D64">
        <w:tc>
          <w:tcPr>
            <w:tcW w:w="1805" w:type="dxa"/>
            <w:vMerge/>
          </w:tcPr>
          <w:p w14:paraId="44397029" w14:textId="77777777" w:rsidR="00D65C17" w:rsidRPr="002922D7" w:rsidRDefault="00D65C17" w:rsidP="004246CD">
            <w:pPr>
              <w:rPr>
                <w:rFonts w:ascii="Arial" w:hAnsi="Arial" w:cs="Arial"/>
                <w:sz w:val="20"/>
                <w:szCs w:val="20"/>
              </w:rPr>
            </w:pPr>
          </w:p>
        </w:tc>
        <w:tc>
          <w:tcPr>
            <w:tcW w:w="2004" w:type="dxa"/>
          </w:tcPr>
          <w:p w14:paraId="6A90BC85" w14:textId="77777777" w:rsidR="00D65C17" w:rsidRPr="002922D7" w:rsidRDefault="00D65C17" w:rsidP="004246CD">
            <w:pPr>
              <w:rPr>
                <w:rFonts w:ascii="Arial" w:hAnsi="Arial" w:cs="Arial"/>
                <w:sz w:val="20"/>
                <w:szCs w:val="20"/>
              </w:rPr>
            </w:pPr>
            <w:r w:rsidRPr="002922D7">
              <w:rPr>
                <w:rFonts w:ascii="Arial" w:hAnsi="Arial" w:cs="Arial"/>
                <w:sz w:val="20"/>
                <w:szCs w:val="20"/>
              </w:rPr>
              <w:t>Sleep Midpoint</w:t>
            </w:r>
          </w:p>
        </w:tc>
        <w:tc>
          <w:tcPr>
            <w:tcW w:w="1407" w:type="dxa"/>
          </w:tcPr>
          <w:p w14:paraId="4D9D1C2C" w14:textId="77777777" w:rsidR="00D65C17" w:rsidRPr="002922D7" w:rsidRDefault="00D65C17" w:rsidP="004246CD">
            <w:pPr>
              <w:rPr>
                <w:rFonts w:ascii="Arial" w:hAnsi="Arial" w:cs="Arial"/>
                <w:sz w:val="20"/>
                <w:szCs w:val="20"/>
              </w:rPr>
            </w:pPr>
            <w:proofErr w:type="spellStart"/>
            <w:r w:rsidRPr="002922D7">
              <w:rPr>
                <w:rFonts w:ascii="Arial" w:hAnsi="Arial" w:cs="Arial"/>
                <w:sz w:val="20"/>
                <w:szCs w:val="20"/>
              </w:rPr>
              <w:t>hh:mm</w:t>
            </w:r>
            <w:proofErr w:type="spellEnd"/>
          </w:p>
        </w:tc>
        <w:tc>
          <w:tcPr>
            <w:tcW w:w="3800" w:type="dxa"/>
          </w:tcPr>
          <w:p w14:paraId="1F4EA65E" w14:textId="569053E5" w:rsidR="00D65C17" w:rsidRPr="002922D7" w:rsidRDefault="00D65C17" w:rsidP="004246CD">
            <w:pPr>
              <w:rPr>
                <w:rFonts w:ascii="Arial" w:hAnsi="Arial" w:cs="Arial"/>
                <w:sz w:val="20"/>
                <w:szCs w:val="20"/>
              </w:rPr>
            </w:pPr>
            <w:r w:rsidRPr="002922D7">
              <w:rPr>
                <w:rFonts w:ascii="Arial" w:hAnsi="Arial" w:cs="Arial"/>
                <w:sz w:val="20"/>
                <w:szCs w:val="20"/>
              </w:rPr>
              <w:t xml:space="preserve">Time </w:t>
            </w:r>
            <w:proofErr w:type="gramStart"/>
            <w:r w:rsidRPr="002922D7">
              <w:rPr>
                <w:rFonts w:ascii="Arial" w:hAnsi="Arial" w:cs="Arial"/>
                <w:sz w:val="20"/>
                <w:szCs w:val="20"/>
              </w:rPr>
              <w:t>halfway</w:t>
            </w:r>
            <w:proofErr w:type="gramEnd"/>
            <w:r w:rsidRPr="002922D7">
              <w:rPr>
                <w:rFonts w:ascii="Arial" w:hAnsi="Arial" w:cs="Arial"/>
                <w:sz w:val="20"/>
                <w:szCs w:val="20"/>
              </w:rPr>
              <w:t xml:space="preserve"> between sleep onset and offset</w:t>
            </w:r>
          </w:p>
        </w:tc>
      </w:tr>
      <w:tr w:rsidR="00D65C17" w:rsidRPr="002922D7" w14:paraId="6925473D" w14:textId="77777777" w:rsidTr="007B5D64">
        <w:tc>
          <w:tcPr>
            <w:tcW w:w="1805" w:type="dxa"/>
          </w:tcPr>
          <w:p w14:paraId="6FDB6613" w14:textId="77777777" w:rsidR="00D65C17" w:rsidRPr="002922D7" w:rsidRDefault="00D65C17" w:rsidP="004246CD">
            <w:pPr>
              <w:rPr>
                <w:rFonts w:ascii="Arial" w:hAnsi="Arial" w:cs="Arial"/>
                <w:sz w:val="20"/>
                <w:szCs w:val="20"/>
              </w:rPr>
            </w:pPr>
            <w:r w:rsidRPr="002922D7">
              <w:rPr>
                <w:rFonts w:ascii="Arial" w:hAnsi="Arial" w:cs="Arial"/>
                <w:sz w:val="20"/>
                <w:szCs w:val="20"/>
              </w:rPr>
              <w:t>Duration</w:t>
            </w:r>
          </w:p>
        </w:tc>
        <w:tc>
          <w:tcPr>
            <w:tcW w:w="2004" w:type="dxa"/>
          </w:tcPr>
          <w:p w14:paraId="4EE7DFD6" w14:textId="77777777" w:rsidR="00D65C17" w:rsidRPr="002922D7" w:rsidRDefault="00D65C17" w:rsidP="004246CD">
            <w:pPr>
              <w:rPr>
                <w:rFonts w:ascii="Arial" w:hAnsi="Arial" w:cs="Arial"/>
                <w:sz w:val="20"/>
                <w:szCs w:val="20"/>
              </w:rPr>
            </w:pPr>
            <w:r w:rsidRPr="002922D7">
              <w:rPr>
                <w:rFonts w:ascii="Arial" w:hAnsi="Arial" w:cs="Arial"/>
                <w:sz w:val="20"/>
                <w:szCs w:val="20"/>
              </w:rPr>
              <w:t>Sleep Duration</w:t>
            </w:r>
          </w:p>
        </w:tc>
        <w:tc>
          <w:tcPr>
            <w:tcW w:w="1407" w:type="dxa"/>
          </w:tcPr>
          <w:p w14:paraId="3082F52D" w14:textId="77777777" w:rsidR="00D65C17" w:rsidRPr="002922D7" w:rsidRDefault="00D65C17" w:rsidP="004246CD">
            <w:pPr>
              <w:rPr>
                <w:rFonts w:ascii="Arial" w:hAnsi="Arial" w:cs="Arial"/>
                <w:sz w:val="20"/>
                <w:szCs w:val="20"/>
              </w:rPr>
            </w:pPr>
            <w:r w:rsidRPr="002922D7">
              <w:rPr>
                <w:rFonts w:ascii="Arial" w:hAnsi="Arial" w:cs="Arial"/>
                <w:sz w:val="20"/>
                <w:szCs w:val="20"/>
              </w:rPr>
              <w:t>h</w:t>
            </w:r>
          </w:p>
        </w:tc>
        <w:tc>
          <w:tcPr>
            <w:tcW w:w="3800" w:type="dxa"/>
          </w:tcPr>
          <w:p w14:paraId="2B04906C" w14:textId="77777777" w:rsidR="00D65C17" w:rsidRPr="002922D7" w:rsidRDefault="00D65C17" w:rsidP="004246CD">
            <w:pPr>
              <w:rPr>
                <w:rFonts w:ascii="Arial" w:hAnsi="Arial" w:cs="Arial"/>
                <w:sz w:val="20"/>
                <w:szCs w:val="20"/>
              </w:rPr>
            </w:pPr>
            <w:r w:rsidRPr="002922D7">
              <w:rPr>
                <w:rFonts w:ascii="Arial" w:hAnsi="Arial" w:cs="Arial"/>
                <w:sz w:val="20"/>
                <w:szCs w:val="20"/>
              </w:rPr>
              <w:t>Sum of all sleep epochs detected as sleep between sleep onset and offset</w:t>
            </w:r>
          </w:p>
        </w:tc>
      </w:tr>
      <w:tr w:rsidR="00D65C17" w:rsidRPr="002922D7" w14:paraId="31312BDD" w14:textId="77777777" w:rsidTr="007B5D64">
        <w:tc>
          <w:tcPr>
            <w:tcW w:w="1805" w:type="dxa"/>
          </w:tcPr>
          <w:p w14:paraId="562ADE5A" w14:textId="77777777" w:rsidR="00D65C17" w:rsidRPr="002922D7" w:rsidRDefault="00D65C17" w:rsidP="004246CD">
            <w:pPr>
              <w:rPr>
                <w:rFonts w:ascii="Arial" w:hAnsi="Arial" w:cs="Arial"/>
                <w:sz w:val="20"/>
                <w:szCs w:val="20"/>
              </w:rPr>
            </w:pPr>
            <w:r w:rsidRPr="002922D7">
              <w:rPr>
                <w:rFonts w:ascii="Arial" w:hAnsi="Arial" w:cs="Arial"/>
                <w:sz w:val="20"/>
                <w:szCs w:val="20"/>
              </w:rPr>
              <w:t>Continuity</w:t>
            </w:r>
          </w:p>
        </w:tc>
        <w:tc>
          <w:tcPr>
            <w:tcW w:w="2004" w:type="dxa"/>
          </w:tcPr>
          <w:p w14:paraId="45A111D0" w14:textId="77777777" w:rsidR="00D65C17" w:rsidRPr="002922D7" w:rsidRDefault="00D65C17" w:rsidP="004246CD">
            <w:pPr>
              <w:rPr>
                <w:rFonts w:ascii="Arial" w:hAnsi="Arial" w:cs="Arial"/>
                <w:sz w:val="20"/>
                <w:szCs w:val="20"/>
              </w:rPr>
            </w:pPr>
            <w:r w:rsidRPr="002922D7">
              <w:rPr>
                <w:rFonts w:ascii="Arial" w:hAnsi="Arial" w:cs="Arial"/>
                <w:sz w:val="20"/>
                <w:szCs w:val="20"/>
              </w:rPr>
              <w:t>Sleep Percentage</w:t>
            </w:r>
          </w:p>
        </w:tc>
        <w:tc>
          <w:tcPr>
            <w:tcW w:w="1407" w:type="dxa"/>
          </w:tcPr>
          <w:p w14:paraId="4F3540B6" w14:textId="77777777" w:rsidR="00D65C17" w:rsidRPr="002922D7" w:rsidRDefault="00D65C17" w:rsidP="004246CD">
            <w:pPr>
              <w:rPr>
                <w:rFonts w:ascii="Arial" w:hAnsi="Arial" w:cs="Arial"/>
                <w:sz w:val="20"/>
                <w:szCs w:val="20"/>
              </w:rPr>
            </w:pPr>
            <w:r w:rsidRPr="002922D7">
              <w:rPr>
                <w:rFonts w:ascii="Arial" w:hAnsi="Arial" w:cs="Arial"/>
                <w:sz w:val="20"/>
                <w:szCs w:val="20"/>
              </w:rPr>
              <w:t>%</w:t>
            </w:r>
          </w:p>
        </w:tc>
        <w:tc>
          <w:tcPr>
            <w:tcW w:w="3800" w:type="dxa"/>
          </w:tcPr>
          <w:p w14:paraId="49007263" w14:textId="77777777" w:rsidR="00D65C17" w:rsidRPr="002922D7" w:rsidRDefault="00D65C17" w:rsidP="004246CD">
            <w:pPr>
              <w:rPr>
                <w:rFonts w:ascii="Arial" w:hAnsi="Arial" w:cs="Arial"/>
                <w:sz w:val="20"/>
                <w:szCs w:val="20"/>
              </w:rPr>
            </w:pPr>
            <w:r w:rsidRPr="002922D7">
              <w:rPr>
                <w:rFonts w:ascii="Arial" w:hAnsi="Arial" w:cs="Arial"/>
                <w:sz w:val="20"/>
                <w:szCs w:val="20"/>
              </w:rPr>
              <w:t>% of all sleep epochs detected as sleep between sleep onset and offset</w:t>
            </w:r>
          </w:p>
        </w:tc>
      </w:tr>
      <w:tr w:rsidR="00D65C17" w:rsidRPr="002922D7" w14:paraId="770D1D2A" w14:textId="77777777" w:rsidTr="007B5D64">
        <w:tc>
          <w:tcPr>
            <w:tcW w:w="1805" w:type="dxa"/>
            <w:vMerge w:val="restart"/>
          </w:tcPr>
          <w:p w14:paraId="466C8657" w14:textId="77777777" w:rsidR="00D65C17" w:rsidRPr="002922D7" w:rsidRDefault="00D65C17" w:rsidP="004246CD">
            <w:pPr>
              <w:rPr>
                <w:rFonts w:ascii="Arial" w:hAnsi="Arial" w:cs="Arial"/>
                <w:sz w:val="20"/>
                <w:szCs w:val="20"/>
              </w:rPr>
            </w:pPr>
            <w:r w:rsidRPr="002922D7">
              <w:rPr>
                <w:rFonts w:ascii="Arial" w:hAnsi="Arial" w:cs="Arial"/>
                <w:sz w:val="20"/>
                <w:szCs w:val="20"/>
              </w:rPr>
              <w:t>Regularity</w:t>
            </w:r>
          </w:p>
        </w:tc>
        <w:tc>
          <w:tcPr>
            <w:tcW w:w="2004" w:type="dxa"/>
          </w:tcPr>
          <w:p w14:paraId="4C6A9544" w14:textId="77777777" w:rsidR="00D65C17" w:rsidRPr="002922D7" w:rsidRDefault="00D65C17" w:rsidP="004246CD">
            <w:pPr>
              <w:rPr>
                <w:rFonts w:ascii="Arial" w:hAnsi="Arial" w:cs="Arial"/>
                <w:sz w:val="20"/>
                <w:szCs w:val="20"/>
              </w:rPr>
            </w:pPr>
            <w:r w:rsidRPr="002922D7">
              <w:rPr>
                <w:rFonts w:ascii="Arial" w:hAnsi="Arial" w:cs="Arial"/>
                <w:sz w:val="20"/>
                <w:szCs w:val="20"/>
              </w:rPr>
              <w:t>Midpoint Variability</w:t>
            </w:r>
          </w:p>
        </w:tc>
        <w:tc>
          <w:tcPr>
            <w:tcW w:w="1407" w:type="dxa"/>
          </w:tcPr>
          <w:p w14:paraId="2FED2D7E" w14:textId="77777777" w:rsidR="00D65C17" w:rsidRPr="002922D7" w:rsidRDefault="00D65C17" w:rsidP="004246CD">
            <w:pPr>
              <w:rPr>
                <w:rFonts w:ascii="Arial" w:hAnsi="Arial" w:cs="Arial"/>
                <w:sz w:val="20"/>
                <w:szCs w:val="20"/>
              </w:rPr>
            </w:pPr>
            <w:r w:rsidRPr="002922D7">
              <w:rPr>
                <w:rFonts w:ascii="Arial" w:hAnsi="Arial" w:cs="Arial"/>
                <w:sz w:val="20"/>
                <w:szCs w:val="20"/>
              </w:rPr>
              <w:t>h</w:t>
            </w:r>
          </w:p>
        </w:tc>
        <w:tc>
          <w:tcPr>
            <w:tcW w:w="3800" w:type="dxa"/>
          </w:tcPr>
          <w:p w14:paraId="38F701CE" w14:textId="77777777" w:rsidR="00D65C17" w:rsidRPr="002922D7" w:rsidRDefault="00D65C17" w:rsidP="004246CD">
            <w:pPr>
              <w:rPr>
                <w:rFonts w:ascii="Arial" w:hAnsi="Arial" w:cs="Arial"/>
                <w:sz w:val="20"/>
                <w:szCs w:val="20"/>
              </w:rPr>
            </w:pPr>
            <w:r w:rsidRPr="002922D7">
              <w:rPr>
                <w:rFonts w:ascii="Arial" w:hAnsi="Arial" w:cs="Arial"/>
                <w:sz w:val="20"/>
                <w:szCs w:val="20"/>
              </w:rPr>
              <w:t>Standard deviation of sleep midpoint over all days logged during the baseline period (1 month)</w:t>
            </w:r>
          </w:p>
        </w:tc>
      </w:tr>
      <w:tr w:rsidR="00D65C17" w:rsidRPr="002922D7" w14:paraId="2784D537" w14:textId="77777777" w:rsidTr="007B5D64">
        <w:tc>
          <w:tcPr>
            <w:tcW w:w="1805" w:type="dxa"/>
            <w:vMerge/>
          </w:tcPr>
          <w:p w14:paraId="4D24D296" w14:textId="77777777" w:rsidR="00D65C17" w:rsidRPr="002922D7" w:rsidRDefault="00D65C17" w:rsidP="004246CD">
            <w:pPr>
              <w:rPr>
                <w:rFonts w:ascii="Arial" w:hAnsi="Arial" w:cs="Arial"/>
                <w:sz w:val="20"/>
                <w:szCs w:val="20"/>
              </w:rPr>
            </w:pPr>
          </w:p>
        </w:tc>
        <w:tc>
          <w:tcPr>
            <w:tcW w:w="2004" w:type="dxa"/>
          </w:tcPr>
          <w:p w14:paraId="18AFA7ED" w14:textId="77777777" w:rsidR="00D65C17" w:rsidRPr="002922D7" w:rsidRDefault="00D65C17" w:rsidP="004246CD">
            <w:pPr>
              <w:rPr>
                <w:rFonts w:ascii="Arial" w:hAnsi="Arial" w:cs="Arial"/>
                <w:sz w:val="20"/>
                <w:szCs w:val="20"/>
              </w:rPr>
            </w:pPr>
            <w:r w:rsidRPr="002922D7">
              <w:rPr>
                <w:rFonts w:ascii="Arial" w:hAnsi="Arial" w:cs="Arial"/>
                <w:sz w:val="20"/>
                <w:szCs w:val="20"/>
              </w:rPr>
              <w:t xml:space="preserve">Duration Variability </w:t>
            </w:r>
          </w:p>
        </w:tc>
        <w:tc>
          <w:tcPr>
            <w:tcW w:w="1407" w:type="dxa"/>
          </w:tcPr>
          <w:p w14:paraId="25C9E400" w14:textId="77777777" w:rsidR="00D65C17" w:rsidRPr="002922D7" w:rsidRDefault="00D65C17" w:rsidP="004246CD">
            <w:pPr>
              <w:rPr>
                <w:rFonts w:ascii="Arial" w:hAnsi="Arial" w:cs="Arial"/>
                <w:sz w:val="20"/>
                <w:szCs w:val="20"/>
              </w:rPr>
            </w:pPr>
            <w:r w:rsidRPr="002922D7">
              <w:rPr>
                <w:rFonts w:ascii="Arial" w:hAnsi="Arial" w:cs="Arial"/>
                <w:sz w:val="20"/>
                <w:szCs w:val="20"/>
              </w:rPr>
              <w:t>h</w:t>
            </w:r>
          </w:p>
        </w:tc>
        <w:tc>
          <w:tcPr>
            <w:tcW w:w="3800" w:type="dxa"/>
          </w:tcPr>
          <w:p w14:paraId="4D3C909E" w14:textId="77777777" w:rsidR="00D65C17" w:rsidRPr="002922D7" w:rsidRDefault="00D65C17" w:rsidP="004246CD">
            <w:pPr>
              <w:rPr>
                <w:rFonts w:ascii="Arial" w:hAnsi="Arial" w:cs="Arial"/>
                <w:sz w:val="20"/>
                <w:szCs w:val="20"/>
              </w:rPr>
            </w:pPr>
            <w:r w:rsidRPr="002922D7">
              <w:rPr>
                <w:rFonts w:ascii="Arial" w:hAnsi="Arial" w:cs="Arial"/>
                <w:sz w:val="20"/>
                <w:szCs w:val="20"/>
              </w:rPr>
              <w:t>Standard deviation of sleep duration over all days logged during the baseline period (1 month)</w:t>
            </w:r>
          </w:p>
        </w:tc>
      </w:tr>
    </w:tbl>
    <w:p w14:paraId="363CEF7E" w14:textId="77777777" w:rsidR="007B5D64" w:rsidRPr="002922D7" w:rsidRDefault="007B5D64" w:rsidP="007B5D64">
      <w:pPr>
        <w:rPr>
          <w:rFonts w:ascii="Arial" w:hAnsi="Arial" w:cs="Arial"/>
          <w:b/>
          <w:bCs/>
          <w:sz w:val="20"/>
          <w:szCs w:val="20"/>
        </w:rPr>
      </w:pPr>
    </w:p>
    <w:p w14:paraId="4F2EFE00" w14:textId="57F56F9C" w:rsidR="007B5D64" w:rsidRPr="002922D7" w:rsidRDefault="001141AF" w:rsidP="007B5D64">
      <w:pPr>
        <w:rPr>
          <w:rFonts w:ascii="Arial" w:hAnsi="Arial" w:cs="Arial"/>
          <w:sz w:val="20"/>
          <w:szCs w:val="20"/>
        </w:rPr>
      </w:pPr>
      <w:r w:rsidRPr="002922D7">
        <w:rPr>
          <w:rFonts w:ascii="Arial" w:hAnsi="Arial" w:cs="Arial"/>
          <w:b/>
          <w:bCs/>
          <w:sz w:val="20"/>
          <w:szCs w:val="20"/>
        </w:rPr>
        <w:t>Table S2. Partial eta-squared (η²</w:t>
      </w:r>
      <w:r w:rsidRPr="002922D7">
        <w:rPr>
          <w:rFonts w:ascii="Cambria Math" w:hAnsi="Cambria Math" w:cs="Cambria Math"/>
          <w:b/>
          <w:bCs/>
          <w:sz w:val="20"/>
          <w:szCs w:val="20"/>
        </w:rPr>
        <w:t>ₚ</w:t>
      </w:r>
      <w:r w:rsidRPr="002922D7">
        <w:rPr>
          <w:rFonts w:ascii="Arial" w:hAnsi="Arial" w:cs="Arial"/>
          <w:b/>
          <w:bCs/>
          <w:sz w:val="20"/>
          <w:szCs w:val="20"/>
        </w:rPr>
        <w:t>) values summarising overall discriminant validity of wearable-derived sleep and physical activity metrics across clustering methods.</w:t>
      </w:r>
      <w:r w:rsidRPr="002922D7">
        <w:rPr>
          <w:rFonts w:ascii="Arial" w:hAnsi="Arial" w:cs="Arial"/>
          <w:sz w:val="20"/>
          <w:szCs w:val="20"/>
        </w:rPr>
        <w:t xml:space="preserve"> Mean and median partial eta-squared values were computed across all wearable-derived outcome variables for each clustering method, reflecting the proportion of variance in sleep and physical activity metrics explained by cluster membership after adjusting for covariates. Higher values indicate greater discriminatory capacity of the derived cardiometabolic profiles with respect to wearable-derived behavioural outcomes. </w:t>
      </w:r>
      <w:r w:rsidR="002922D7" w:rsidRPr="002922D7">
        <w:rPr>
          <w:rFonts w:ascii="Arial" w:hAnsi="Arial" w:cs="Arial"/>
          <w:sz w:val="20"/>
          <w:szCs w:val="20"/>
        </w:rPr>
        <w:t xml:space="preserve">The LCA-derived solution demonstrated the greatest between-cluster differentiation on behavioural outcomes on average. </w:t>
      </w:r>
      <w:r w:rsidRPr="002922D7">
        <w:rPr>
          <w:rFonts w:ascii="Arial" w:hAnsi="Arial" w:cs="Arial"/>
          <w:sz w:val="20"/>
          <w:szCs w:val="20"/>
        </w:rPr>
        <w:t>Abbreviations: LCA, latent class analysis; LPA, latent profile analysis; SOM, self-organising map.</w:t>
      </w:r>
    </w:p>
    <w:tbl>
      <w:tblPr>
        <w:tblStyle w:val="TableGrid"/>
        <w:tblW w:w="9067" w:type="dxa"/>
        <w:tblLook w:val="04A0" w:firstRow="1" w:lastRow="0" w:firstColumn="1" w:lastColumn="0" w:noHBand="0" w:noVBand="1"/>
      </w:tblPr>
      <w:tblGrid>
        <w:gridCol w:w="3022"/>
        <w:gridCol w:w="3022"/>
        <w:gridCol w:w="3023"/>
      </w:tblGrid>
      <w:tr w:rsidR="00FC1CC9" w:rsidRPr="002922D7" w14:paraId="377DB129" w14:textId="77777777" w:rsidTr="00FC1CC9">
        <w:tc>
          <w:tcPr>
            <w:tcW w:w="3022" w:type="dxa"/>
          </w:tcPr>
          <w:p w14:paraId="0377D373" w14:textId="757559C5" w:rsidR="00FC1CC9" w:rsidRPr="002922D7" w:rsidRDefault="00FC1CC9" w:rsidP="00D65C17">
            <w:pPr>
              <w:rPr>
                <w:rFonts w:ascii="Arial" w:hAnsi="Arial" w:cs="Arial"/>
                <w:b/>
                <w:bCs/>
                <w:sz w:val="20"/>
                <w:szCs w:val="20"/>
              </w:rPr>
            </w:pPr>
            <w:r w:rsidRPr="002922D7">
              <w:rPr>
                <w:rFonts w:ascii="Arial" w:hAnsi="Arial" w:cs="Arial"/>
                <w:b/>
                <w:bCs/>
                <w:sz w:val="20"/>
                <w:szCs w:val="20"/>
                <w:lang w:val="en-SG"/>
              </w:rPr>
              <w:t>Clustering Method</w:t>
            </w:r>
          </w:p>
        </w:tc>
        <w:tc>
          <w:tcPr>
            <w:tcW w:w="3022" w:type="dxa"/>
          </w:tcPr>
          <w:p w14:paraId="26F78C97" w14:textId="2E3F58F2" w:rsidR="00FC1CC9" w:rsidRPr="002922D7" w:rsidRDefault="00FC1CC9" w:rsidP="00D65C17">
            <w:pPr>
              <w:rPr>
                <w:rFonts w:ascii="Arial" w:hAnsi="Arial" w:cs="Arial"/>
                <w:b/>
                <w:bCs/>
                <w:sz w:val="20"/>
                <w:szCs w:val="20"/>
              </w:rPr>
            </w:pPr>
            <w:r w:rsidRPr="002922D7">
              <w:rPr>
                <w:rFonts w:ascii="Arial" w:hAnsi="Arial" w:cs="Arial"/>
                <w:b/>
                <w:bCs/>
                <w:sz w:val="20"/>
                <w:szCs w:val="20"/>
              </w:rPr>
              <w:t xml:space="preserve">Mean </w:t>
            </w:r>
            <w:proofErr w:type="gramStart"/>
            <w:r w:rsidRPr="002922D7">
              <w:rPr>
                <w:rFonts w:ascii="Arial" w:hAnsi="Arial" w:cs="Arial"/>
                <w:b/>
                <w:bCs/>
                <w:sz w:val="20"/>
                <w:szCs w:val="20"/>
              </w:rPr>
              <w:t>partial-eta</w:t>
            </w:r>
            <w:proofErr w:type="gramEnd"/>
          </w:p>
        </w:tc>
        <w:tc>
          <w:tcPr>
            <w:tcW w:w="3023" w:type="dxa"/>
          </w:tcPr>
          <w:p w14:paraId="01D93DF9" w14:textId="14DA41D7" w:rsidR="00FC1CC9" w:rsidRPr="002922D7" w:rsidRDefault="00FC1CC9" w:rsidP="00D65C17">
            <w:pPr>
              <w:rPr>
                <w:rFonts w:ascii="Arial" w:hAnsi="Arial" w:cs="Arial"/>
                <w:b/>
                <w:bCs/>
                <w:sz w:val="20"/>
                <w:szCs w:val="20"/>
              </w:rPr>
            </w:pPr>
            <w:r w:rsidRPr="002922D7">
              <w:rPr>
                <w:rFonts w:ascii="Arial" w:hAnsi="Arial" w:cs="Arial"/>
                <w:b/>
                <w:bCs/>
                <w:sz w:val="20"/>
                <w:szCs w:val="20"/>
              </w:rPr>
              <w:t>Median partial-eta</w:t>
            </w:r>
          </w:p>
        </w:tc>
      </w:tr>
      <w:tr w:rsidR="00FC1CC9" w:rsidRPr="002922D7" w14:paraId="1B2D9338" w14:textId="77777777" w:rsidTr="00FC1CC9">
        <w:tc>
          <w:tcPr>
            <w:tcW w:w="3022" w:type="dxa"/>
          </w:tcPr>
          <w:p w14:paraId="6C023088" w14:textId="30826C8B" w:rsidR="00FC1CC9" w:rsidRPr="002922D7" w:rsidRDefault="00FC1CC9" w:rsidP="00D65C17">
            <w:pPr>
              <w:rPr>
                <w:rFonts w:ascii="Arial" w:hAnsi="Arial" w:cs="Arial"/>
                <w:sz w:val="20"/>
                <w:szCs w:val="20"/>
              </w:rPr>
            </w:pPr>
            <w:r w:rsidRPr="002922D7">
              <w:rPr>
                <w:rFonts w:ascii="Arial" w:hAnsi="Arial" w:cs="Arial"/>
                <w:sz w:val="20"/>
                <w:szCs w:val="20"/>
              </w:rPr>
              <w:t>LCA</w:t>
            </w:r>
          </w:p>
        </w:tc>
        <w:tc>
          <w:tcPr>
            <w:tcW w:w="3022" w:type="dxa"/>
          </w:tcPr>
          <w:p w14:paraId="2B0CCBEA" w14:textId="7EE442BC" w:rsidR="00FC1CC9" w:rsidRPr="002922D7" w:rsidRDefault="00FC1CC9" w:rsidP="00D65C17">
            <w:pPr>
              <w:rPr>
                <w:rFonts w:ascii="Arial" w:hAnsi="Arial" w:cs="Arial"/>
                <w:sz w:val="20"/>
                <w:szCs w:val="20"/>
              </w:rPr>
            </w:pPr>
            <w:r w:rsidRPr="002922D7">
              <w:rPr>
                <w:rFonts w:ascii="Arial" w:hAnsi="Arial" w:cs="Arial"/>
                <w:sz w:val="20"/>
                <w:szCs w:val="20"/>
              </w:rPr>
              <w:t>0.0438</w:t>
            </w:r>
          </w:p>
        </w:tc>
        <w:tc>
          <w:tcPr>
            <w:tcW w:w="3023" w:type="dxa"/>
          </w:tcPr>
          <w:p w14:paraId="24F7A940" w14:textId="4EFC22CA" w:rsidR="00FC1CC9" w:rsidRPr="002922D7" w:rsidRDefault="00FC1CC9" w:rsidP="00D65C17">
            <w:pPr>
              <w:rPr>
                <w:rFonts w:ascii="Arial" w:hAnsi="Arial" w:cs="Arial"/>
                <w:sz w:val="20"/>
                <w:szCs w:val="20"/>
              </w:rPr>
            </w:pPr>
            <w:r w:rsidRPr="002922D7">
              <w:rPr>
                <w:rFonts w:ascii="Arial" w:hAnsi="Arial" w:cs="Arial"/>
                <w:sz w:val="20"/>
                <w:szCs w:val="20"/>
              </w:rPr>
              <w:t>0.0426</w:t>
            </w:r>
          </w:p>
        </w:tc>
      </w:tr>
      <w:tr w:rsidR="00FC1CC9" w:rsidRPr="002922D7" w14:paraId="5F85501F" w14:textId="77777777" w:rsidTr="00FC1CC9">
        <w:tc>
          <w:tcPr>
            <w:tcW w:w="3022" w:type="dxa"/>
          </w:tcPr>
          <w:p w14:paraId="57C2211D" w14:textId="591939A0" w:rsidR="00FC1CC9" w:rsidRPr="002922D7" w:rsidRDefault="00FC1CC9" w:rsidP="00D65C17">
            <w:pPr>
              <w:rPr>
                <w:rFonts w:ascii="Arial" w:hAnsi="Arial" w:cs="Arial"/>
                <w:sz w:val="20"/>
                <w:szCs w:val="20"/>
              </w:rPr>
            </w:pPr>
            <w:r w:rsidRPr="002922D7">
              <w:rPr>
                <w:rFonts w:ascii="Arial" w:hAnsi="Arial" w:cs="Arial"/>
                <w:sz w:val="20"/>
                <w:szCs w:val="20"/>
              </w:rPr>
              <w:t>LPA</w:t>
            </w:r>
          </w:p>
        </w:tc>
        <w:tc>
          <w:tcPr>
            <w:tcW w:w="3022" w:type="dxa"/>
          </w:tcPr>
          <w:p w14:paraId="4D7D2EC6" w14:textId="78B45813" w:rsidR="00FC1CC9" w:rsidRPr="002922D7" w:rsidRDefault="00FC1CC9" w:rsidP="00D65C17">
            <w:pPr>
              <w:rPr>
                <w:rFonts w:ascii="Arial" w:hAnsi="Arial" w:cs="Arial"/>
                <w:sz w:val="20"/>
                <w:szCs w:val="20"/>
              </w:rPr>
            </w:pPr>
            <w:r w:rsidRPr="002922D7">
              <w:rPr>
                <w:rFonts w:ascii="Arial" w:hAnsi="Arial" w:cs="Arial"/>
                <w:sz w:val="20"/>
                <w:szCs w:val="20"/>
              </w:rPr>
              <w:t>0.0270</w:t>
            </w:r>
          </w:p>
        </w:tc>
        <w:tc>
          <w:tcPr>
            <w:tcW w:w="3023" w:type="dxa"/>
          </w:tcPr>
          <w:p w14:paraId="56784895" w14:textId="4C2EB4BE" w:rsidR="00FC1CC9" w:rsidRPr="002922D7" w:rsidRDefault="00FC1CC9" w:rsidP="00D65C17">
            <w:pPr>
              <w:rPr>
                <w:rFonts w:ascii="Arial" w:hAnsi="Arial" w:cs="Arial"/>
                <w:sz w:val="20"/>
                <w:szCs w:val="20"/>
              </w:rPr>
            </w:pPr>
            <w:r w:rsidRPr="002922D7">
              <w:rPr>
                <w:rFonts w:ascii="Arial" w:hAnsi="Arial" w:cs="Arial"/>
                <w:sz w:val="20"/>
                <w:szCs w:val="20"/>
              </w:rPr>
              <w:t>0.0220</w:t>
            </w:r>
          </w:p>
        </w:tc>
      </w:tr>
      <w:tr w:rsidR="00FC1CC9" w:rsidRPr="002922D7" w14:paraId="20A554BB" w14:textId="77777777" w:rsidTr="00FC1CC9">
        <w:tc>
          <w:tcPr>
            <w:tcW w:w="3022" w:type="dxa"/>
          </w:tcPr>
          <w:p w14:paraId="09EB311C" w14:textId="06E31C2D" w:rsidR="00FC1CC9" w:rsidRPr="002922D7" w:rsidRDefault="00FC1CC9" w:rsidP="00D65C17">
            <w:pPr>
              <w:rPr>
                <w:rFonts w:ascii="Arial" w:hAnsi="Arial" w:cs="Arial"/>
                <w:sz w:val="20"/>
                <w:szCs w:val="20"/>
              </w:rPr>
            </w:pPr>
            <w:r w:rsidRPr="002922D7">
              <w:rPr>
                <w:rFonts w:ascii="Arial" w:hAnsi="Arial" w:cs="Arial"/>
                <w:sz w:val="20"/>
                <w:szCs w:val="20"/>
              </w:rPr>
              <w:t>k-medoids</w:t>
            </w:r>
          </w:p>
        </w:tc>
        <w:tc>
          <w:tcPr>
            <w:tcW w:w="3022" w:type="dxa"/>
          </w:tcPr>
          <w:p w14:paraId="1EC7B5B9" w14:textId="58C596BB" w:rsidR="00FC1CC9" w:rsidRPr="002922D7" w:rsidRDefault="00FC1CC9" w:rsidP="00D65C17">
            <w:pPr>
              <w:rPr>
                <w:rFonts w:ascii="Arial" w:hAnsi="Arial" w:cs="Arial"/>
                <w:sz w:val="20"/>
                <w:szCs w:val="20"/>
              </w:rPr>
            </w:pPr>
            <w:r w:rsidRPr="002922D7">
              <w:rPr>
                <w:rFonts w:ascii="Arial" w:hAnsi="Arial" w:cs="Arial"/>
                <w:sz w:val="20"/>
                <w:szCs w:val="20"/>
              </w:rPr>
              <w:t>0.0430</w:t>
            </w:r>
          </w:p>
        </w:tc>
        <w:tc>
          <w:tcPr>
            <w:tcW w:w="3023" w:type="dxa"/>
          </w:tcPr>
          <w:p w14:paraId="6E9336AC" w14:textId="209ACCE6" w:rsidR="00FC1CC9" w:rsidRPr="002922D7" w:rsidRDefault="00FC1CC9" w:rsidP="00D65C17">
            <w:pPr>
              <w:rPr>
                <w:rFonts w:ascii="Arial" w:hAnsi="Arial" w:cs="Arial"/>
                <w:sz w:val="20"/>
                <w:szCs w:val="20"/>
              </w:rPr>
            </w:pPr>
            <w:r w:rsidRPr="002922D7">
              <w:rPr>
                <w:rFonts w:ascii="Arial" w:hAnsi="Arial" w:cs="Arial"/>
                <w:sz w:val="20"/>
                <w:szCs w:val="20"/>
              </w:rPr>
              <w:t>0.0353</w:t>
            </w:r>
          </w:p>
        </w:tc>
      </w:tr>
      <w:tr w:rsidR="00FC1CC9" w:rsidRPr="002922D7" w14:paraId="25A530A7" w14:textId="77777777" w:rsidTr="00FC1CC9">
        <w:tc>
          <w:tcPr>
            <w:tcW w:w="3022" w:type="dxa"/>
          </w:tcPr>
          <w:p w14:paraId="48DDAB79" w14:textId="593F3BDA" w:rsidR="00FC1CC9" w:rsidRPr="002922D7" w:rsidRDefault="00FC1CC9" w:rsidP="00D65C17">
            <w:pPr>
              <w:rPr>
                <w:rFonts w:ascii="Arial" w:hAnsi="Arial" w:cs="Arial"/>
                <w:sz w:val="20"/>
                <w:szCs w:val="20"/>
              </w:rPr>
            </w:pPr>
            <w:r w:rsidRPr="002922D7">
              <w:rPr>
                <w:rFonts w:ascii="Arial" w:hAnsi="Arial" w:cs="Arial"/>
                <w:sz w:val="20"/>
                <w:szCs w:val="20"/>
              </w:rPr>
              <w:t>SOM</w:t>
            </w:r>
          </w:p>
        </w:tc>
        <w:tc>
          <w:tcPr>
            <w:tcW w:w="3022" w:type="dxa"/>
          </w:tcPr>
          <w:p w14:paraId="7B082F9F" w14:textId="06E467C5" w:rsidR="00FC1CC9" w:rsidRPr="002922D7" w:rsidRDefault="00FC1CC9" w:rsidP="00D65C17">
            <w:pPr>
              <w:rPr>
                <w:rFonts w:ascii="Arial" w:hAnsi="Arial" w:cs="Arial"/>
                <w:sz w:val="20"/>
                <w:szCs w:val="20"/>
              </w:rPr>
            </w:pPr>
            <w:r w:rsidRPr="002922D7">
              <w:rPr>
                <w:rFonts w:ascii="Arial" w:hAnsi="Arial" w:cs="Arial"/>
                <w:sz w:val="20"/>
                <w:szCs w:val="20"/>
              </w:rPr>
              <w:t>0.0397</w:t>
            </w:r>
          </w:p>
        </w:tc>
        <w:tc>
          <w:tcPr>
            <w:tcW w:w="3023" w:type="dxa"/>
          </w:tcPr>
          <w:p w14:paraId="0417F1D5" w14:textId="09EF72D5" w:rsidR="00FC1CC9" w:rsidRPr="002922D7" w:rsidRDefault="00FC1CC9" w:rsidP="00D65C17">
            <w:pPr>
              <w:rPr>
                <w:rFonts w:ascii="Arial" w:hAnsi="Arial" w:cs="Arial"/>
                <w:sz w:val="20"/>
                <w:szCs w:val="20"/>
              </w:rPr>
            </w:pPr>
            <w:r w:rsidRPr="002922D7">
              <w:rPr>
                <w:rFonts w:ascii="Arial" w:hAnsi="Arial" w:cs="Arial"/>
                <w:sz w:val="20"/>
                <w:szCs w:val="20"/>
              </w:rPr>
              <w:t>0.0380</w:t>
            </w:r>
          </w:p>
        </w:tc>
      </w:tr>
    </w:tbl>
    <w:p w14:paraId="2DF47453" w14:textId="77777777" w:rsidR="00D65C17" w:rsidRPr="002922D7" w:rsidRDefault="00D65C17" w:rsidP="00D65C17">
      <w:pPr>
        <w:rPr>
          <w:rFonts w:ascii="Arial" w:hAnsi="Arial" w:cs="Arial"/>
          <w:sz w:val="20"/>
          <w:szCs w:val="20"/>
        </w:rPr>
      </w:pPr>
    </w:p>
    <w:p w14:paraId="71A2A043" w14:textId="7C4C7BBD" w:rsidR="00704C93" w:rsidRPr="00EA6B85" w:rsidRDefault="00900953" w:rsidP="00D75E5A">
      <w:pPr>
        <w:rPr>
          <w:rFonts w:ascii="Arial" w:hAnsi="Arial" w:cs="Arial"/>
          <w:b/>
          <w:bCs/>
          <w:sz w:val="20"/>
          <w:szCs w:val="20"/>
        </w:rPr>
      </w:pPr>
      <w:r w:rsidRPr="00EA6B85">
        <w:rPr>
          <w:rFonts w:ascii="Arial" w:hAnsi="Arial" w:cs="Arial"/>
          <w:b/>
          <w:bCs/>
          <w:sz w:val="20"/>
          <w:szCs w:val="20"/>
        </w:rPr>
        <w:t>SUPPLEMENTARY REFERENCES</w:t>
      </w:r>
    </w:p>
    <w:p w14:paraId="19AF237B" w14:textId="77777777" w:rsidR="007B5D64" w:rsidRPr="00EA6B85" w:rsidRDefault="00704C93" w:rsidP="007B5D64">
      <w:pPr>
        <w:pStyle w:val="EndNoteBibliography"/>
        <w:spacing w:after="0"/>
        <w:rPr>
          <w:rFonts w:ascii="Arial" w:hAnsi="Arial" w:cs="Arial"/>
          <w:sz w:val="20"/>
          <w:szCs w:val="20"/>
        </w:rPr>
      </w:pPr>
      <w:r w:rsidRPr="00EA6B85">
        <w:rPr>
          <w:rFonts w:ascii="Arial" w:hAnsi="Arial" w:cs="Arial"/>
          <w:sz w:val="20"/>
          <w:szCs w:val="20"/>
        </w:rPr>
        <w:fldChar w:fldCharType="begin"/>
      </w:r>
      <w:r w:rsidRPr="00EA6B85">
        <w:rPr>
          <w:rFonts w:ascii="Arial" w:hAnsi="Arial" w:cs="Arial"/>
          <w:sz w:val="20"/>
          <w:szCs w:val="20"/>
        </w:rPr>
        <w:instrText xml:space="preserve"> ADDIN EN.REFLIST </w:instrText>
      </w:r>
      <w:r w:rsidRPr="00EA6B85">
        <w:rPr>
          <w:rFonts w:ascii="Arial" w:hAnsi="Arial" w:cs="Arial"/>
          <w:sz w:val="20"/>
          <w:szCs w:val="20"/>
        </w:rPr>
        <w:fldChar w:fldCharType="separate"/>
      </w:r>
      <w:r w:rsidR="007B5D64" w:rsidRPr="00EA6B85">
        <w:rPr>
          <w:rFonts w:ascii="Arial" w:hAnsi="Arial" w:cs="Arial"/>
          <w:sz w:val="20"/>
          <w:szCs w:val="20"/>
        </w:rPr>
        <w:t>1.</w:t>
      </w:r>
      <w:r w:rsidR="007B5D64" w:rsidRPr="00EA6B85">
        <w:rPr>
          <w:rFonts w:ascii="Arial" w:hAnsi="Arial" w:cs="Arial"/>
          <w:sz w:val="20"/>
          <w:szCs w:val="20"/>
        </w:rPr>
        <w:tab/>
        <w:t>Gao S, Mutter S, Casey A, Makinen VP. Numero: a statistical framework to define multivariable subgroups in complex population-based datasets. Int J Epidemiol. 2019;48(2):369-74.</w:t>
      </w:r>
    </w:p>
    <w:p w14:paraId="7C4BF3A7" w14:textId="77777777" w:rsidR="007B5D64" w:rsidRPr="00EA6B85" w:rsidRDefault="007B5D64" w:rsidP="007B5D64">
      <w:pPr>
        <w:pStyle w:val="EndNoteBibliography"/>
        <w:rPr>
          <w:rFonts w:ascii="Arial" w:hAnsi="Arial" w:cs="Arial"/>
          <w:sz w:val="20"/>
          <w:szCs w:val="20"/>
        </w:rPr>
      </w:pPr>
      <w:r w:rsidRPr="00EA6B85">
        <w:rPr>
          <w:rFonts w:ascii="Arial" w:hAnsi="Arial" w:cs="Arial"/>
          <w:sz w:val="20"/>
          <w:szCs w:val="20"/>
        </w:rPr>
        <w:t>2.</w:t>
      </w:r>
      <w:r w:rsidRPr="00EA6B85">
        <w:rPr>
          <w:rFonts w:ascii="Arial" w:hAnsi="Arial" w:cs="Arial"/>
          <w:sz w:val="20"/>
          <w:szCs w:val="20"/>
        </w:rPr>
        <w:tab/>
        <w:t>Chee MW, Baumert M, Scott H, Cellini N, Goldstein C, Baron K, et al. World Sleep Society recommendations for the use of wearable consumer health trackers that monitor sleep. Sleep Med. 2025;131:106506.</w:t>
      </w:r>
    </w:p>
    <w:p w14:paraId="749FD7D1" w14:textId="7FAC804E" w:rsidR="00D65C17" w:rsidRPr="00DB1BB1" w:rsidRDefault="00704C93" w:rsidP="00D75E5A">
      <w:pPr>
        <w:rPr>
          <w:rFonts w:ascii="Arial" w:hAnsi="Arial" w:cs="Arial"/>
        </w:rPr>
      </w:pPr>
      <w:r w:rsidRPr="00EA6B85">
        <w:rPr>
          <w:rFonts w:ascii="Arial" w:hAnsi="Arial" w:cs="Arial"/>
          <w:sz w:val="20"/>
          <w:szCs w:val="20"/>
        </w:rPr>
        <w:fldChar w:fldCharType="end"/>
      </w:r>
    </w:p>
    <w:sectPr w:rsidR="00D65C17" w:rsidRPr="00DB1B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tpv9v5280rspce09ss55xxua9xw2de2ffr5&quot;&gt;RESET&lt;record-ids&gt;&lt;item&gt;100&lt;/item&gt;&lt;item&gt;176&lt;/item&gt;&lt;/record-ids&gt;&lt;/item&gt;&lt;/Libraries&gt;"/>
  </w:docVars>
  <w:rsids>
    <w:rsidRoot w:val="006A6F3A"/>
    <w:rsid w:val="00000298"/>
    <w:rsid w:val="00006B5B"/>
    <w:rsid w:val="000E51EE"/>
    <w:rsid w:val="000F6F94"/>
    <w:rsid w:val="00106927"/>
    <w:rsid w:val="001141AF"/>
    <w:rsid w:val="0014288E"/>
    <w:rsid w:val="00196B01"/>
    <w:rsid w:val="001B4AD2"/>
    <w:rsid w:val="001D41AF"/>
    <w:rsid w:val="001F442C"/>
    <w:rsid w:val="002111C0"/>
    <w:rsid w:val="0023245A"/>
    <w:rsid w:val="00243839"/>
    <w:rsid w:val="002922D7"/>
    <w:rsid w:val="002D08D9"/>
    <w:rsid w:val="0032261B"/>
    <w:rsid w:val="00363BD2"/>
    <w:rsid w:val="004653F3"/>
    <w:rsid w:val="004844CD"/>
    <w:rsid w:val="004B191E"/>
    <w:rsid w:val="004D53A3"/>
    <w:rsid w:val="005244AA"/>
    <w:rsid w:val="00554F71"/>
    <w:rsid w:val="005D3396"/>
    <w:rsid w:val="006A6F3A"/>
    <w:rsid w:val="006C2E64"/>
    <w:rsid w:val="006D6CAF"/>
    <w:rsid w:val="006F569D"/>
    <w:rsid w:val="00704C93"/>
    <w:rsid w:val="0072591E"/>
    <w:rsid w:val="00775406"/>
    <w:rsid w:val="00784D8D"/>
    <w:rsid w:val="007B5D64"/>
    <w:rsid w:val="007C0738"/>
    <w:rsid w:val="007C11DA"/>
    <w:rsid w:val="007F5EEE"/>
    <w:rsid w:val="00842AB1"/>
    <w:rsid w:val="00894E7C"/>
    <w:rsid w:val="008B5B91"/>
    <w:rsid w:val="008E0B33"/>
    <w:rsid w:val="00900953"/>
    <w:rsid w:val="00907D71"/>
    <w:rsid w:val="00964541"/>
    <w:rsid w:val="009734A4"/>
    <w:rsid w:val="009A5B51"/>
    <w:rsid w:val="009C1427"/>
    <w:rsid w:val="009F598B"/>
    <w:rsid w:val="00A61940"/>
    <w:rsid w:val="00B028B3"/>
    <w:rsid w:val="00B119D6"/>
    <w:rsid w:val="00B719E5"/>
    <w:rsid w:val="00BF6D58"/>
    <w:rsid w:val="00C217BB"/>
    <w:rsid w:val="00C5357C"/>
    <w:rsid w:val="00CA454C"/>
    <w:rsid w:val="00CC3409"/>
    <w:rsid w:val="00CD149E"/>
    <w:rsid w:val="00CD1D1C"/>
    <w:rsid w:val="00D162FC"/>
    <w:rsid w:val="00D163AF"/>
    <w:rsid w:val="00D65C17"/>
    <w:rsid w:val="00D71281"/>
    <w:rsid w:val="00D75E5A"/>
    <w:rsid w:val="00D8188D"/>
    <w:rsid w:val="00D97372"/>
    <w:rsid w:val="00DB1BB1"/>
    <w:rsid w:val="00DB4EE2"/>
    <w:rsid w:val="00DD570A"/>
    <w:rsid w:val="00DD6F83"/>
    <w:rsid w:val="00E20FF4"/>
    <w:rsid w:val="00E34FF1"/>
    <w:rsid w:val="00E54F4F"/>
    <w:rsid w:val="00E824AF"/>
    <w:rsid w:val="00E84CF2"/>
    <w:rsid w:val="00EA6B85"/>
    <w:rsid w:val="00EC164D"/>
    <w:rsid w:val="00EE561A"/>
    <w:rsid w:val="00F542EE"/>
    <w:rsid w:val="00F63D77"/>
    <w:rsid w:val="00FC1CC9"/>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C6745"/>
  <w15:chartTrackingRefBased/>
  <w15:docId w15:val="{A4AB6463-14B0-4C3B-82B2-71E7F1EE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S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6F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6F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6F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6F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6F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6F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6F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6F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6F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6F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6F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6F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6F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6F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6F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6F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6F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6F3A"/>
    <w:rPr>
      <w:rFonts w:eastAsiaTheme="majorEastAsia" w:cstheme="majorBidi"/>
      <w:color w:val="272727" w:themeColor="text1" w:themeTint="D8"/>
    </w:rPr>
  </w:style>
  <w:style w:type="paragraph" w:styleId="Title">
    <w:name w:val="Title"/>
    <w:basedOn w:val="Normal"/>
    <w:next w:val="Normal"/>
    <w:link w:val="TitleChar"/>
    <w:uiPriority w:val="10"/>
    <w:qFormat/>
    <w:rsid w:val="006A6F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6F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6F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6F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6F3A"/>
    <w:pPr>
      <w:spacing w:before="160"/>
      <w:jc w:val="center"/>
    </w:pPr>
    <w:rPr>
      <w:i/>
      <w:iCs/>
      <w:color w:val="404040" w:themeColor="text1" w:themeTint="BF"/>
    </w:rPr>
  </w:style>
  <w:style w:type="character" w:customStyle="1" w:styleId="QuoteChar">
    <w:name w:val="Quote Char"/>
    <w:basedOn w:val="DefaultParagraphFont"/>
    <w:link w:val="Quote"/>
    <w:uiPriority w:val="29"/>
    <w:rsid w:val="006A6F3A"/>
    <w:rPr>
      <w:i/>
      <w:iCs/>
      <w:color w:val="404040" w:themeColor="text1" w:themeTint="BF"/>
    </w:rPr>
  </w:style>
  <w:style w:type="paragraph" w:styleId="ListParagraph">
    <w:name w:val="List Paragraph"/>
    <w:basedOn w:val="Normal"/>
    <w:uiPriority w:val="34"/>
    <w:qFormat/>
    <w:rsid w:val="006A6F3A"/>
    <w:pPr>
      <w:ind w:left="720"/>
      <w:contextualSpacing/>
    </w:pPr>
  </w:style>
  <w:style w:type="character" w:styleId="IntenseEmphasis">
    <w:name w:val="Intense Emphasis"/>
    <w:basedOn w:val="DefaultParagraphFont"/>
    <w:uiPriority w:val="21"/>
    <w:qFormat/>
    <w:rsid w:val="006A6F3A"/>
    <w:rPr>
      <w:i/>
      <w:iCs/>
      <w:color w:val="0F4761" w:themeColor="accent1" w:themeShade="BF"/>
    </w:rPr>
  </w:style>
  <w:style w:type="paragraph" w:styleId="IntenseQuote">
    <w:name w:val="Intense Quote"/>
    <w:basedOn w:val="Normal"/>
    <w:next w:val="Normal"/>
    <w:link w:val="IntenseQuoteChar"/>
    <w:uiPriority w:val="30"/>
    <w:qFormat/>
    <w:rsid w:val="006A6F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6F3A"/>
    <w:rPr>
      <w:i/>
      <w:iCs/>
      <w:color w:val="0F4761" w:themeColor="accent1" w:themeShade="BF"/>
    </w:rPr>
  </w:style>
  <w:style w:type="character" w:styleId="IntenseReference">
    <w:name w:val="Intense Reference"/>
    <w:basedOn w:val="DefaultParagraphFont"/>
    <w:uiPriority w:val="32"/>
    <w:qFormat/>
    <w:rsid w:val="006A6F3A"/>
    <w:rPr>
      <w:b/>
      <w:bCs/>
      <w:smallCaps/>
      <w:color w:val="0F4761" w:themeColor="accent1" w:themeShade="BF"/>
      <w:spacing w:val="5"/>
    </w:rPr>
  </w:style>
  <w:style w:type="table" w:styleId="TableGrid">
    <w:name w:val="Table Grid"/>
    <w:basedOn w:val="TableNormal"/>
    <w:uiPriority w:val="39"/>
    <w:rsid w:val="00D65C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704C93"/>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704C93"/>
    <w:rPr>
      <w:rFonts w:ascii="Aptos" w:hAnsi="Aptos"/>
      <w:noProof/>
    </w:rPr>
  </w:style>
  <w:style w:type="paragraph" w:customStyle="1" w:styleId="EndNoteBibliography">
    <w:name w:val="EndNote Bibliography"/>
    <w:basedOn w:val="Normal"/>
    <w:link w:val="EndNoteBibliographyChar"/>
    <w:rsid w:val="00704C93"/>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704C93"/>
    <w:rPr>
      <w:rFonts w:ascii="Aptos" w:hAnsi="Apto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9</Pages>
  <Words>2456</Words>
  <Characters>14002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Ong Ju Lynn</dc:creator>
  <cp:keywords/>
  <dc:description/>
  <cp:lastModifiedBy>Ong Ju Lynn</cp:lastModifiedBy>
  <cp:revision>67</cp:revision>
  <dcterms:created xsi:type="dcterms:W3CDTF">2026-07-04T16:23:00Z</dcterms:created>
  <dcterms:modified xsi:type="dcterms:W3CDTF">2026-08-14T09:57:00Z</dcterms:modified>
</cp:coreProperties>
</file>