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200" w:line="360" w:lineRule="auto"/>
        <w:jc w:val="left"/>
      </w:pPr>
      <w:r>
        <w:rPr>
          <w:rFonts w:ascii="Times New Roman" w:hAnsi="Times New Roman" w:eastAsia="Times New Roman"/>
          <w:b/>
          <w:sz w:val="28"/>
        </w:rPr>
        <w:t>Supplementary Table S1. MRI acquisition parameters.</w:t>
      </w:r>
    </w:p>
    <w:tbl>
      <w:tblPr>
        <w:tblW w:type="dxa" w:w="83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061"/>
        <w:gridCol w:w="5329"/>
      </w:tblGrid>
      <w:tr>
        <w:trPr>
          <w:tblHeader w:val="true"/>
        </w:trPr>
        <w:tc>
          <w:tcPr>
            <w:tcW w:type="dxa" w:w="8390"/>
            <w:gridSpan w:val="2"/>
            <w:vAlign w:val="center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MRI acquisition parameters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MRI system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3.0-T Siemens Prisma (Erlangen, Germany)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Receive coil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64-channel head/neck coil</w:t>
            </w:r>
          </w:p>
        </w:tc>
      </w:tr>
      <w:tr>
        <w:tc>
          <w:tcPr>
            <w:tcW w:type="dxa" w:w="8390"/>
            <w:gridSpan w:val="2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Resting-state fMRI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Sequence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Blood oxygen level-dependent gradient-echo echo-planar imaging (EPI)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Repetition time (TR)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2,000 ms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Echo time (TE)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30 ms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Matrix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64 × 64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Field of view (FOV)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230 × 230 mm²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Flip angle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90°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Slice number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37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Slice thickness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3.6 mm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Slice gap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0.36 mm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Acquired voxel size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3.6 × 3.6 × 3.6 mm³</w:t>
            </w:r>
          </w:p>
        </w:tc>
      </w:tr>
      <w:tr>
        <w:tc>
          <w:tcPr>
            <w:tcW w:type="dxa" w:w="8390"/>
            <w:gridSpan w:val="2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Diffusion MRI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Sequence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Diffusion tensor imaging echo-planar imaging (EPI)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Repetition time (TR)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5,000 ms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Echo time (TE)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69 ms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Matrix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128 × 128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Field of view (FOV)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224 × 224 mm²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Flip angle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90°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Slice number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35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Slice thickness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3.5 mm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Slice gap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0.70 mm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Acquired voxel size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1.75 × 1.75 × 3.5 mm³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b values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0 and 1,000 s/mm²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Diffusion-weighted volumes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90 at b = 1,000 s/mm²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b0 volumes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12</w:t>
            </w:r>
          </w:p>
        </w:tc>
      </w:tr>
      <w:tr>
        <w:tc>
          <w:tcPr>
            <w:tcW w:type="dxa" w:w="8390"/>
            <w:gridSpan w:val="2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Structural MRI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Sequence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Three-dimensional T1-weighted magnetization-prepared rapid gradient-echo (MPRAGE)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Repetition time (TR)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2,200 ms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Echo time (TE)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2.48 ms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Inversion time (TI)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900 ms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Matrix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256 × 256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Field of view (FOV)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230 × 230 mm²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Flip angle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8°</w:t>
            </w:r>
          </w:p>
        </w:tc>
      </w:tr>
      <w:tr>
        <w:tc>
          <w:tcPr>
            <w:tcW w:type="dxa" w:w="3061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Slice thickness</w:t>
            </w:r>
          </w:p>
        </w:tc>
        <w:tc>
          <w:tcPr>
            <w:tcW w:type="dxa" w:w="5329"/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1.0 mm</w:t>
            </w:r>
          </w:p>
        </w:tc>
      </w:tr>
      <w:tr>
        <w:tc>
          <w:tcPr>
            <w:tcW w:type="dxa" w:w="3061"/>
            <w:vAlign w:val="center"/>
            <w:tcBorders>
              <w:bottom w:val="single" w:sz="8" w:space="0" w:color="000000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Voxel size</w:t>
            </w:r>
          </w:p>
        </w:tc>
        <w:tc>
          <w:tcPr>
            <w:tcW w:type="dxa" w:w="5329"/>
            <w:vAlign w:val="center"/>
            <w:tcBorders>
              <w:bottom w:val="single" w:sz="8" w:space="0" w:color="000000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0.9 × 0.9 × 1.0 mm³</w:t>
            </w:r>
          </w:p>
        </w:tc>
      </w:tr>
    </w:tbl>
    <w:sectPr w:rsidR="00561D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6F"/>
    <w:rsid w:val="00561D37"/>
    <w:rsid w:val="00F7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76296"/>
  <w15:chartTrackingRefBased/>
  <w15:docId w15:val="{11D13F1A-B253-4230-B40C-FF97AFCB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71A6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Jannathnisha Meeranmaidheen (Integra)</dc:creator>
  <cp:keywords/>
  <dc:description/>
  <cp:lastModifiedBy>Jannathnisha Meeranmaidheen (Integra)</cp:lastModifiedBy>
  <cp:revision>1</cp:revision>
  <dcterms:created xsi:type="dcterms:W3CDTF">2025-03-16T08:25:00Z</dcterms:created>
  <dcterms:modified xsi:type="dcterms:W3CDTF">2025-03-16T08:25:00Z</dcterms:modified>
</cp:coreProperties>
</file>