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F1E1E">
      <w:pPr>
        <w:pStyle w:val="3"/>
        <w:keepNext/>
        <w:spacing w:before="0" w:after="0" w:line="360" w:lineRule="auto"/>
        <w:jc w:val="center"/>
        <w:rPr>
          <w:rFonts w:hint="default" w:ascii="Times New Roman" w:hAnsi="Times New Roman" w:cs="Times New Roman"/>
          <w:sz w:val="32"/>
          <w:szCs w:val="32"/>
        </w:rPr>
      </w:pPr>
      <w:r>
        <w:rPr>
          <w:rFonts w:hint="default" w:ascii="Times New Roman" w:hAnsi="Times New Roman" w:eastAsia="Times New Roman" w:cs="Times New Roman"/>
          <w:b/>
          <w:i w:val="0"/>
          <w:sz w:val="32"/>
          <w:szCs w:val="32"/>
        </w:rPr>
        <w:t>Supplementary Material</w:t>
      </w:r>
    </w:p>
    <w:p w14:paraId="4EF3F8EC">
      <w:pPr>
        <w:spacing w:before="0"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Supplementary material for ‘When Proof Fails: eVisa Repair and Everyday Bordering’. This file preserves the documentary corpus register, coding framework, cross-domain pathway matrix, descriptive evidence, negative-case log, claim–evidence traceability matrix, and methodological audit information that support the main manuscript. It also records the inferential status and scope conditions of the rights-continuity framework. References cited here are listed in the main manuscript.</w:t>
      </w:r>
    </w:p>
    <w:p w14:paraId="5FBAA6B7">
      <w:pPr>
        <w:spacing w:before="0" w:after="0" w:line="360" w:lineRule="auto"/>
        <w:jc w:val="both"/>
        <w:rPr>
          <w:rFonts w:hint="default" w:ascii="Times New Roman" w:hAnsi="Times New Roman" w:eastAsia="Times New Roman" w:cs="Times New Roman"/>
          <w:sz w:val="24"/>
          <w:szCs w:val="24"/>
        </w:rPr>
      </w:pPr>
    </w:p>
    <w:p w14:paraId="264F14D5">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A. Documentary Corpus and Version Register</w:t>
      </w:r>
    </w:p>
    <w:p w14:paraId="38A75514">
      <w:pPr>
        <w:spacing w:before="0" w:after="0" w:line="360" w:lineRule="auto"/>
        <w:ind w:firstLine="480"/>
        <w:jc w:val="both"/>
        <w:rPr>
          <w:rFonts w:hint="default" w:ascii="Times New Roman" w:hAnsi="Times New Roman" w:eastAsia="Times New Roman" w:cs="Times New Roman"/>
          <w:b w:val="0"/>
          <w:i w:val="0"/>
          <w:sz w:val="24"/>
          <w:szCs w:val="24"/>
        </w:rPr>
      </w:pPr>
      <w:r>
        <w:rPr>
          <w:rFonts w:hint="default" w:ascii="Times New Roman" w:hAnsi="Times New Roman" w:eastAsia="Times New Roman" w:cs="Times New Roman"/>
          <w:b w:val="0"/>
          <w:i w:val="0"/>
          <w:sz w:val="24"/>
          <w:szCs w:val="24"/>
        </w:rPr>
        <w:t>The core corpus comprises eight Home Office/UKVI documents or service pages that directly govern the production, verification, correction, or fallback of digital immigration proof. Four additional official pages were used to clarify service operation and versioning. Table A1 makes source selection and institutional provenance explicit.</w:t>
      </w:r>
    </w:p>
    <w:p w14:paraId="4C445424">
      <w:pPr>
        <w:spacing w:before="0" w:after="0" w:line="360" w:lineRule="auto"/>
        <w:ind w:firstLine="480"/>
        <w:jc w:val="both"/>
        <w:rPr>
          <w:rFonts w:hint="default" w:ascii="Times New Roman" w:hAnsi="Times New Roman" w:eastAsia="Times New Roman" w:cs="Times New Roman"/>
          <w:b w:val="0"/>
          <w:i w:val="0"/>
          <w:sz w:val="24"/>
          <w:szCs w:val="24"/>
        </w:rPr>
      </w:pPr>
    </w:p>
    <w:p w14:paraId="5668093D">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A1. </w:t>
      </w:r>
      <w:r>
        <w:rPr>
          <w:rFonts w:hint="default" w:ascii="Times New Roman" w:hAnsi="Times New Roman" w:eastAsia="Times New Roman" w:cs="Times New Roman"/>
          <w:b w:val="0"/>
          <w:i w:val="0"/>
          <w:sz w:val="24"/>
          <w:szCs w:val="24"/>
        </w:rPr>
        <w:t>Documentary corpus and version register.</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3"/>
        <w:gridCol w:w="3336"/>
        <w:gridCol w:w="2347"/>
        <w:gridCol w:w="3040"/>
      </w:tblGrid>
      <w:tr w14:paraId="03625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78" w:type="pct"/>
            <w:tcBorders>
              <w:top w:val="single" w:color="000000" w:sz="12" w:space="0"/>
              <w:left w:val="nil"/>
              <w:bottom w:val="single" w:color="000000" w:sz="8" w:space="0"/>
              <w:right w:val="single" w:color="000000" w:sz="12" w:space="0"/>
            </w:tcBorders>
            <w:shd w:val="clear" w:color="auto" w:fill="FFFFFF"/>
            <w:vAlign w:val="center"/>
          </w:tcPr>
          <w:p w14:paraId="4B2C17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ID</w:t>
            </w:r>
          </w:p>
        </w:tc>
        <w:tc>
          <w:tcPr>
            <w:tcW w:w="1805" w:type="pct"/>
            <w:tcBorders>
              <w:top w:val="single" w:color="000000" w:sz="12" w:space="0"/>
              <w:left w:val="nil"/>
              <w:bottom w:val="single" w:color="000000" w:sz="8" w:space="0"/>
              <w:right w:val="nil"/>
            </w:tcBorders>
            <w:shd w:val="clear" w:color="auto" w:fill="FFFFFF"/>
            <w:vAlign w:val="center"/>
          </w:tcPr>
          <w:p w14:paraId="3E7CD27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Official document/service</w:t>
            </w:r>
          </w:p>
        </w:tc>
        <w:tc>
          <w:tcPr>
            <w:tcW w:w="1270" w:type="pct"/>
            <w:tcBorders>
              <w:top w:val="single" w:color="000000" w:sz="12" w:space="0"/>
              <w:left w:val="nil"/>
              <w:bottom w:val="single" w:color="000000" w:sz="8" w:space="0"/>
              <w:right w:val="nil"/>
            </w:tcBorders>
            <w:shd w:val="clear" w:color="auto" w:fill="FFFFFF"/>
            <w:vAlign w:val="center"/>
          </w:tcPr>
          <w:p w14:paraId="799FDD5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Version/date</w:t>
            </w:r>
          </w:p>
        </w:tc>
        <w:tc>
          <w:tcPr>
            <w:tcW w:w="1645" w:type="pct"/>
            <w:tcBorders>
              <w:top w:val="single" w:color="000000" w:sz="12" w:space="0"/>
              <w:left w:val="nil"/>
              <w:bottom w:val="single" w:color="000000" w:sz="8" w:space="0"/>
              <w:right w:val="nil"/>
            </w:tcBorders>
            <w:shd w:val="clear" w:color="auto" w:fill="FFFFFF"/>
            <w:vAlign w:val="center"/>
          </w:tcPr>
          <w:p w14:paraId="19B6F0C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Analytical function</w:t>
            </w:r>
          </w:p>
        </w:tc>
      </w:tr>
      <w:tr w14:paraId="3634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0D90F19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A1</w:t>
            </w:r>
          </w:p>
        </w:tc>
        <w:tc>
          <w:tcPr>
            <w:tcW w:w="1805" w:type="pct"/>
            <w:tcBorders>
              <w:top w:val="nil"/>
              <w:left w:val="nil"/>
              <w:bottom w:val="nil"/>
              <w:right w:val="nil"/>
            </w:tcBorders>
            <w:shd w:val="clear" w:color="auto" w:fill="FFFFFF"/>
            <w:vAlign w:val="center"/>
          </w:tcPr>
          <w:p w14:paraId="1AEACF0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eVisas: access and use your online immigration status</w:t>
            </w:r>
          </w:p>
        </w:tc>
        <w:tc>
          <w:tcPr>
            <w:tcW w:w="1270" w:type="pct"/>
            <w:tcBorders>
              <w:top w:val="nil"/>
              <w:left w:val="nil"/>
              <w:bottom w:val="nil"/>
              <w:right w:val="nil"/>
            </w:tcBorders>
            <w:shd w:val="clear" w:color="auto" w:fill="FFFFFF"/>
            <w:vAlign w:val="center"/>
          </w:tcPr>
          <w:p w14:paraId="6B8CECE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12DB70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eVisa/UKVI account architecture and ordinary use</w:t>
            </w:r>
          </w:p>
        </w:tc>
      </w:tr>
      <w:tr w14:paraId="1F50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065C883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A2</w:t>
            </w:r>
          </w:p>
        </w:tc>
        <w:tc>
          <w:tcPr>
            <w:tcW w:w="1805" w:type="pct"/>
            <w:tcBorders>
              <w:top w:val="nil"/>
              <w:left w:val="nil"/>
              <w:bottom w:val="nil"/>
              <w:right w:val="nil"/>
            </w:tcBorders>
            <w:shd w:val="clear" w:color="auto" w:fill="FFFFFF"/>
            <w:vAlign w:val="center"/>
          </w:tcPr>
          <w:p w14:paraId="78617B3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View your eVisa and get a share code to prove your immigration status</w:t>
            </w:r>
          </w:p>
        </w:tc>
        <w:tc>
          <w:tcPr>
            <w:tcW w:w="1270" w:type="pct"/>
            <w:tcBorders>
              <w:top w:val="nil"/>
              <w:left w:val="nil"/>
              <w:bottom w:val="nil"/>
              <w:right w:val="nil"/>
            </w:tcBorders>
            <w:shd w:val="clear" w:color="auto" w:fill="FFFFFF"/>
            <w:vAlign w:val="center"/>
          </w:tcPr>
          <w:p w14:paraId="1995D74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23D9B89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purpose-specific proof to employers, landlords, and others</w:t>
            </w:r>
          </w:p>
        </w:tc>
      </w:tr>
      <w:tr w14:paraId="72D7F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5475D8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A3</w:t>
            </w:r>
          </w:p>
        </w:tc>
        <w:tc>
          <w:tcPr>
            <w:tcW w:w="1805" w:type="pct"/>
            <w:tcBorders>
              <w:top w:val="nil"/>
              <w:left w:val="nil"/>
              <w:bottom w:val="nil"/>
              <w:right w:val="nil"/>
            </w:tcBorders>
            <w:shd w:val="clear" w:color="auto" w:fill="FFFFFF"/>
            <w:vAlign w:val="center"/>
          </w:tcPr>
          <w:p w14:paraId="2788368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Report an error with your eVisa</w:t>
            </w:r>
          </w:p>
        </w:tc>
        <w:tc>
          <w:tcPr>
            <w:tcW w:w="1270" w:type="pct"/>
            <w:tcBorders>
              <w:top w:val="nil"/>
              <w:left w:val="nil"/>
              <w:bottom w:val="nil"/>
              <w:right w:val="nil"/>
            </w:tcBorders>
            <w:shd w:val="clear" w:color="auto" w:fill="FFFFFF"/>
            <w:vAlign w:val="center"/>
          </w:tcPr>
          <w:p w14:paraId="421076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4A972B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reportable error types and correction intake</w:t>
            </w:r>
          </w:p>
        </w:tc>
      </w:tr>
      <w:tr w14:paraId="394D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197ACBD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A4</w:t>
            </w:r>
          </w:p>
        </w:tc>
        <w:tc>
          <w:tcPr>
            <w:tcW w:w="1805" w:type="pct"/>
            <w:tcBorders>
              <w:top w:val="nil"/>
              <w:left w:val="nil"/>
              <w:bottom w:val="nil"/>
              <w:right w:val="nil"/>
            </w:tcBorders>
            <w:shd w:val="clear" w:color="auto" w:fill="FFFFFF"/>
            <w:vAlign w:val="center"/>
          </w:tcPr>
          <w:p w14:paraId="22C0DF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eVisa error correction volumes from the online webform</w:t>
            </w:r>
          </w:p>
        </w:tc>
        <w:tc>
          <w:tcPr>
            <w:tcW w:w="1270" w:type="pct"/>
            <w:tcBorders>
              <w:top w:val="nil"/>
              <w:left w:val="nil"/>
              <w:bottom w:val="nil"/>
              <w:right w:val="nil"/>
            </w:tcBorders>
            <w:shd w:val="clear" w:color="auto" w:fill="FFFFFF"/>
            <w:vAlign w:val="center"/>
          </w:tcPr>
          <w:p w14:paraId="4459F9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Updated 1 Jul 2026</w:t>
            </w:r>
          </w:p>
        </w:tc>
        <w:tc>
          <w:tcPr>
            <w:tcW w:w="1645" w:type="pct"/>
            <w:tcBorders>
              <w:top w:val="nil"/>
              <w:left w:val="nil"/>
              <w:bottom w:val="nil"/>
              <w:right w:val="nil"/>
            </w:tcBorders>
            <w:shd w:val="clear" w:color="auto" w:fill="FFFFFF"/>
            <w:vAlign w:val="center"/>
          </w:tcPr>
          <w:p w14:paraId="0155B93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Provides monthly corrected volumes, error categories, targets, and caveats</w:t>
            </w:r>
          </w:p>
        </w:tc>
      </w:tr>
      <w:tr w14:paraId="45AA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6F11E78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A5</w:t>
            </w:r>
          </w:p>
        </w:tc>
        <w:tc>
          <w:tcPr>
            <w:tcW w:w="1805" w:type="pct"/>
            <w:tcBorders>
              <w:top w:val="nil"/>
              <w:left w:val="nil"/>
              <w:bottom w:val="nil"/>
              <w:right w:val="nil"/>
            </w:tcBorders>
            <w:shd w:val="clear" w:color="auto" w:fill="FFFFFF"/>
            <w:vAlign w:val="center"/>
          </w:tcPr>
          <w:p w14:paraId="65CEAA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Ask the Home Office to check your immigration status is correct</w:t>
            </w:r>
          </w:p>
        </w:tc>
        <w:tc>
          <w:tcPr>
            <w:tcW w:w="1270" w:type="pct"/>
            <w:tcBorders>
              <w:top w:val="nil"/>
              <w:left w:val="nil"/>
              <w:bottom w:val="nil"/>
              <w:right w:val="nil"/>
            </w:tcBorders>
            <w:shd w:val="clear" w:color="auto" w:fill="FFFFFF"/>
            <w:vAlign w:val="center"/>
          </w:tcPr>
          <w:p w14:paraId="25152D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Updated 20 Apr 2026</w:t>
            </w:r>
          </w:p>
        </w:tc>
        <w:tc>
          <w:tcPr>
            <w:tcW w:w="1645" w:type="pct"/>
            <w:tcBorders>
              <w:top w:val="nil"/>
              <w:left w:val="nil"/>
              <w:bottom w:val="nil"/>
              <w:right w:val="nil"/>
            </w:tcBorders>
            <w:shd w:val="clear" w:color="auto" w:fill="FFFFFF"/>
            <w:vAlign w:val="center"/>
          </w:tcPr>
          <w:p w14:paraId="09C4C8E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remedy where wrong status has blocked work, benefits, or services</w:t>
            </w:r>
          </w:p>
        </w:tc>
      </w:tr>
      <w:tr w14:paraId="52082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7DF28E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A6</w:t>
            </w:r>
          </w:p>
        </w:tc>
        <w:tc>
          <w:tcPr>
            <w:tcW w:w="1805" w:type="pct"/>
            <w:tcBorders>
              <w:top w:val="nil"/>
              <w:left w:val="nil"/>
              <w:bottom w:val="nil"/>
              <w:right w:val="nil"/>
            </w:tcBorders>
            <w:shd w:val="clear" w:color="auto" w:fill="FFFFFF"/>
            <w:vAlign w:val="center"/>
          </w:tcPr>
          <w:p w14:paraId="7111CA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Checking a job applicant’s right to work / Employer Checking Service</w:t>
            </w:r>
          </w:p>
        </w:tc>
        <w:tc>
          <w:tcPr>
            <w:tcW w:w="1270" w:type="pct"/>
            <w:tcBorders>
              <w:top w:val="nil"/>
              <w:left w:val="nil"/>
              <w:bottom w:val="nil"/>
              <w:right w:val="nil"/>
            </w:tcBorders>
            <w:shd w:val="clear" w:color="auto" w:fill="FFFFFF"/>
            <w:vAlign w:val="center"/>
          </w:tcPr>
          <w:p w14:paraId="087E81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 employer guide 26 Jun 2025</w:t>
            </w:r>
          </w:p>
        </w:tc>
        <w:tc>
          <w:tcPr>
            <w:tcW w:w="1645" w:type="pct"/>
            <w:tcBorders>
              <w:top w:val="nil"/>
              <w:left w:val="nil"/>
              <w:bottom w:val="nil"/>
              <w:right w:val="nil"/>
            </w:tcBorders>
            <w:shd w:val="clear" w:color="auto" w:fill="FFFFFF"/>
            <w:vAlign w:val="center"/>
          </w:tcPr>
          <w:p w14:paraId="3C4A3E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ordinary and alternative employment verification and PVN</w:t>
            </w:r>
          </w:p>
        </w:tc>
      </w:tr>
      <w:tr w14:paraId="3CA0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27A9CD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A7</w:t>
            </w:r>
          </w:p>
        </w:tc>
        <w:tc>
          <w:tcPr>
            <w:tcW w:w="1805" w:type="pct"/>
            <w:tcBorders>
              <w:top w:val="nil"/>
              <w:left w:val="nil"/>
              <w:bottom w:val="nil"/>
              <w:right w:val="nil"/>
            </w:tcBorders>
            <w:shd w:val="clear" w:color="auto" w:fill="FFFFFF"/>
            <w:vAlign w:val="center"/>
          </w:tcPr>
          <w:p w14:paraId="6D7414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Right to rent checks: a guide to immigration documents for tenants and landlords</w:t>
            </w:r>
          </w:p>
        </w:tc>
        <w:tc>
          <w:tcPr>
            <w:tcW w:w="1270" w:type="pct"/>
            <w:tcBorders>
              <w:top w:val="nil"/>
              <w:left w:val="nil"/>
              <w:bottom w:val="nil"/>
              <w:right w:val="nil"/>
            </w:tcBorders>
            <w:shd w:val="clear" w:color="auto" w:fill="FFFFFF"/>
            <w:vAlign w:val="center"/>
          </w:tcPr>
          <w:p w14:paraId="5AFC387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Updated 10 Aug 2026</w:t>
            </w:r>
          </w:p>
        </w:tc>
        <w:tc>
          <w:tcPr>
            <w:tcW w:w="1645" w:type="pct"/>
            <w:tcBorders>
              <w:top w:val="nil"/>
              <w:left w:val="nil"/>
              <w:bottom w:val="nil"/>
              <w:right w:val="nil"/>
            </w:tcBorders>
            <w:shd w:val="clear" w:color="auto" w:fill="FFFFFF"/>
            <w:vAlign w:val="center"/>
          </w:tcPr>
          <w:p w14:paraId="7EDB61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online-only eVisa proof for renting and Landlord Checking Service fallback</w:t>
            </w:r>
          </w:p>
        </w:tc>
      </w:tr>
      <w:tr w14:paraId="6870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1D8781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A8</w:t>
            </w:r>
          </w:p>
        </w:tc>
        <w:tc>
          <w:tcPr>
            <w:tcW w:w="1805" w:type="pct"/>
            <w:tcBorders>
              <w:top w:val="nil"/>
              <w:left w:val="nil"/>
              <w:bottom w:val="nil"/>
              <w:right w:val="nil"/>
            </w:tcBorders>
            <w:shd w:val="clear" w:color="auto" w:fill="FFFFFF"/>
            <w:vAlign w:val="center"/>
          </w:tcPr>
          <w:p w14:paraId="0078A92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Travel with your eVisa</w:t>
            </w:r>
          </w:p>
        </w:tc>
        <w:tc>
          <w:tcPr>
            <w:tcW w:w="1270" w:type="pct"/>
            <w:tcBorders>
              <w:top w:val="nil"/>
              <w:left w:val="nil"/>
              <w:bottom w:val="nil"/>
              <w:right w:val="nil"/>
            </w:tcBorders>
            <w:shd w:val="clear" w:color="auto" w:fill="FFFFFF"/>
            <w:vAlign w:val="center"/>
          </w:tcPr>
          <w:p w14:paraId="1BB82D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324F06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Defines travel verification, additional proof, and carrier support route</w:t>
            </w:r>
          </w:p>
        </w:tc>
      </w:tr>
      <w:tr w14:paraId="5A53A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7E4B31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S1</w:t>
            </w:r>
          </w:p>
        </w:tc>
        <w:tc>
          <w:tcPr>
            <w:tcW w:w="1805" w:type="pct"/>
            <w:tcBorders>
              <w:top w:val="nil"/>
              <w:left w:val="nil"/>
              <w:bottom w:val="nil"/>
              <w:right w:val="nil"/>
            </w:tcBorders>
            <w:shd w:val="clear" w:color="auto" w:fill="FFFFFF"/>
            <w:vAlign w:val="center"/>
          </w:tcPr>
          <w:p w14:paraId="38BA27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Check someone’s immigration status: use their share code</w:t>
            </w:r>
          </w:p>
        </w:tc>
        <w:tc>
          <w:tcPr>
            <w:tcW w:w="1270" w:type="pct"/>
            <w:tcBorders>
              <w:top w:val="nil"/>
              <w:left w:val="nil"/>
              <w:bottom w:val="nil"/>
              <w:right w:val="nil"/>
            </w:tcBorders>
            <w:shd w:val="clear" w:color="auto" w:fill="FFFFFF"/>
            <w:vAlign w:val="center"/>
          </w:tcPr>
          <w:p w14:paraId="031536A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1B632E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Clarifies 90-day share-code validity and third-party visibility</w:t>
            </w:r>
          </w:p>
        </w:tc>
      </w:tr>
      <w:tr w14:paraId="06ED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7C48F86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S2</w:t>
            </w:r>
          </w:p>
        </w:tc>
        <w:tc>
          <w:tcPr>
            <w:tcW w:w="1805" w:type="pct"/>
            <w:tcBorders>
              <w:top w:val="nil"/>
              <w:left w:val="nil"/>
              <w:bottom w:val="nil"/>
              <w:right w:val="nil"/>
            </w:tcBorders>
            <w:shd w:val="clear" w:color="auto" w:fill="FFFFFF"/>
            <w:vAlign w:val="center"/>
          </w:tcPr>
          <w:p w14:paraId="69D84F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Set up a UKVI account to access your eVisa</w:t>
            </w:r>
          </w:p>
        </w:tc>
        <w:tc>
          <w:tcPr>
            <w:tcW w:w="1270" w:type="pct"/>
            <w:tcBorders>
              <w:top w:val="nil"/>
              <w:left w:val="nil"/>
              <w:bottom w:val="nil"/>
              <w:right w:val="nil"/>
            </w:tcBorders>
            <w:shd w:val="clear" w:color="auto" w:fill="FFFFFF"/>
            <w:vAlign w:val="center"/>
          </w:tcPr>
          <w:p w14:paraId="571AA0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nil"/>
              <w:right w:val="nil"/>
            </w:tcBorders>
            <w:shd w:val="clear" w:color="auto" w:fill="FFFFFF"/>
            <w:vAlign w:val="center"/>
          </w:tcPr>
          <w:p w14:paraId="7F8DD4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Clarifies account dependency and support channels</w:t>
            </w:r>
          </w:p>
        </w:tc>
      </w:tr>
      <w:tr w14:paraId="7476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nil"/>
              <w:right w:val="single" w:color="000000" w:sz="12" w:space="0"/>
            </w:tcBorders>
            <w:shd w:val="clear" w:color="auto" w:fill="FFFFFF"/>
            <w:vAlign w:val="center"/>
          </w:tcPr>
          <w:p w14:paraId="623237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S3</w:t>
            </w:r>
          </w:p>
        </w:tc>
        <w:tc>
          <w:tcPr>
            <w:tcW w:w="1805" w:type="pct"/>
            <w:tcBorders>
              <w:top w:val="nil"/>
              <w:left w:val="nil"/>
              <w:bottom w:val="nil"/>
              <w:right w:val="nil"/>
            </w:tcBorders>
            <w:shd w:val="clear" w:color="auto" w:fill="FFFFFF"/>
            <w:vAlign w:val="center"/>
          </w:tcPr>
          <w:p w14:paraId="538F695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Updates on the move to eVisas</w:t>
            </w:r>
          </w:p>
        </w:tc>
        <w:tc>
          <w:tcPr>
            <w:tcW w:w="1270" w:type="pct"/>
            <w:tcBorders>
              <w:top w:val="nil"/>
              <w:left w:val="nil"/>
              <w:bottom w:val="nil"/>
              <w:right w:val="nil"/>
            </w:tcBorders>
            <w:shd w:val="clear" w:color="auto" w:fill="FFFFFF"/>
            <w:vAlign w:val="center"/>
          </w:tcPr>
          <w:p w14:paraId="7173A3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Updated 1 Jul 2026</w:t>
            </w:r>
          </w:p>
        </w:tc>
        <w:tc>
          <w:tcPr>
            <w:tcW w:w="1645" w:type="pct"/>
            <w:tcBorders>
              <w:top w:val="nil"/>
              <w:left w:val="nil"/>
              <w:bottom w:val="nil"/>
              <w:right w:val="nil"/>
            </w:tcBorders>
            <w:shd w:val="clear" w:color="auto" w:fill="FFFFFF"/>
            <w:vAlign w:val="center"/>
          </w:tcPr>
          <w:p w14:paraId="2D0A092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Provides transition context and system updates</w:t>
            </w:r>
          </w:p>
        </w:tc>
      </w:tr>
      <w:tr w14:paraId="2741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 w:type="pct"/>
            <w:tcBorders>
              <w:top w:val="nil"/>
              <w:left w:val="nil"/>
              <w:bottom w:val="single" w:color="000000" w:sz="12" w:space="0"/>
              <w:right w:val="single" w:color="000000" w:sz="12" w:space="0"/>
            </w:tcBorders>
            <w:shd w:val="clear" w:color="auto" w:fill="FFFFFF"/>
            <w:vAlign w:val="center"/>
          </w:tcPr>
          <w:p w14:paraId="25C3D07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S4</w:t>
            </w:r>
          </w:p>
        </w:tc>
        <w:tc>
          <w:tcPr>
            <w:tcW w:w="1805" w:type="pct"/>
            <w:tcBorders>
              <w:top w:val="nil"/>
              <w:left w:val="nil"/>
              <w:bottom w:val="single" w:color="000000" w:sz="12" w:space="0"/>
              <w:right w:val="nil"/>
            </w:tcBorders>
            <w:shd w:val="clear" w:color="auto" w:fill="FFFFFF"/>
            <w:vAlign w:val="center"/>
          </w:tcPr>
          <w:p w14:paraId="2FDDBC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Contact UK Visas and Immigration for help</w:t>
            </w:r>
          </w:p>
        </w:tc>
        <w:tc>
          <w:tcPr>
            <w:tcW w:w="1270" w:type="pct"/>
            <w:tcBorders>
              <w:top w:val="nil"/>
              <w:left w:val="nil"/>
              <w:bottom w:val="single" w:color="000000" w:sz="12" w:space="0"/>
              <w:right w:val="nil"/>
            </w:tcBorders>
            <w:shd w:val="clear" w:color="auto" w:fill="FFFFFF"/>
            <w:vAlign w:val="center"/>
          </w:tcPr>
          <w:p w14:paraId="198A97A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Accessed 13 Aug 2026</w:t>
            </w:r>
          </w:p>
        </w:tc>
        <w:tc>
          <w:tcPr>
            <w:tcW w:w="1645" w:type="pct"/>
            <w:tcBorders>
              <w:top w:val="nil"/>
              <w:left w:val="nil"/>
              <w:bottom w:val="single" w:color="000000" w:sz="12" w:space="0"/>
              <w:right w:val="nil"/>
            </w:tcBorders>
            <w:shd w:val="clear" w:color="auto" w:fill="FFFFFF"/>
            <w:vAlign w:val="center"/>
          </w:tcPr>
          <w:p w14:paraId="43DD8B7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Clarifies general support pathways</w:t>
            </w:r>
          </w:p>
        </w:tc>
      </w:tr>
    </w:tbl>
    <w:p w14:paraId="7A30BCAA">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Note. A1–A8 constitute the core analytical corpus; S1–S4 are supporting official sources. Peer-reviewed articles and research reports are interpretive context rather than substitutes for the official corpus.</w:t>
      </w:r>
    </w:p>
    <w:p w14:paraId="32DB338A">
      <w:pPr>
        <w:spacing w:before="0" w:after="0" w:line="360" w:lineRule="auto"/>
        <w:jc w:val="both"/>
        <w:rPr>
          <w:rFonts w:hint="default" w:ascii="Times New Roman" w:hAnsi="Times New Roman" w:eastAsia="Times New Roman" w:cs="Times New Roman"/>
          <w:i/>
          <w:sz w:val="24"/>
          <w:szCs w:val="24"/>
        </w:rPr>
      </w:pPr>
    </w:p>
    <w:p w14:paraId="20120D7A">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B. Structured Analytical Codebook</w:t>
      </w:r>
    </w:p>
    <w:p w14:paraId="5F88E222">
      <w:pPr>
        <w:spacing w:before="0" w:after="0" w:line="360" w:lineRule="auto"/>
        <w:ind w:firstLine="480"/>
        <w:jc w:val="both"/>
        <w:rPr>
          <w:rFonts w:hint="default" w:ascii="Times New Roman" w:hAnsi="Times New Roman" w:eastAsia="Times New Roman" w:cs="Times New Roman"/>
          <w:b w:val="0"/>
          <w:i w:val="0"/>
          <w:sz w:val="24"/>
          <w:szCs w:val="24"/>
        </w:rPr>
      </w:pPr>
      <w:r>
        <w:rPr>
          <w:rFonts w:hint="default" w:ascii="Times New Roman" w:hAnsi="Times New Roman" w:eastAsia="Times New Roman" w:cs="Times New Roman"/>
          <w:b w:val="0"/>
          <w:i w:val="0"/>
          <w:sz w:val="24"/>
          <w:szCs w:val="24"/>
        </w:rPr>
        <w:t>The codebook operationalises the mechanism-focused reading used in the manuscript. Codes are applied to documentary evidence, not to interview transcripts, and frequencies are not treated as population estimates.</w:t>
      </w:r>
      <w:r>
        <w:rPr>
          <w:rFonts w:ascii="Times New Roman" w:hAnsi="Times New Roman" w:eastAsia="Times New Roman"/>
          <w:sz w:val="24"/>
        </w:rPr>
        <w:t xml:space="preserve"> Table A2 presents the operational definitions and decision rules used in coding.</w:t>
      </w:r>
    </w:p>
    <w:p w14:paraId="44E13D67">
      <w:pPr>
        <w:spacing w:before="0" w:after="0" w:line="360" w:lineRule="auto"/>
        <w:ind w:firstLine="480"/>
        <w:jc w:val="both"/>
        <w:rPr>
          <w:rFonts w:hint="default" w:ascii="Times New Roman" w:hAnsi="Times New Roman" w:eastAsia="Times New Roman" w:cs="Times New Roman"/>
          <w:b w:val="0"/>
          <w:i w:val="0"/>
          <w:sz w:val="24"/>
          <w:szCs w:val="24"/>
        </w:rPr>
      </w:pPr>
    </w:p>
    <w:p w14:paraId="74F7333F">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A2. </w:t>
      </w:r>
      <w:r>
        <w:rPr>
          <w:rFonts w:hint="default" w:ascii="Times New Roman" w:hAnsi="Times New Roman" w:eastAsia="Times New Roman" w:cs="Times New Roman"/>
          <w:b w:val="0"/>
          <w:i w:val="0"/>
          <w:sz w:val="24"/>
          <w:szCs w:val="24"/>
        </w:rPr>
        <w:t>Structured analytical codebook for proof, verification, failure, and repair.</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2297"/>
        <w:gridCol w:w="3117"/>
        <w:gridCol w:w="3072"/>
      </w:tblGrid>
      <w:tr w14:paraId="37F1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95" w:type="pct"/>
            <w:tcBorders>
              <w:top w:val="single" w:color="000000" w:sz="12" w:space="0"/>
              <w:left w:val="nil"/>
              <w:bottom w:val="single" w:color="000000" w:sz="8" w:space="0"/>
              <w:right w:val="single" w:color="000000" w:sz="12" w:space="0"/>
            </w:tcBorders>
            <w:shd w:val="clear" w:color="auto" w:fill="FFFFFF"/>
            <w:vAlign w:val="center"/>
          </w:tcPr>
          <w:p w14:paraId="2DC6D1B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Code</w:t>
            </w:r>
          </w:p>
        </w:tc>
        <w:tc>
          <w:tcPr>
            <w:tcW w:w="1247" w:type="pct"/>
            <w:tcBorders>
              <w:top w:val="single" w:color="000000" w:sz="12" w:space="0"/>
              <w:left w:val="nil"/>
              <w:bottom w:val="single" w:color="000000" w:sz="8" w:space="0"/>
              <w:right w:val="nil"/>
            </w:tcBorders>
            <w:shd w:val="clear" w:color="auto" w:fill="FFFFFF"/>
            <w:vAlign w:val="center"/>
          </w:tcPr>
          <w:p w14:paraId="2795C7C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Category</w:t>
            </w:r>
          </w:p>
        </w:tc>
        <w:tc>
          <w:tcPr>
            <w:tcW w:w="1691" w:type="pct"/>
            <w:tcBorders>
              <w:top w:val="single" w:color="000000" w:sz="12" w:space="0"/>
              <w:left w:val="nil"/>
              <w:bottom w:val="single" w:color="000000" w:sz="8" w:space="0"/>
              <w:right w:val="nil"/>
            </w:tcBorders>
            <w:shd w:val="clear" w:color="auto" w:fill="FFFFFF"/>
            <w:vAlign w:val="center"/>
          </w:tcPr>
          <w:p w14:paraId="77E2504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Operational definition</w:t>
            </w:r>
          </w:p>
        </w:tc>
        <w:tc>
          <w:tcPr>
            <w:tcW w:w="1666" w:type="pct"/>
            <w:tcBorders>
              <w:top w:val="single" w:color="000000" w:sz="12" w:space="0"/>
              <w:left w:val="nil"/>
              <w:bottom w:val="single" w:color="000000" w:sz="8" w:space="0"/>
              <w:right w:val="nil"/>
            </w:tcBorders>
            <w:shd w:val="clear" w:color="auto" w:fill="FFFFFF"/>
            <w:vAlign w:val="center"/>
          </w:tcPr>
          <w:p w14:paraId="4F859E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Decision rule / example</w:t>
            </w:r>
          </w:p>
        </w:tc>
      </w:tr>
      <w:tr w14:paraId="55FC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19CB0C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P1</w:t>
            </w:r>
          </w:p>
        </w:tc>
        <w:tc>
          <w:tcPr>
            <w:tcW w:w="1247" w:type="pct"/>
            <w:tcBorders>
              <w:top w:val="nil"/>
              <w:left w:val="nil"/>
              <w:bottom w:val="nil"/>
              <w:right w:val="nil"/>
            </w:tcBorders>
            <w:shd w:val="clear" w:color="auto" w:fill="FFFFFF"/>
            <w:vAlign w:val="center"/>
          </w:tcPr>
          <w:p w14:paraId="1147AD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Proof object</w:t>
            </w:r>
          </w:p>
        </w:tc>
        <w:tc>
          <w:tcPr>
            <w:tcW w:w="1691" w:type="pct"/>
            <w:tcBorders>
              <w:top w:val="nil"/>
              <w:left w:val="nil"/>
              <w:bottom w:val="nil"/>
              <w:right w:val="nil"/>
            </w:tcBorders>
            <w:shd w:val="clear" w:color="auto" w:fill="FFFFFF"/>
            <w:vAlign w:val="center"/>
          </w:tcPr>
          <w:p w14:paraId="3B91873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The representation used to evidence a legally held status</w:t>
            </w:r>
          </w:p>
        </w:tc>
        <w:tc>
          <w:tcPr>
            <w:tcW w:w="1666" w:type="pct"/>
            <w:tcBorders>
              <w:top w:val="nil"/>
              <w:left w:val="nil"/>
              <w:bottom w:val="nil"/>
              <w:right w:val="nil"/>
            </w:tcBorders>
            <w:shd w:val="clear" w:color="auto" w:fill="FFFFFF"/>
            <w:vAlign w:val="center"/>
          </w:tcPr>
          <w:p w14:paraId="41327C2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eVisa display, purpose-specific share code, verification result</w:t>
            </w:r>
          </w:p>
        </w:tc>
      </w:tr>
      <w:tr w14:paraId="5F91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4C7713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P2</w:t>
            </w:r>
          </w:p>
        </w:tc>
        <w:tc>
          <w:tcPr>
            <w:tcW w:w="1247" w:type="pct"/>
            <w:tcBorders>
              <w:top w:val="nil"/>
              <w:left w:val="nil"/>
              <w:bottom w:val="nil"/>
              <w:right w:val="nil"/>
            </w:tcBorders>
            <w:shd w:val="clear" w:color="auto" w:fill="FFFFFF"/>
            <w:vAlign w:val="center"/>
          </w:tcPr>
          <w:p w14:paraId="4CB9CD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 dependency</w:t>
            </w:r>
          </w:p>
        </w:tc>
        <w:tc>
          <w:tcPr>
            <w:tcW w:w="1691" w:type="pct"/>
            <w:tcBorders>
              <w:top w:val="nil"/>
              <w:left w:val="nil"/>
              <w:bottom w:val="nil"/>
              <w:right w:val="nil"/>
            </w:tcBorders>
            <w:shd w:val="clear" w:color="auto" w:fill="FFFFFF"/>
            <w:vAlign w:val="center"/>
          </w:tcPr>
          <w:p w14:paraId="5BBF75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Technical or account condition required before proof can be generated</w:t>
            </w:r>
          </w:p>
        </w:tc>
        <w:tc>
          <w:tcPr>
            <w:tcW w:w="1666" w:type="pct"/>
            <w:tcBorders>
              <w:top w:val="nil"/>
              <w:left w:val="nil"/>
              <w:bottom w:val="nil"/>
              <w:right w:val="nil"/>
            </w:tcBorders>
            <w:shd w:val="clear" w:color="auto" w:fill="FFFFFF"/>
            <w:vAlign w:val="center"/>
          </w:tcPr>
          <w:p w14:paraId="347D95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UKVI sign-in, linked passport, retrievable status record</w:t>
            </w:r>
          </w:p>
        </w:tc>
      </w:tr>
      <w:tr w14:paraId="27F6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605C87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V1</w:t>
            </w:r>
          </w:p>
        </w:tc>
        <w:tc>
          <w:tcPr>
            <w:tcW w:w="1247" w:type="pct"/>
            <w:tcBorders>
              <w:top w:val="nil"/>
              <w:left w:val="nil"/>
              <w:bottom w:val="nil"/>
              <w:right w:val="nil"/>
            </w:tcBorders>
            <w:shd w:val="clear" w:color="auto" w:fill="FFFFFF"/>
            <w:vAlign w:val="center"/>
          </w:tcPr>
          <w:p w14:paraId="4B6E9BC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Verification actor</w:t>
            </w:r>
          </w:p>
        </w:tc>
        <w:tc>
          <w:tcPr>
            <w:tcW w:w="1691" w:type="pct"/>
            <w:tcBorders>
              <w:top w:val="nil"/>
              <w:left w:val="nil"/>
              <w:bottom w:val="nil"/>
              <w:right w:val="nil"/>
            </w:tcBorders>
            <w:shd w:val="clear" w:color="auto" w:fill="FFFFFF"/>
            <w:vAlign w:val="center"/>
          </w:tcPr>
          <w:p w14:paraId="2F0C9AD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Actor who must recognise or check proof</w:t>
            </w:r>
          </w:p>
        </w:tc>
        <w:tc>
          <w:tcPr>
            <w:tcW w:w="1666" w:type="pct"/>
            <w:tcBorders>
              <w:top w:val="nil"/>
              <w:left w:val="nil"/>
              <w:bottom w:val="nil"/>
              <w:right w:val="nil"/>
            </w:tcBorders>
            <w:shd w:val="clear" w:color="auto" w:fill="FFFFFF"/>
            <w:vAlign w:val="center"/>
          </w:tcPr>
          <w:p w14:paraId="567B326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Employer, landlord/agent, carrier, bank, government department</w:t>
            </w:r>
          </w:p>
        </w:tc>
      </w:tr>
      <w:tr w14:paraId="3583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73E80FA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V2</w:t>
            </w:r>
          </w:p>
        </w:tc>
        <w:tc>
          <w:tcPr>
            <w:tcW w:w="1247" w:type="pct"/>
            <w:tcBorders>
              <w:top w:val="nil"/>
              <w:left w:val="nil"/>
              <w:bottom w:val="nil"/>
              <w:right w:val="nil"/>
            </w:tcBorders>
            <w:shd w:val="clear" w:color="auto" w:fill="FFFFFF"/>
            <w:vAlign w:val="center"/>
          </w:tcPr>
          <w:p w14:paraId="6CA9E1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Verification obligation</w:t>
            </w:r>
          </w:p>
        </w:tc>
        <w:tc>
          <w:tcPr>
            <w:tcW w:w="1691" w:type="pct"/>
            <w:tcBorders>
              <w:top w:val="nil"/>
              <w:left w:val="nil"/>
              <w:bottom w:val="nil"/>
              <w:right w:val="nil"/>
            </w:tcBorders>
            <w:shd w:val="clear" w:color="auto" w:fill="FFFFFF"/>
            <w:vAlign w:val="center"/>
          </w:tcPr>
          <w:p w14:paraId="7D7202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Formal responsibility or incentive that structures checking</w:t>
            </w:r>
          </w:p>
        </w:tc>
        <w:tc>
          <w:tcPr>
            <w:tcW w:w="1666" w:type="pct"/>
            <w:tcBorders>
              <w:top w:val="nil"/>
              <w:left w:val="nil"/>
              <w:bottom w:val="nil"/>
              <w:right w:val="nil"/>
            </w:tcBorders>
            <w:shd w:val="clear" w:color="auto" w:fill="FFFFFF"/>
            <w:vAlign w:val="center"/>
          </w:tcPr>
          <w:p w14:paraId="1A92169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Statutory excuse, prescribed online check, institutional compliance</w:t>
            </w:r>
          </w:p>
        </w:tc>
      </w:tr>
      <w:tr w14:paraId="6C5D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07CD893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F1</w:t>
            </w:r>
          </w:p>
        </w:tc>
        <w:tc>
          <w:tcPr>
            <w:tcW w:w="1247" w:type="pct"/>
            <w:tcBorders>
              <w:top w:val="nil"/>
              <w:left w:val="nil"/>
              <w:bottom w:val="nil"/>
              <w:right w:val="nil"/>
            </w:tcBorders>
            <w:shd w:val="clear" w:color="auto" w:fill="FFFFFF"/>
            <w:vAlign w:val="center"/>
          </w:tcPr>
          <w:p w14:paraId="305D56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Data/record error</w:t>
            </w:r>
          </w:p>
        </w:tc>
        <w:tc>
          <w:tcPr>
            <w:tcW w:w="1691" w:type="pct"/>
            <w:tcBorders>
              <w:top w:val="nil"/>
              <w:left w:val="nil"/>
              <w:bottom w:val="nil"/>
              <w:right w:val="nil"/>
            </w:tcBorders>
            <w:shd w:val="clear" w:color="auto" w:fill="FFFFFF"/>
            <w:vAlign w:val="center"/>
          </w:tcPr>
          <w:p w14:paraId="46A5EF7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Incorrect substantive or biographical field</w:t>
            </w:r>
          </w:p>
        </w:tc>
        <w:tc>
          <w:tcPr>
            <w:tcW w:w="1666" w:type="pct"/>
            <w:tcBorders>
              <w:top w:val="nil"/>
              <w:left w:val="nil"/>
              <w:bottom w:val="nil"/>
              <w:right w:val="nil"/>
            </w:tcBorders>
            <w:shd w:val="clear" w:color="auto" w:fill="FFFFFF"/>
            <w:vAlign w:val="center"/>
          </w:tcPr>
          <w:p w14:paraId="2FD688A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Wrong status, validity dates, conditions, name, date of birth</w:t>
            </w:r>
          </w:p>
        </w:tc>
      </w:tr>
      <w:tr w14:paraId="7392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50B5253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F2</w:t>
            </w:r>
          </w:p>
        </w:tc>
        <w:tc>
          <w:tcPr>
            <w:tcW w:w="1247" w:type="pct"/>
            <w:tcBorders>
              <w:top w:val="nil"/>
              <w:left w:val="nil"/>
              <w:bottom w:val="nil"/>
              <w:right w:val="nil"/>
            </w:tcBorders>
            <w:shd w:val="clear" w:color="auto" w:fill="FFFFFF"/>
            <w:vAlign w:val="center"/>
          </w:tcPr>
          <w:p w14:paraId="403D36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Access/transaction failure</w:t>
            </w:r>
          </w:p>
        </w:tc>
        <w:tc>
          <w:tcPr>
            <w:tcW w:w="1691" w:type="pct"/>
            <w:tcBorders>
              <w:top w:val="nil"/>
              <w:left w:val="nil"/>
              <w:bottom w:val="nil"/>
              <w:right w:val="nil"/>
            </w:tcBorders>
            <w:shd w:val="clear" w:color="auto" w:fill="FFFFFF"/>
            <w:vAlign w:val="center"/>
          </w:tcPr>
          <w:p w14:paraId="3D9F34F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Failure to retrieve or share an otherwise existing record</w:t>
            </w:r>
          </w:p>
        </w:tc>
        <w:tc>
          <w:tcPr>
            <w:tcW w:w="1666" w:type="pct"/>
            <w:tcBorders>
              <w:top w:val="nil"/>
              <w:left w:val="nil"/>
              <w:bottom w:val="nil"/>
              <w:right w:val="nil"/>
            </w:tcBorders>
            <w:shd w:val="clear" w:color="auto" w:fill="FFFFFF"/>
            <w:vAlign w:val="center"/>
          </w:tcPr>
          <w:p w14:paraId="1A21E3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Cannot sign in, cannot view eVisa, cannot generate share code</w:t>
            </w:r>
          </w:p>
        </w:tc>
      </w:tr>
      <w:tr w14:paraId="72A44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6BBB249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R1</w:t>
            </w:r>
          </w:p>
        </w:tc>
        <w:tc>
          <w:tcPr>
            <w:tcW w:w="1247" w:type="pct"/>
            <w:tcBorders>
              <w:top w:val="nil"/>
              <w:left w:val="nil"/>
              <w:bottom w:val="nil"/>
              <w:right w:val="nil"/>
            </w:tcBorders>
            <w:shd w:val="clear" w:color="auto" w:fill="FFFFFF"/>
            <w:vAlign w:val="center"/>
          </w:tcPr>
          <w:p w14:paraId="26AC9A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Correction route</w:t>
            </w:r>
          </w:p>
        </w:tc>
        <w:tc>
          <w:tcPr>
            <w:tcW w:w="1691" w:type="pct"/>
            <w:tcBorders>
              <w:top w:val="nil"/>
              <w:left w:val="nil"/>
              <w:bottom w:val="nil"/>
              <w:right w:val="nil"/>
            </w:tcBorders>
            <w:shd w:val="clear" w:color="auto" w:fill="FFFFFF"/>
            <w:vAlign w:val="center"/>
          </w:tcPr>
          <w:p w14:paraId="4130BD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Procedure intended to restore the authoritative record or account</w:t>
            </w:r>
          </w:p>
        </w:tc>
        <w:tc>
          <w:tcPr>
            <w:tcW w:w="1666" w:type="pct"/>
            <w:tcBorders>
              <w:top w:val="nil"/>
              <w:left w:val="nil"/>
              <w:bottom w:val="nil"/>
              <w:right w:val="nil"/>
            </w:tcBorders>
            <w:shd w:val="clear" w:color="auto" w:fill="FFFFFF"/>
            <w:vAlign w:val="center"/>
          </w:tcPr>
          <w:p w14:paraId="62236A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eVisa error webform; status-correction request</w:t>
            </w:r>
          </w:p>
        </w:tc>
      </w:tr>
      <w:tr w14:paraId="48C76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4AD58C6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R2</w:t>
            </w:r>
          </w:p>
        </w:tc>
        <w:tc>
          <w:tcPr>
            <w:tcW w:w="1247" w:type="pct"/>
            <w:tcBorders>
              <w:top w:val="nil"/>
              <w:left w:val="nil"/>
              <w:bottom w:val="nil"/>
              <w:right w:val="nil"/>
            </w:tcBorders>
            <w:shd w:val="clear" w:color="auto" w:fill="FFFFFF"/>
            <w:vAlign w:val="center"/>
          </w:tcPr>
          <w:p w14:paraId="6E9299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Repair target</w:t>
            </w:r>
          </w:p>
        </w:tc>
        <w:tc>
          <w:tcPr>
            <w:tcW w:w="1691" w:type="pct"/>
            <w:tcBorders>
              <w:top w:val="nil"/>
              <w:left w:val="nil"/>
              <w:bottom w:val="nil"/>
              <w:right w:val="nil"/>
            </w:tcBorders>
            <w:shd w:val="clear" w:color="auto" w:fill="FFFFFF"/>
            <w:vAlign w:val="center"/>
          </w:tcPr>
          <w:p w14:paraId="7E31621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Officially stated time target for a correction/check</w:t>
            </w:r>
          </w:p>
        </w:tc>
        <w:tc>
          <w:tcPr>
            <w:tcW w:w="1666" w:type="pct"/>
            <w:tcBorders>
              <w:top w:val="nil"/>
              <w:left w:val="nil"/>
              <w:bottom w:val="nil"/>
              <w:right w:val="nil"/>
            </w:tcBorders>
            <w:shd w:val="clear" w:color="auto" w:fill="FFFFFF"/>
            <w:vAlign w:val="center"/>
          </w:tcPr>
          <w:p w14:paraId="5797A1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 days, 15 days, 7 days, 2 days, 5 days depending on route</w:t>
            </w:r>
          </w:p>
        </w:tc>
      </w:tr>
      <w:tr w14:paraId="300F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14E5C6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B1</w:t>
            </w:r>
          </w:p>
        </w:tc>
        <w:tc>
          <w:tcPr>
            <w:tcW w:w="1247" w:type="pct"/>
            <w:tcBorders>
              <w:top w:val="nil"/>
              <w:left w:val="nil"/>
              <w:bottom w:val="nil"/>
              <w:right w:val="nil"/>
            </w:tcBorders>
            <w:shd w:val="clear" w:color="auto" w:fill="FFFFFF"/>
            <w:vAlign w:val="center"/>
          </w:tcPr>
          <w:p w14:paraId="7E9326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Fallback verification</w:t>
            </w:r>
          </w:p>
        </w:tc>
        <w:tc>
          <w:tcPr>
            <w:tcW w:w="1691" w:type="pct"/>
            <w:tcBorders>
              <w:top w:val="nil"/>
              <w:left w:val="nil"/>
              <w:bottom w:val="nil"/>
              <w:right w:val="nil"/>
            </w:tcBorders>
            <w:shd w:val="clear" w:color="auto" w:fill="FFFFFF"/>
            <w:vAlign w:val="center"/>
          </w:tcPr>
          <w:p w14:paraId="4290BD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Formal alternative to ordinary verification</w:t>
            </w:r>
          </w:p>
        </w:tc>
        <w:tc>
          <w:tcPr>
            <w:tcW w:w="1666" w:type="pct"/>
            <w:tcBorders>
              <w:top w:val="nil"/>
              <w:left w:val="nil"/>
              <w:bottom w:val="nil"/>
              <w:right w:val="nil"/>
            </w:tcBorders>
            <w:shd w:val="clear" w:color="auto" w:fill="FFFFFF"/>
            <w:vAlign w:val="center"/>
          </w:tcPr>
          <w:p w14:paraId="51C15D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ECS/PVN, LCS, additional travel proof, carrier support</w:t>
            </w:r>
          </w:p>
        </w:tc>
      </w:tr>
      <w:tr w14:paraId="6A38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6AC40C5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M1</w:t>
            </w:r>
          </w:p>
        </w:tc>
        <w:tc>
          <w:tcPr>
            <w:tcW w:w="1247" w:type="pct"/>
            <w:tcBorders>
              <w:top w:val="nil"/>
              <w:left w:val="nil"/>
              <w:bottom w:val="nil"/>
              <w:right w:val="nil"/>
            </w:tcBorders>
            <w:shd w:val="clear" w:color="auto" w:fill="FFFFFF"/>
            <w:vAlign w:val="center"/>
          </w:tcPr>
          <w:p w14:paraId="36F02D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Materiality</w:t>
            </w:r>
          </w:p>
        </w:tc>
        <w:tc>
          <w:tcPr>
            <w:tcW w:w="1691" w:type="pct"/>
            <w:tcBorders>
              <w:top w:val="nil"/>
              <w:left w:val="nil"/>
              <w:bottom w:val="nil"/>
              <w:right w:val="nil"/>
            </w:tcBorders>
            <w:shd w:val="clear" w:color="auto" w:fill="FFFFFF"/>
            <w:vAlign w:val="center"/>
          </w:tcPr>
          <w:p w14:paraId="3DDEBBF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Evidence that failure can affect exercise of a right/service</w:t>
            </w:r>
          </w:p>
        </w:tc>
        <w:tc>
          <w:tcPr>
            <w:tcW w:w="1666" w:type="pct"/>
            <w:tcBorders>
              <w:top w:val="nil"/>
              <w:left w:val="nil"/>
              <w:bottom w:val="nil"/>
              <w:right w:val="nil"/>
            </w:tcBorders>
            <w:shd w:val="clear" w:color="auto" w:fill="FFFFFF"/>
            <w:vAlign w:val="center"/>
          </w:tcPr>
          <w:p w14:paraId="2A85A0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Work, rent, travel, benefits, or services explicitly referenced</w:t>
            </w:r>
          </w:p>
        </w:tc>
      </w:tr>
      <w:tr w14:paraId="682C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032D21F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T1</w:t>
            </w:r>
          </w:p>
        </w:tc>
        <w:tc>
          <w:tcPr>
            <w:tcW w:w="1247" w:type="pct"/>
            <w:tcBorders>
              <w:top w:val="nil"/>
              <w:left w:val="nil"/>
              <w:bottom w:val="nil"/>
              <w:right w:val="nil"/>
            </w:tcBorders>
            <w:shd w:val="clear" w:color="auto" w:fill="FFFFFF"/>
            <w:vAlign w:val="center"/>
          </w:tcPr>
          <w:p w14:paraId="3EB56E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Temporal sensitivity</w:t>
            </w:r>
          </w:p>
        </w:tc>
        <w:tc>
          <w:tcPr>
            <w:tcW w:w="1691" w:type="pct"/>
            <w:tcBorders>
              <w:top w:val="nil"/>
              <w:left w:val="nil"/>
              <w:bottom w:val="nil"/>
              <w:right w:val="nil"/>
            </w:tcBorders>
            <w:shd w:val="clear" w:color="auto" w:fill="FFFFFF"/>
            <w:vAlign w:val="center"/>
          </w:tcPr>
          <w:p w14:paraId="76C1B2E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Whether delay can matter because the transaction is time-bound</w:t>
            </w:r>
          </w:p>
        </w:tc>
        <w:tc>
          <w:tcPr>
            <w:tcW w:w="1666" w:type="pct"/>
            <w:tcBorders>
              <w:top w:val="nil"/>
              <w:left w:val="nil"/>
              <w:bottom w:val="nil"/>
              <w:right w:val="nil"/>
            </w:tcBorders>
            <w:shd w:val="clear" w:color="auto" w:fill="FFFFFF"/>
            <w:vAlign w:val="center"/>
          </w:tcPr>
          <w:p w14:paraId="5DA6E3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Job start, tenancy decision, planned travel, benefit/service access</w:t>
            </w:r>
          </w:p>
        </w:tc>
      </w:tr>
      <w:tr w14:paraId="1CEE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nil"/>
              <w:right w:val="single" w:color="000000" w:sz="12" w:space="0"/>
            </w:tcBorders>
            <w:shd w:val="clear" w:color="auto" w:fill="FFFFFF"/>
            <w:vAlign w:val="center"/>
          </w:tcPr>
          <w:p w14:paraId="76DA3D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N1</w:t>
            </w:r>
          </w:p>
        </w:tc>
        <w:tc>
          <w:tcPr>
            <w:tcW w:w="1247" w:type="pct"/>
            <w:tcBorders>
              <w:top w:val="nil"/>
              <w:left w:val="nil"/>
              <w:bottom w:val="nil"/>
              <w:right w:val="nil"/>
            </w:tcBorders>
            <w:shd w:val="clear" w:color="auto" w:fill="FFFFFF"/>
            <w:vAlign w:val="center"/>
          </w:tcPr>
          <w:p w14:paraId="453A54C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Negative/boundary evidence</w:t>
            </w:r>
          </w:p>
        </w:tc>
        <w:tc>
          <w:tcPr>
            <w:tcW w:w="1691" w:type="pct"/>
            <w:tcBorders>
              <w:top w:val="nil"/>
              <w:left w:val="nil"/>
              <w:bottom w:val="nil"/>
              <w:right w:val="nil"/>
            </w:tcBorders>
            <w:shd w:val="clear" w:color="auto" w:fill="FFFFFF"/>
            <w:vAlign w:val="center"/>
          </w:tcPr>
          <w:p w14:paraId="03360A2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Evidence that limits a hostile-environment interpretation</w:t>
            </w:r>
          </w:p>
        </w:tc>
        <w:tc>
          <w:tcPr>
            <w:tcW w:w="1666" w:type="pct"/>
            <w:tcBorders>
              <w:top w:val="nil"/>
              <w:left w:val="nil"/>
              <w:bottom w:val="nil"/>
              <w:right w:val="nil"/>
            </w:tcBorders>
            <w:shd w:val="clear" w:color="auto" w:fill="FFFFFF"/>
            <w:vAlign w:val="center"/>
          </w:tcPr>
          <w:p w14:paraId="6A5BC8B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&lt;1% corrected share, many errors minor, formal fallback routes</w:t>
            </w:r>
          </w:p>
        </w:tc>
      </w:tr>
      <w:tr w14:paraId="6139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5" w:type="pct"/>
            <w:tcBorders>
              <w:top w:val="nil"/>
              <w:left w:val="nil"/>
              <w:bottom w:val="single" w:color="000000" w:sz="12" w:space="0"/>
              <w:right w:val="single" w:color="000000" w:sz="12" w:space="0"/>
            </w:tcBorders>
            <w:shd w:val="clear" w:color="auto" w:fill="FFFFFF"/>
            <w:vAlign w:val="center"/>
          </w:tcPr>
          <w:p w14:paraId="3C789F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L1</w:t>
            </w:r>
          </w:p>
        </w:tc>
        <w:tc>
          <w:tcPr>
            <w:tcW w:w="1247" w:type="pct"/>
            <w:tcBorders>
              <w:top w:val="nil"/>
              <w:left w:val="nil"/>
              <w:bottom w:val="single" w:color="000000" w:sz="12" w:space="0"/>
              <w:right w:val="nil"/>
            </w:tcBorders>
            <w:shd w:val="clear" w:color="auto" w:fill="FFFFFF"/>
            <w:vAlign w:val="center"/>
          </w:tcPr>
          <w:p w14:paraId="22A0AA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Evidence limitation</w:t>
            </w:r>
          </w:p>
        </w:tc>
        <w:tc>
          <w:tcPr>
            <w:tcW w:w="1691" w:type="pct"/>
            <w:tcBorders>
              <w:top w:val="nil"/>
              <w:left w:val="nil"/>
              <w:bottom w:val="single" w:color="000000" w:sz="12" w:space="0"/>
              <w:right w:val="nil"/>
            </w:tcBorders>
            <w:shd w:val="clear" w:color="auto" w:fill="FFFFFF"/>
            <w:vAlign w:val="center"/>
          </w:tcPr>
          <w:p w14:paraId="7E5B89E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Information required for stronger inference but not publicly available</w:t>
            </w:r>
          </w:p>
        </w:tc>
        <w:tc>
          <w:tcPr>
            <w:tcW w:w="1666" w:type="pct"/>
            <w:tcBorders>
              <w:top w:val="nil"/>
              <w:left w:val="nil"/>
              <w:bottom w:val="single" w:color="000000" w:sz="12" w:space="0"/>
              <w:right w:val="nil"/>
            </w:tcBorders>
            <w:shd w:val="clear" w:color="auto" w:fill="FFFFFF"/>
            <w:vAlign w:val="center"/>
          </w:tcPr>
          <w:p w14:paraId="528FB1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case-level repair duration, no material-impact rate, no fallback uptake</w:t>
            </w:r>
          </w:p>
        </w:tc>
      </w:tr>
    </w:tbl>
    <w:p w14:paraId="669FE691">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Note. The coding scheme is intentionally compact. It avoids multiplying theoretical labels and keeps the analysis tied to observable institutional features.</w:t>
      </w:r>
    </w:p>
    <w:p w14:paraId="452F6615">
      <w:pPr>
        <w:spacing w:before="0" w:after="0" w:line="360" w:lineRule="auto"/>
        <w:jc w:val="both"/>
        <w:rPr>
          <w:rFonts w:hint="default" w:ascii="Times New Roman" w:hAnsi="Times New Roman" w:eastAsia="Times New Roman" w:cs="Times New Roman"/>
          <w:i/>
          <w:sz w:val="24"/>
          <w:szCs w:val="24"/>
        </w:rPr>
      </w:pPr>
    </w:p>
    <w:p w14:paraId="11ED9F80">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C. Verification and Repair Pathway Matrix</w:t>
      </w:r>
    </w:p>
    <w:p w14:paraId="60C1919F">
      <w:pPr>
        <w:spacing w:before="0" w:after="0" w:line="360" w:lineRule="auto"/>
        <w:ind w:firstLine="480"/>
        <w:jc w:val="both"/>
        <w:rPr>
          <w:rFonts w:hint="default" w:ascii="Times New Roman" w:hAnsi="Times New Roman" w:eastAsia="Times New Roman" w:cs="Times New Roman"/>
          <w:b w:val="0"/>
          <w:i w:val="0"/>
          <w:sz w:val="24"/>
          <w:szCs w:val="24"/>
        </w:rPr>
      </w:pPr>
      <w:r>
        <w:rPr>
          <w:rFonts w:hint="default" w:ascii="Times New Roman" w:hAnsi="Times New Roman" w:eastAsia="Times New Roman" w:cs="Times New Roman"/>
          <w:b w:val="0"/>
          <w:i w:val="0"/>
          <w:sz w:val="24"/>
          <w:szCs w:val="24"/>
        </w:rPr>
        <w:t>The following matrix makes explicit how the same legal status can move through different proof, verification, and repair pathways. It is used for cross-domain institutional comparison: employment, private renting, travel, and other services are treated as settings with distinct rules rather than as legally equivalent cases. The comparison identifies recurrent features of repair while retaining differences in eligibility, formal effect, service target, and evidentiary gap. It also distinguishes correction of a record from interim continuity of usable proof.</w:t>
      </w:r>
      <w:r>
        <w:rPr>
          <w:rFonts w:ascii="Times New Roman" w:hAnsi="Times New Roman" w:eastAsia="Times New Roman"/>
          <w:sz w:val="24"/>
        </w:rPr>
        <w:t xml:space="preserve"> Table A3 summarises the domain-specific verification and repair pathways.</w:t>
      </w:r>
    </w:p>
    <w:p w14:paraId="15A1C8E2">
      <w:pPr>
        <w:spacing w:before="0" w:after="0" w:line="360" w:lineRule="auto"/>
        <w:ind w:firstLine="480"/>
        <w:jc w:val="both"/>
        <w:rPr>
          <w:rFonts w:hint="default" w:ascii="Times New Roman" w:hAnsi="Times New Roman" w:eastAsia="Times New Roman" w:cs="Times New Roman"/>
          <w:b w:val="0"/>
          <w:i w:val="0"/>
          <w:sz w:val="24"/>
          <w:szCs w:val="24"/>
        </w:rPr>
      </w:pPr>
    </w:p>
    <w:p w14:paraId="798FFB03">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A3. </w:t>
      </w:r>
      <w:r>
        <w:rPr>
          <w:rFonts w:hint="default" w:ascii="Times New Roman" w:hAnsi="Times New Roman" w:eastAsia="Times New Roman" w:cs="Times New Roman"/>
          <w:b w:val="0"/>
          <w:i w:val="0"/>
          <w:sz w:val="24"/>
          <w:szCs w:val="24"/>
        </w:rPr>
        <w:t>Domain-specific verification and repair pathway matrix.</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9"/>
        <w:gridCol w:w="1625"/>
        <w:gridCol w:w="2349"/>
        <w:gridCol w:w="2428"/>
        <w:gridCol w:w="1401"/>
      </w:tblGrid>
      <w:tr w14:paraId="452F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78" w:type="pct"/>
            <w:tcBorders>
              <w:top w:val="single" w:color="000000" w:sz="12" w:space="0"/>
              <w:left w:val="nil"/>
              <w:bottom w:val="single" w:color="000000" w:sz="8" w:space="0"/>
              <w:right w:val="single" w:color="000000" w:sz="12" w:space="0"/>
            </w:tcBorders>
            <w:shd w:val="clear" w:color="auto" w:fill="FFFFFF"/>
            <w:vAlign w:val="center"/>
          </w:tcPr>
          <w:p w14:paraId="7D6B55C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Domain</w:t>
            </w:r>
          </w:p>
        </w:tc>
        <w:tc>
          <w:tcPr>
            <w:tcW w:w="879" w:type="pct"/>
            <w:tcBorders>
              <w:top w:val="single" w:color="000000" w:sz="12" w:space="0"/>
              <w:left w:val="nil"/>
              <w:bottom w:val="single" w:color="000000" w:sz="8" w:space="0"/>
              <w:right w:val="nil"/>
            </w:tcBorders>
            <w:shd w:val="clear" w:color="auto" w:fill="FFFFFF"/>
            <w:vAlign w:val="center"/>
          </w:tcPr>
          <w:p w14:paraId="2DF1DC7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Ordinary proof/check</w:t>
            </w:r>
          </w:p>
        </w:tc>
        <w:tc>
          <w:tcPr>
            <w:tcW w:w="1270" w:type="pct"/>
            <w:tcBorders>
              <w:top w:val="single" w:color="000000" w:sz="12" w:space="0"/>
              <w:left w:val="nil"/>
              <w:bottom w:val="single" w:color="000000" w:sz="8" w:space="0"/>
              <w:right w:val="nil"/>
            </w:tcBorders>
            <w:shd w:val="clear" w:color="auto" w:fill="FFFFFF"/>
            <w:vAlign w:val="center"/>
          </w:tcPr>
          <w:p w14:paraId="2E97E62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Failure/exception route</w:t>
            </w:r>
          </w:p>
        </w:tc>
        <w:tc>
          <w:tcPr>
            <w:tcW w:w="1313" w:type="pct"/>
            <w:tcBorders>
              <w:top w:val="single" w:color="000000" w:sz="12" w:space="0"/>
              <w:left w:val="nil"/>
              <w:bottom w:val="single" w:color="000000" w:sz="8" w:space="0"/>
              <w:right w:val="nil"/>
            </w:tcBorders>
            <w:shd w:val="clear" w:color="auto" w:fill="FFFFFF"/>
            <w:vAlign w:val="center"/>
          </w:tcPr>
          <w:p w14:paraId="4F79615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Published target / output</w:t>
            </w:r>
          </w:p>
        </w:tc>
        <w:tc>
          <w:tcPr>
            <w:tcW w:w="757" w:type="pct"/>
            <w:tcBorders>
              <w:top w:val="single" w:color="000000" w:sz="12" w:space="0"/>
              <w:left w:val="nil"/>
              <w:bottom w:val="single" w:color="000000" w:sz="8" w:space="0"/>
              <w:right w:val="nil"/>
            </w:tcBorders>
            <w:shd w:val="clear" w:color="auto" w:fill="FFFFFF"/>
            <w:vAlign w:val="center"/>
          </w:tcPr>
          <w:p w14:paraId="197EFA5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Residual evidence gap</w:t>
            </w:r>
          </w:p>
        </w:tc>
      </w:tr>
      <w:tr w14:paraId="7BEB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8" w:type="pct"/>
            <w:tcBorders>
              <w:top w:val="nil"/>
              <w:left w:val="nil"/>
              <w:bottom w:val="nil"/>
              <w:right w:val="single" w:color="000000" w:sz="12" w:space="0"/>
            </w:tcBorders>
            <w:shd w:val="clear" w:color="auto" w:fill="FFFFFF"/>
            <w:vAlign w:val="center"/>
          </w:tcPr>
          <w:p w14:paraId="5D29B13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General eVisa</w:t>
            </w:r>
          </w:p>
        </w:tc>
        <w:tc>
          <w:tcPr>
            <w:tcW w:w="879" w:type="pct"/>
            <w:tcBorders>
              <w:top w:val="nil"/>
              <w:left w:val="nil"/>
              <w:bottom w:val="nil"/>
              <w:right w:val="nil"/>
            </w:tcBorders>
            <w:shd w:val="clear" w:color="auto" w:fill="FFFFFF"/>
            <w:vAlign w:val="center"/>
          </w:tcPr>
          <w:p w14:paraId="12BE0CF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UKVI account → eVisa view/share code</w:t>
            </w:r>
          </w:p>
        </w:tc>
        <w:tc>
          <w:tcPr>
            <w:tcW w:w="1270" w:type="pct"/>
            <w:tcBorders>
              <w:top w:val="nil"/>
              <w:left w:val="nil"/>
              <w:bottom w:val="nil"/>
              <w:right w:val="nil"/>
            </w:tcBorders>
            <w:shd w:val="clear" w:color="auto" w:fill="FFFFFF"/>
            <w:vAlign w:val="center"/>
          </w:tcPr>
          <w:p w14:paraId="3900051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Report eVisa error; separate status-correction request if access to work/benefits/services has been stopped</w:t>
            </w:r>
          </w:p>
        </w:tc>
        <w:tc>
          <w:tcPr>
            <w:tcW w:w="1313" w:type="pct"/>
            <w:tcBorders>
              <w:top w:val="nil"/>
              <w:left w:val="nil"/>
              <w:bottom w:val="nil"/>
              <w:right w:val="nil"/>
            </w:tcBorders>
            <w:shd w:val="clear" w:color="auto" w:fill="FFFFFF"/>
            <w:vAlign w:val="center"/>
          </w:tcPr>
          <w:p w14:paraId="21CFE61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Most eVisa issues: 5 working days; complex: up to 15; status-correction request: response within 7 working days</w:t>
            </w:r>
          </w:p>
        </w:tc>
        <w:tc>
          <w:tcPr>
            <w:tcW w:w="757" w:type="pct"/>
            <w:tcBorders>
              <w:top w:val="nil"/>
              <w:left w:val="nil"/>
              <w:bottom w:val="nil"/>
              <w:right w:val="nil"/>
            </w:tcBorders>
            <w:shd w:val="clear" w:color="auto" w:fill="FFFFFF"/>
            <w:vAlign w:val="center"/>
          </w:tcPr>
          <w:p w14:paraId="49E8F99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public case-level time-to-resolution distribution or material-impact rate</w:t>
            </w:r>
          </w:p>
        </w:tc>
      </w:tr>
      <w:tr w14:paraId="2432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8" w:type="pct"/>
            <w:tcBorders>
              <w:top w:val="nil"/>
              <w:left w:val="nil"/>
              <w:bottom w:val="nil"/>
              <w:right w:val="single" w:color="000000" w:sz="12" w:space="0"/>
            </w:tcBorders>
            <w:shd w:val="clear" w:color="auto" w:fill="FFFFFF"/>
            <w:vAlign w:val="center"/>
          </w:tcPr>
          <w:p w14:paraId="36427DF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Employment</w:t>
            </w:r>
          </w:p>
        </w:tc>
        <w:tc>
          <w:tcPr>
            <w:tcW w:w="879" w:type="pct"/>
            <w:tcBorders>
              <w:top w:val="nil"/>
              <w:left w:val="nil"/>
              <w:bottom w:val="nil"/>
              <w:right w:val="nil"/>
            </w:tcBorders>
            <w:shd w:val="clear" w:color="auto" w:fill="FFFFFF"/>
            <w:vAlign w:val="center"/>
          </w:tcPr>
          <w:p w14:paraId="32A3EA0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Home Office online right-to-work check using prescribed evidence/share code</w:t>
            </w:r>
          </w:p>
        </w:tc>
        <w:tc>
          <w:tcPr>
            <w:tcW w:w="1270" w:type="pct"/>
            <w:tcBorders>
              <w:top w:val="nil"/>
              <w:left w:val="nil"/>
              <w:bottom w:val="nil"/>
              <w:right w:val="nil"/>
            </w:tcBorders>
            <w:shd w:val="clear" w:color="auto" w:fill="FFFFFF"/>
            <w:vAlign w:val="center"/>
          </w:tcPr>
          <w:p w14:paraId="2D124DF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Employer Checking Service where usual proof cannot be shown in specified circumstances</w:t>
            </w:r>
          </w:p>
        </w:tc>
        <w:tc>
          <w:tcPr>
            <w:tcW w:w="1313" w:type="pct"/>
            <w:tcBorders>
              <w:top w:val="nil"/>
              <w:left w:val="nil"/>
              <w:bottom w:val="nil"/>
              <w:right w:val="nil"/>
            </w:tcBorders>
            <w:shd w:val="clear" w:color="auto" w:fill="FFFFFF"/>
            <w:vAlign w:val="center"/>
          </w:tcPr>
          <w:p w14:paraId="23A00D7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ECS aims to respond within 5 working days; PVN can confirm right to work and provide a time-limited statutory excuse</w:t>
            </w:r>
          </w:p>
        </w:tc>
        <w:tc>
          <w:tcPr>
            <w:tcW w:w="757" w:type="pct"/>
            <w:tcBorders>
              <w:top w:val="nil"/>
              <w:left w:val="nil"/>
              <w:bottom w:val="nil"/>
              <w:right w:val="nil"/>
            </w:tcBorders>
            <w:shd w:val="clear" w:color="auto" w:fill="FFFFFF"/>
            <w:vAlign w:val="center"/>
          </w:tcPr>
          <w:p w14:paraId="1B6B0A3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public count of eVisa-error cases entering ECS or resulting employment delays</w:t>
            </w:r>
          </w:p>
        </w:tc>
      </w:tr>
      <w:tr w14:paraId="2464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8" w:type="pct"/>
            <w:tcBorders>
              <w:top w:val="nil"/>
              <w:left w:val="nil"/>
              <w:bottom w:val="nil"/>
              <w:right w:val="single" w:color="000000" w:sz="12" w:space="0"/>
            </w:tcBorders>
            <w:shd w:val="clear" w:color="auto" w:fill="FFFFFF"/>
            <w:vAlign w:val="center"/>
          </w:tcPr>
          <w:p w14:paraId="6E5EA0D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Private renting (England)</w:t>
            </w:r>
          </w:p>
        </w:tc>
        <w:tc>
          <w:tcPr>
            <w:tcW w:w="879" w:type="pct"/>
            <w:tcBorders>
              <w:top w:val="nil"/>
              <w:left w:val="nil"/>
              <w:bottom w:val="nil"/>
              <w:right w:val="nil"/>
            </w:tcBorders>
            <w:shd w:val="clear" w:color="auto" w:fill="FFFFFF"/>
            <w:vAlign w:val="center"/>
          </w:tcPr>
          <w:p w14:paraId="3969059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eVisa holder proves right to rent through Home Office online service using purpose-specific share code</w:t>
            </w:r>
          </w:p>
        </w:tc>
        <w:tc>
          <w:tcPr>
            <w:tcW w:w="1270" w:type="pct"/>
            <w:tcBorders>
              <w:top w:val="nil"/>
              <w:left w:val="nil"/>
              <w:bottom w:val="nil"/>
              <w:right w:val="nil"/>
            </w:tcBorders>
            <w:shd w:val="clear" w:color="auto" w:fill="FFFFFF"/>
            <w:vAlign w:val="center"/>
          </w:tcPr>
          <w:p w14:paraId="77B545C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Landlord Checking Service where digital profile cannot evidence status or status requires Home Office verification</w:t>
            </w:r>
          </w:p>
        </w:tc>
        <w:tc>
          <w:tcPr>
            <w:tcW w:w="1313" w:type="pct"/>
            <w:tcBorders>
              <w:top w:val="nil"/>
              <w:left w:val="nil"/>
              <w:bottom w:val="nil"/>
              <w:right w:val="nil"/>
            </w:tcBorders>
            <w:shd w:val="clear" w:color="auto" w:fill="FFFFFF"/>
            <w:vAlign w:val="center"/>
          </w:tcPr>
          <w:p w14:paraId="019F86E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LCS states a clear yes/no response within 2 working days</w:t>
            </w:r>
          </w:p>
        </w:tc>
        <w:tc>
          <w:tcPr>
            <w:tcW w:w="757" w:type="pct"/>
            <w:tcBorders>
              <w:top w:val="nil"/>
              <w:left w:val="nil"/>
              <w:bottom w:val="nil"/>
              <w:right w:val="nil"/>
            </w:tcBorders>
            <w:shd w:val="clear" w:color="auto" w:fill="FFFFFF"/>
            <w:vAlign w:val="center"/>
          </w:tcPr>
          <w:p w14:paraId="78F8F69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public measure of landlord use, refusal before fallback, or tenancy loss attributable to proof failure</w:t>
            </w:r>
          </w:p>
        </w:tc>
      </w:tr>
      <w:tr w14:paraId="130E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8" w:type="pct"/>
            <w:tcBorders>
              <w:top w:val="nil"/>
              <w:left w:val="nil"/>
              <w:bottom w:val="nil"/>
              <w:right w:val="single" w:color="000000" w:sz="12" w:space="0"/>
            </w:tcBorders>
            <w:shd w:val="clear" w:color="auto" w:fill="FFFFFF"/>
            <w:vAlign w:val="center"/>
          </w:tcPr>
          <w:p w14:paraId="5E2CF02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Travel</w:t>
            </w:r>
          </w:p>
        </w:tc>
        <w:tc>
          <w:tcPr>
            <w:tcW w:w="879" w:type="pct"/>
            <w:tcBorders>
              <w:top w:val="nil"/>
              <w:left w:val="nil"/>
              <w:bottom w:val="nil"/>
              <w:right w:val="nil"/>
            </w:tcBorders>
            <w:shd w:val="clear" w:color="auto" w:fill="FFFFFF"/>
            <w:vAlign w:val="center"/>
          </w:tcPr>
          <w:p w14:paraId="07650B9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Passport/travel document linked to UKVI account; eVisa checked by carrier/border systems; travel share code if needed</w:t>
            </w:r>
          </w:p>
        </w:tc>
        <w:tc>
          <w:tcPr>
            <w:tcW w:w="1270" w:type="pct"/>
            <w:tcBorders>
              <w:top w:val="nil"/>
              <w:left w:val="nil"/>
              <w:bottom w:val="nil"/>
              <w:right w:val="nil"/>
            </w:tcBorders>
            <w:shd w:val="clear" w:color="auto" w:fill="FFFFFF"/>
            <w:vAlign w:val="center"/>
          </w:tcPr>
          <w:p w14:paraId="70B9EF0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Additional proof where available; carrier instructed to contact Border Force carrier support hub if eVisa cannot be checked</w:t>
            </w:r>
          </w:p>
        </w:tc>
        <w:tc>
          <w:tcPr>
            <w:tcW w:w="1313" w:type="pct"/>
            <w:tcBorders>
              <w:top w:val="nil"/>
              <w:left w:val="nil"/>
              <w:bottom w:val="nil"/>
              <w:right w:val="nil"/>
            </w:tcBorders>
            <w:shd w:val="clear" w:color="auto" w:fill="FFFFFF"/>
            <w:vAlign w:val="center"/>
          </w:tcPr>
          <w:p w14:paraId="1CFAEAD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universal public resolution-time target on the travel page</w:t>
            </w:r>
          </w:p>
        </w:tc>
        <w:tc>
          <w:tcPr>
            <w:tcW w:w="757" w:type="pct"/>
            <w:tcBorders>
              <w:top w:val="nil"/>
              <w:left w:val="nil"/>
              <w:bottom w:val="nil"/>
              <w:right w:val="nil"/>
            </w:tcBorders>
            <w:shd w:val="clear" w:color="auto" w:fill="FFFFFF"/>
            <w:vAlign w:val="center"/>
          </w:tcPr>
          <w:p w14:paraId="791CC0B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public case-level linkage between eVisa errors, boarding delays, denied boarding, and final resolution</w:t>
            </w:r>
          </w:p>
        </w:tc>
      </w:tr>
      <w:tr w14:paraId="186B4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8" w:type="pct"/>
            <w:tcBorders>
              <w:top w:val="nil"/>
              <w:left w:val="nil"/>
              <w:bottom w:val="single" w:color="000000" w:sz="12" w:space="0"/>
              <w:right w:val="single" w:color="000000" w:sz="12" w:space="0"/>
            </w:tcBorders>
            <w:shd w:val="clear" w:color="auto" w:fill="FFFFFF"/>
            <w:vAlign w:val="center"/>
          </w:tcPr>
          <w:p w14:paraId="2810AA8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Other services / benefits</w:t>
            </w:r>
          </w:p>
        </w:tc>
        <w:tc>
          <w:tcPr>
            <w:tcW w:w="879" w:type="pct"/>
            <w:tcBorders>
              <w:top w:val="nil"/>
              <w:left w:val="nil"/>
              <w:bottom w:val="single" w:color="000000" w:sz="12" w:space="0"/>
              <w:right w:val="nil"/>
            </w:tcBorders>
            <w:shd w:val="clear" w:color="auto" w:fill="FFFFFF"/>
            <w:vAlign w:val="center"/>
          </w:tcPr>
          <w:p w14:paraId="35A2BA1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Status information shared or checked through institutional channels</w:t>
            </w:r>
          </w:p>
        </w:tc>
        <w:tc>
          <w:tcPr>
            <w:tcW w:w="1270" w:type="pct"/>
            <w:tcBorders>
              <w:top w:val="nil"/>
              <w:left w:val="nil"/>
              <w:bottom w:val="single" w:color="000000" w:sz="12" w:space="0"/>
              <w:right w:val="nil"/>
            </w:tcBorders>
            <w:shd w:val="clear" w:color="auto" w:fill="FFFFFF"/>
            <w:vAlign w:val="center"/>
          </w:tcPr>
          <w:p w14:paraId="2DDCA3D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Status-correction request where wrong status has stopped access</w:t>
            </w:r>
          </w:p>
        </w:tc>
        <w:tc>
          <w:tcPr>
            <w:tcW w:w="1313" w:type="pct"/>
            <w:tcBorders>
              <w:top w:val="nil"/>
              <w:left w:val="nil"/>
              <w:bottom w:val="single" w:color="000000" w:sz="12" w:space="0"/>
              <w:right w:val="nil"/>
            </w:tcBorders>
            <w:shd w:val="clear" w:color="auto" w:fill="FFFFFF"/>
            <w:vAlign w:val="center"/>
          </w:tcPr>
          <w:p w14:paraId="39FAA37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Response stated within 7 working days, potentially longer if documents/information are incomplete</w:t>
            </w:r>
          </w:p>
        </w:tc>
        <w:tc>
          <w:tcPr>
            <w:tcW w:w="757" w:type="pct"/>
            <w:tcBorders>
              <w:top w:val="nil"/>
              <w:left w:val="nil"/>
              <w:bottom w:val="single" w:color="000000" w:sz="12" w:space="0"/>
              <w:right w:val="nil"/>
            </w:tcBorders>
            <w:shd w:val="clear" w:color="auto" w:fill="FFFFFF"/>
            <w:vAlign w:val="center"/>
          </w:tcPr>
          <w:p w14:paraId="140D49B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service-specific public outcome data across banks, benefits, or other departments</w:t>
            </w:r>
          </w:p>
        </w:tc>
      </w:tr>
    </w:tbl>
    <w:p w14:paraId="0B382FC7">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Sources: Home Office (2025, 2026a, 2026b, 2026c, n.d.-b, n.d.-g). ‘Published target’ refers to the stated service target, not an observed performance distribution. Cross-domain comparison is used to identify recurrent institutional features and does not assume legal or operational equivalence among fallback routes.</w:t>
      </w:r>
    </w:p>
    <w:p w14:paraId="47C780A4">
      <w:pPr>
        <w:spacing w:before="0" w:after="0" w:line="360" w:lineRule="auto"/>
        <w:jc w:val="both"/>
        <w:rPr>
          <w:rFonts w:hint="default" w:ascii="Times New Roman" w:hAnsi="Times New Roman" w:eastAsia="Times New Roman" w:cs="Times New Roman"/>
          <w:i/>
          <w:sz w:val="24"/>
          <w:szCs w:val="24"/>
        </w:rPr>
      </w:pPr>
    </w:p>
    <w:p w14:paraId="3D2F635B">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D. Descriptive eVisa Error-Correction Data</w:t>
      </w:r>
    </w:p>
    <w:p w14:paraId="23943DE4">
      <w:pPr>
        <w:spacing w:before="0" w:after="0" w:line="360" w:lineRule="auto"/>
        <w:ind w:firstLine="480"/>
        <w:jc w:val="both"/>
        <w:rPr>
          <w:rFonts w:hint="default" w:ascii="Times New Roman" w:hAnsi="Times New Roman" w:eastAsia="Times New Roman" w:cs="Times New Roman"/>
          <w:b w:val="0"/>
          <w:i w:val="0"/>
          <w:sz w:val="24"/>
          <w:szCs w:val="24"/>
        </w:rPr>
      </w:pPr>
      <w:r>
        <w:rPr>
          <w:rFonts w:hint="default" w:ascii="Times New Roman" w:hAnsi="Times New Roman" w:eastAsia="Times New Roman" w:cs="Times New Roman"/>
          <w:b w:val="0"/>
          <w:i w:val="0"/>
          <w:sz w:val="24"/>
          <w:szCs w:val="24"/>
        </w:rPr>
        <w:t>The Home Office began publishing comparable correction totals from September 2025 after changes to data collection. Table A4 reports the monthly counts of errors recorded as corrected. They should not be read as the number of unique people affected, the number of reports submitted, or a rate of failure among all eVisa users.</w:t>
      </w:r>
    </w:p>
    <w:p w14:paraId="1D6D07FC">
      <w:pPr>
        <w:spacing w:before="0" w:after="0" w:line="360" w:lineRule="auto"/>
        <w:ind w:firstLine="480"/>
        <w:jc w:val="both"/>
        <w:rPr>
          <w:rFonts w:hint="default" w:ascii="Times New Roman" w:hAnsi="Times New Roman" w:eastAsia="Times New Roman" w:cs="Times New Roman"/>
          <w:b w:val="0"/>
          <w:i w:val="0"/>
          <w:sz w:val="24"/>
          <w:szCs w:val="24"/>
        </w:rPr>
      </w:pPr>
    </w:p>
    <w:p w14:paraId="15B7BDF1">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A4. </w:t>
      </w:r>
      <w:r>
        <w:rPr>
          <w:rFonts w:hint="default" w:ascii="Times New Roman" w:hAnsi="Times New Roman" w:eastAsia="Times New Roman" w:cs="Times New Roman"/>
          <w:b w:val="0"/>
          <w:i w:val="0"/>
          <w:sz w:val="24"/>
          <w:szCs w:val="24"/>
        </w:rPr>
        <w:t>Monthly eVisa errors recorded as corrected, September 2025–May 2026.</w:t>
      </w:r>
    </w:p>
    <w:tbl>
      <w:tblP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050"/>
        <w:gridCol w:w="4188"/>
      </w:tblGrid>
      <w:tr w14:paraId="1206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2733" w:type="pct"/>
            <w:tcBorders>
              <w:top w:val="single" w:color="000000" w:sz="12" w:space="0"/>
              <w:left w:val="nil"/>
              <w:bottom w:val="single" w:color="000000" w:sz="8" w:space="0"/>
              <w:right w:val="single" w:color="000000" w:sz="12" w:space="0"/>
            </w:tcBorders>
            <w:shd w:val="clear" w:color="auto" w:fill="FFFFFF"/>
            <w:vAlign w:val="center"/>
          </w:tcPr>
          <w:p w14:paraId="12C4D8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Month of correction</w:t>
            </w:r>
          </w:p>
        </w:tc>
        <w:tc>
          <w:tcPr>
            <w:tcW w:w="2266" w:type="pct"/>
            <w:tcBorders>
              <w:top w:val="single" w:color="000000" w:sz="12" w:space="0"/>
              <w:left w:val="nil"/>
              <w:bottom w:val="single" w:color="000000" w:sz="8" w:space="0"/>
              <w:right w:val="nil"/>
            </w:tcBorders>
            <w:shd w:val="clear" w:color="auto" w:fill="FFFFFF"/>
            <w:vAlign w:val="center"/>
          </w:tcPr>
          <w:p w14:paraId="2CA9E6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Corrected errors</w:t>
            </w:r>
          </w:p>
        </w:tc>
      </w:tr>
      <w:tr w14:paraId="284B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499071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Sep-25</w:t>
            </w:r>
          </w:p>
        </w:tc>
        <w:tc>
          <w:tcPr>
            <w:tcW w:w="2266" w:type="pct"/>
            <w:tcBorders>
              <w:top w:val="nil"/>
              <w:left w:val="nil"/>
              <w:bottom w:val="nil"/>
              <w:right w:val="nil"/>
            </w:tcBorders>
            <w:shd w:val="clear" w:color="auto" w:fill="FFFFFF"/>
            <w:vAlign w:val="center"/>
          </w:tcPr>
          <w:p w14:paraId="7E15ACEF">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7,289</w:t>
            </w:r>
          </w:p>
        </w:tc>
      </w:tr>
      <w:tr w14:paraId="55ED1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38ECBBC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Oct-25</w:t>
            </w:r>
          </w:p>
        </w:tc>
        <w:tc>
          <w:tcPr>
            <w:tcW w:w="2266" w:type="pct"/>
            <w:tcBorders>
              <w:top w:val="nil"/>
              <w:left w:val="nil"/>
              <w:bottom w:val="nil"/>
              <w:right w:val="nil"/>
            </w:tcBorders>
            <w:shd w:val="clear" w:color="auto" w:fill="FFFFFF"/>
            <w:vAlign w:val="center"/>
          </w:tcPr>
          <w:p w14:paraId="44057F1E">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6,979</w:t>
            </w:r>
          </w:p>
        </w:tc>
      </w:tr>
      <w:tr w14:paraId="1D4D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622DB3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Nov-25</w:t>
            </w:r>
          </w:p>
        </w:tc>
        <w:tc>
          <w:tcPr>
            <w:tcW w:w="2266" w:type="pct"/>
            <w:tcBorders>
              <w:top w:val="nil"/>
              <w:left w:val="nil"/>
              <w:bottom w:val="nil"/>
              <w:right w:val="nil"/>
            </w:tcBorders>
            <w:shd w:val="clear" w:color="auto" w:fill="FFFFFF"/>
            <w:vAlign w:val="center"/>
          </w:tcPr>
          <w:p w14:paraId="13440C39">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7,044</w:t>
            </w:r>
          </w:p>
        </w:tc>
      </w:tr>
      <w:tr w14:paraId="4471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56B372C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Dec-25</w:t>
            </w:r>
          </w:p>
        </w:tc>
        <w:tc>
          <w:tcPr>
            <w:tcW w:w="2266" w:type="pct"/>
            <w:tcBorders>
              <w:top w:val="nil"/>
              <w:left w:val="nil"/>
              <w:bottom w:val="nil"/>
              <w:right w:val="nil"/>
            </w:tcBorders>
            <w:shd w:val="clear" w:color="auto" w:fill="FFFFFF"/>
            <w:vAlign w:val="center"/>
          </w:tcPr>
          <w:p w14:paraId="1F8C49BE">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7,163</w:t>
            </w:r>
          </w:p>
        </w:tc>
      </w:tr>
      <w:tr w14:paraId="7D00A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214D248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Jan-26</w:t>
            </w:r>
          </w:p>
        </w:tc>
        <w:tc>
          <w:tcPr>
            <w:tcW w:w="2266" w:type="pct"/>
            <w:tcBorders>
              <w:top w:val="nil"/>
              <w:left w:val="nil"/>
              <w:bottom w:val="nil"/>
              <w:right w:val="nil"/>
            </w:tcBorders>
            <w:shd w:val="clear" w:color="auto" w:fill="FFFFFF"/>
            <w:vAlign w:val="center"/>
          </w:tcPr>
          <w:p w14:paraId="7AEE95FB">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8,198</w:t>
            </w:r>
          </w:p>
        </w:tc>
      </w:tr>
      <w:tr w14:paraId="2944F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1B9285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Feb-26</w:t>
            </w:r>
          </w:p>
        </w:tc>
        <w:tc>
          <w:tcPr>
            <w:tcW w:w="2266" w:type="pct"/>
            <w:tcBorders>
              <w:top w:val="nil"/>
              <w:left w:val="nil"/>
              <w:bottom w:val="nil"/>
              <w:right w:val="nil"/>
            </w:tcBorders>
            <w:shd w:val="clear" w:color="auto" w:fill="FFFFFF"/>
            <w:vAlign w:val="center"/>
          </w:tcPr>
          <w:p w14:paraId="6D525236">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7,604</w:t>
            </w:r>
          </w:p>
        </w:tc>
      </w:tr>
      <w:tr w14:paraId="2478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166A44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Mar-26</w:t>
            </w:r>
          </w:p>
        </w:tc>
        <w:tc>
          <w:tcPr>
            <w:tcW w:w="2266" w:type="pct"/>
            <w:tcBorders>
              <w:top w:val="nil"/>
              <w:left w:val="nil"/>
              <w:bottom w:val="nil"/>
              <w:right w:val="nil"/>
            </w:tcBorders>
            <w:shd w:val="clear" w:color="auto" w:fill="FFFFFF"/>
            <w:vAlign w:val="center"/>
          </w:tcPr>
          <w:p w14:paraId="3E9F16A2">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7,714</w:t>
            </w:r>
          </w:p>
        </w:tc>
      </w:tr>
      <w:tr w14:paraId="47F1C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429F29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Apr-26</w:t>
            </w:r>
          </w:p>
        </w:tc>
        <w:tc>
          <w:tcPr>
            <w:tcW w:w="2266" w:type="pct"/>
            <w:tcBorders>
              <w:top w:val="nil"/>
              <w:left w:val="nil"/>
              <w:bottom w:val="nil"/>
              <w:right w:val="nil"/>
            </w:tcBorders>
            <w:shd w:val="clear" w:color="auto" w:fill="FFFFFF"/>
            <w:vAlign w:val="center"/>
          </w:tcPr>
          <w:p w14:paraId="70D6E4CA">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7,397</w:t>
            </w:r>
          </w:p>
        </w:tc>
      </w:tr>
      <w:tr w14:paraId="16B8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0DE951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May-26</w:t>
            </w:r>
          </w:p>
        </w:tc>
        <w:tc>
          <w:tcPr>
            <w:tcW w:w="2266" w:type="pct"/>
            <w:tcBorders>
              <w:top w:val="nil"/>
              <w:left w:val="nil"/>
              <w:bottom w:val="nil"/>
              <w:right w:val="nil"/>
            </w:tcBorders>
            <w:shd w:val="clear" w:color="auto" w:fill="FFFFFF"/>
            <w:vAlign w:val="center"/>
          </w:tcPr>
          <w:p w14:paraId="5A03D80B">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5,390</w:t>
            </w:r>
          </w:p>
        </w:tc>
      </w:tr>
      <w:tr w14:paraId="2279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740989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Total</w:t>
            </w:r>
          </w:p>
        </w:tc>
        <w:tc>
          <w:tcPr>
            <w:tcW w:w="2266" w:type="pct"/>
            <w:tcBorders>
              <w:top w:val="nil"/>
              <w:left w:val="nil"/>
              <w:bottom w:val="nil"/>
              <w:right w:val="nil"/>
            </w:tcBorders>
            <w:shd w:val="clear" w:color="auto" w:fill="FFFFFF"/>
            <w:vAlign w:val="center"/>
          </w:tcPr>
          <w:p w14:paraId="3B71EB27">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64,778</w:t>
            </w:r>
          </w:p>
        </w:tc>
      </w:tr>
      <w:tr w14:paraId="277D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nil"/>
              <w:right w:val="single" w:color="000000" w:sz="12" w:space="0"/>
            </w:tcBorders>
            <w:shd w:val="clear" w:color="auto" w:fill="FFFFFF"/>
            <w:vAlign w:val="center"/>
          </w:tcPr>
          <w:p w14:paraId="4C6F2C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Mean per month</w:t>
            </w:r>
          </w:p>
        </w:tc>
        <w:tc>
          <w:tcPr>
            <w:tcW w:w="2266" w:type="pct"/>
            <w:tcBorders>
              <w:top w:val="nil"/>
              <w:left w:val="nil"/>
              <w:bottom w:val="nil"/>
              <w:right w:val="nil"/>
            </w:tcBorders>
            <w:shd w:val="clear" w:color="auto" w:fill="FFFFFF"/>
            <w:vAlign w:val="center"/>
          </w:tcPr>
          <w:p w14:paraId="07354ACC">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7,198</w:t>
            </w:r>
          </w:p>
        </w:tc>
      </w:tr>
      <w:tr w14:paraId="369E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33" w:type="pct"/>
            <w:tcBorders>
              <w:top w:val="nil"/>
              <w:left w:val="nil"/>
              <w:bottom w:val="single" w:color="000000" w:sz="12" w:space="0"/>
              <w:right w:val="single" w:color="000000" w:sz="12" w:space="0"/>
            </w:tcBorders>
            <w:shd w:val="clear" w:color="auto" w:fill="FFFFFF"/>
            <w:vAlign w:val="center"/>
          </w:tcPr>
          <w:p w14:paraId="4EDD281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Median per month</w:t>
            </w:r>
          </w:p>
        </w:tc>
        <w:tc>
          <w:tcPr>
            <w:tcW w:w="2266" w:type="pct"/>
            <w:tcBorders>
              <w:top w:val="nil"/>
              <w:left w:val="nil"/>
              <w:bottom w:val="single" w:color="000000" w:sz="12" w:space="0"/>
              <w:right w:val="nil"/>
            </w:tcBorders>
            <w:shd w:val="clear" w:color="auto" w:fill="FFFFFF"/>
            <w:vAlign w:val="center"/>
          </w:tcPr>
          <w:p w14:paraId="28AECD22">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7,289</w:t>
            </w:r>
          </w:p>
        </w:tc>
      </w:tr>
    </w:tbl>
    <w:p w14:paraId="4B60254F">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Source: Home Office (2026b). The Home Office states that corrected errors since September 2025 represent less than 1% of live eVisas and that not all reports correspond to underlying data errors.</w:t>
      </w:r>
    </w:p>
    <w:p w14:paraId="2F802B26">
      <w:pPr>
        <w:spacing w:before="0" w:after="0" w:line="360" w:lineRule="auto"/>
        <w:jc w:val="both"/>
        <w:rPr>
          <w:rFonts w:hint="default" w:ascii="Times New Roman" w:hAnsi="Times New Roman" w:eastAsia="Times New Roman" w:cs="Times New Roman"/>
          <w:i/>
          <w:sz w:val="24"/>
          <w:szCs w:val="24"/>
        </w:rPr>
      </w:pPr>
    </w:p>
    <w:p w14:paraId="1F95FF26">
      <w:pPr>
        <w:spacing w:before="0" w:after="0" w:line="360" w:lineRule="auto"/>
        <w:ind w:firstLine="480"/>
        <w:jc w:val="both"/>
        <w:rPr>
          <w:rFonts w:hint="default" w:ascii="Times New Roman" w:hAnsi="Times New Roman" w:eastAsia="Times New Roman" w:cs="Times New Roman"/>
          <w:i w:val="0"/>
          <w:sz w:val="24"/>
          <w:szCs w:val="24"/>
        </w:rPr>
      </w:pPr>
      <w:r>
        <w:rPr>
          <w:rFonts w:hint="default" w:ascii="Times New Roman" w:hAnsi="Times New Roman" w:eastAsia="Times New Roman" w:cs="Times New Roman"/>
          <w:i w:val="0"/>
          <w:sz w:val="24"/>
          <w:szCs w:val="24"/>
        </w:rPr>
        <w:t>Figure A1 visualises the monthly correction counts to make variation across the published nine-month window visible without treating that variation as a trend. The figure is descriptive only and should be read together with the missing-denominator and case-level limitations in Table A5.</w:t>
      </w:r>
    </w:p>
    <w:p w14:paraId="156603D5">
      <w:pPr>
        <w:spacing w:before="0" w:after="0" w:line="360" w:lineRule="auto"/>
        <w:ind w:firstLine="480"/>
        <w:jc w:val="both"/>
        <w:rPr>
          <w:rFonts w:hint="default" w:ascii="Times New Roman" w:hAnsi="Times New Roman" w:eastAsia="Times New Roman" w:cs="Times New Roman"/>
          <w:i w:val="0"/>
          <w:sz w:val="24"/>
          <w:szCs w:val="24"/>
        </w:rPr>
      </w:pPr>
    </w:p>
    <w:p w14:paraId="350F4F27">
      <w:pPr>
        <w:spacing w:before="0" w:after="0"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715000" cy="2812415"/>
            <wp:effectExtent l="0" t="0" r="7620" b="10160"/>
            <wp:docPr id="2" name="Picture 2" descr="Line chart of monthly eVisa errors recorded as corrected from September 2025 to May 2026, showing values ranging from 5,390 to 8,198 without implying a trend." title="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ine chart of monthly eVisa errors recorded as corrected from September 2025 to May 2026, showing values ranging from 5,390 to 8,198 without implying a trend." title="Figure"/>
                    <pic:cNvPicPr>
                      <a:picLocks noChangeAspect="1"/>
                    </pic:cNvPicPr>
                  </pic:nvPicPr>
                  <pic:blipFill>
                    <a:blip r:embed="rId7"/>
                    <a:stretch>
                      <a:fillRect/>
                    </a:stretch>
                  </pic:blipFill>
                  <pic:spPr>
                    <a:xfrm>
                      <a:off x="0" y="0"/>
                      <a:ext cx="5715000" cy="2812691"/>
                    </a:xfrm>
                    <a:prstGeom prst="rect">
                      <a:avLst/>
                    </a:prstGeom>
                  </pic:spPr>
                </pic:pic>
              </a:graphicData>
            </a:graphic>
          </wp:inline>
        </w:drawing>
      </w:r>
    </w:p>
    <w:p w14:paraId="435C59F0">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Figure A1. </w:t>
      </w:r>
      <w:r>
        <w:rPr>
          <w:rFonts w:hint="default" w:ascii="Times New Roman" w:hAnsi="Times New Roman" w:eastAsia="Times New Roman" w:cs="Times New Roman"/>
          <w:b w:val="0"/>
          <w:i w:val="0"/>
          <w:sz w:val="24"/>
          <w:szCs w:val="24"/>
        </w:rPr>
        <w:t>Monthly eVisa errors recorded as corrected, September 2025–May 2026.</w:t>
      </w:r>
    </w:p>
    <w:p w14:paraId="0B6BA206">
      <w:pPr>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i/>
          <w:sz w:val="24"/>
          <w:szCs w:val="24"/>
        </w:rPr>
        <w:t>Note. Author-generated visualisation from Home Office (2026b). Values are errors recorded as corrected, not unique individuals, reports submitted, or a failure rate. The lower May count should not be interpreted as a trend without later months or information on submissions, processing backlogs, and category composition.</w:t>
      </w:r>
    </w:p>
    <w:p w14:paraId="6F9A350E">
      <w:pPr>
        <w:spacing w:before="0" w:after="0" w:line="360" w:lineRule="auto"/>
        <w:ind w:firstLine="480"/>
        <w:jc w:val="both"/>
        <w:rPr>
          <w:rFonts w:hint="default" w:ascii="Times New Roman" w:hAnsi="Times New Roman" w:eastAsia="Times New Roman" w:cs="Times New Roman"/>
          <w:sz w:val="24"/>
          <w:szCs w:val="24"/>
        </w:rPr>
      </w:pPr>
    </w:p>
    <w:p w14:paraId="48E94461">
      <w:pPr>
        <w:spacing w:before="0" w:after="0" w:line="360" w:lineRule="auto"/>
        <w:ind w:firstLine="48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visual pattern therefore supports only a workload description: recorded corrections varied across months. It provides no basis for inferring whether error incidence rose or fell, whether May reflects improved performance, or whether the composition of corrected cases changed.</w:t>
      </w:r>
    </w:p>
    <w:p w14:paraId="55453EB0">
      <w:pPr>
        <w:spacing w:before="0" w:after="0" w:line="360" w:lineRule="auto"/>
        <w:ind w:firstLine="480"/>
        <w:jc w:val="both"/>
        <w:rPr>
          <w:rFonts w:hint="default" w:ascii="Times New Roman" w:hAnsi="Times New Roman" w:eastAsia="Times New Roman" w:cs="Times New Roman"/>
          <w:sz w:val="24"/>
          <w:szCs w:val="24"/>
        </w:rPr>
      </w:pPr>
    </w:p>
    <w:p w14:paraId="58829579">
      <w:pPr>
        <w:pStyle w:val="5"/>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D2. Publicly Unavailable Quantities That Should Not Be Inferred</w:t>
      </w:r>
    </w:p>
    <w:p w14:paraId="03F43CA6">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A5. </w:t>
      </w:r>
      <w:r>
        <w:rPr>
          <w:rFonts w:hint="default" w:ascii="Times New Roman" w:hAnsi="Times New Roman" w:eastAsia="Times New Roman" w:cs="Times New Roman"/>
          <w:b w:val="0"/>
          <w:i w:val="0"/>
          <w:sz w:val="24"/>
          <w:szCs w:val="24"/>
        </w:rPr>
        <w:t>Publicly unavailable quantities and their inferential implications.</w:t>
      </w:r>
    </w:p>
    <w:tbl>
      <w:tblP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779"/>
        <w:gridCol w:w="1913"/>
        <w:gridCol w:w="3546"/>
      </w:tblGrid>
      <w:tr w14:paraId="6E4C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2045" w:type="pct"/>
            <w:tcBorders>
              <w:top w:val="single" w:color="000000" w:sz="12" w:space="0"/>
              <w:left w:val="nil"/>
              <w:bottom w:val="single" w:color="000000" w:sz="8" w:space="0"/>
              <w:right w:val="single" w:color="000000" w:sz="12" w:space="0"/>
            </w:tcBorders>
            <w:shd w:val="clear" w:color="auto" w:fill="FFFFFF"/>
            <w:vAlign w:val="center"/>
          </w:tcPr>
          <w:p w14:paraId="26A78E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Quantity</w:t>
            </w:r>
          </w:p>
        </w:tc>
        <w:tc>
          <w:tcPr>
            <w:tcW w:w="1035" w:type="pct"/>
            <w:tcBorders>
              <w:top w:val="single" w:color="000000" w:sz="12" w:space="0"/>
              <w:left w:val="nil"/>
              <w:bottom w:val="single" w:color="000000" w:sz="8" w:space="0"/>
              <w:right w:val="nil"/>
            </w:tcBorders>
            <w:shd w:val="clear" w:color="auto" w:fill="FFFFFF"/>
            <w:vAlign w:val="center"/>
          </w:tcPr>
          <w:p w14:paraId="23566E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Public status as of 13 Aug 2026</w:t>
            </w:r>
          </w:p>
        </w:tc>
        <w:tc>
          <w:tcPr>
            <w:tcW w:w="1919" w:type="pct"/>
            <w:tcBorders>
              <w:top w:val="single" w:color="000000" w:sz="12" w:space="0"/>
              <w:left w:val="nil"/>
              <w:bottom w:val="single" w:color="000000" w:sz="8" w:space="0"/>
              <w:right w:val="nil"/>
            </w:tcBorders>
            <w:shd w:val="clear" w:color="auto" w:fill="FFFFFF"/>
            <w:vAlign w:val="center"/>
          </w:tcPr>
          <w:p w14:paraId="5F7397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Why it matters</w:t>
            </w:r>
          </w:p>
        </w:tc>
      </w:tr>
      <w:tr w14:paraId="5A7F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6104A6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Number of eVisa error reports submitted by month</w:t>
            </w:r>
          </w:p>
        </w:tc>
        <w:tc>
          <w:tcPr>
            <w:tcW w:w="1035" w:type="pct"/>
            <w:tcBorders>
              <w:top w:val="nil"/>
              <w:left w:val="nil"/>
              <w:bottom w:val="nil"/>
              <w:right w:val="nil"/>
            </w:tcBorders>
            <w:shd w:val="clear" w:color="auto" w:fill="FFFFFF"/>
            <w:vAlign w:val="center"/>
          </w:tcPr>
          <w:p w14:paraId="57BAC65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 in the correction series</w:t>
            </w:r>
          </w:p>
        </w:tc>
        <w:tc>
          <w:tcPr>
            <w:tcW w:w="1919" w:type="pct"/>
            <w:tcBorders>
              <w:top w:val="nil"/>
              <w:left w:val="nil"/>
              <w:bottom w:val="nil"/>
              <w:right w:val="nil"/>
            </w:tcBorders>
            <w:shd w:val="clear" w:color="auto" w:fill="FFFFFF"/>
            <w:vAlign w:val="center"/>
          </w:tcPr>
          <w:p w14:paraId="125B1E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estimate resolution proportion/backlog</w:t>
            </w:r>
          </w:p>
        </w:tc>
      </w:tr>
      <w:tr w14:paraId="05838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099FA8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Unique individuals represented in corrected-error totals</w:t>
            </w:r>
          </w:p>
        </w:tc>
        <w:tc>
          <w:tcPr>
            <w:tcW w:w="1035" w:type="pct"/>
            <w:tcBorders>
              <w:top w:val="nil"/>
              <w:left w:val="nil"/>
              <w:bottom w:val="nil"/>
              <w:right w:val="nil"/>
            </w:tcBorders>
            <w:shd w:val="clear" w:color="auto" w:fill="FFFFFF"/>
            <w:vAlign w:val="center"/>
          </w:tcPr>
          <w:p w14:paraId="567388B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w:t>
            </w:r>
          </w:p>
        </w:tc>
        <w:tc>
          <w:tcPr>
            <w:tcW w:w="1919" w:type="pct"/>
            <w:tcBorders>
              <w:top w:val="nil"/>
              <w:left w:val="nil"/>
              <w:bottom w:val="nil"/>
              <w:right w:val="nil"/>
            </w:tcBorders>
            <w:shd w:val="clear" w:color="auto" w:fill="FFFFFF"/>
            <w:vAlign w:val="center"/>
          </w:tcPr>
          <w:p w14:paraId="5774B1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distinguish repeated corrections from persons affected</w:t>
            </w:r>
          </w:p>
        </w:tc>
      </w:tr>
      <w:tr w14:paraId="0D1C7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3E1E22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Median/mean/quantiles of actual correction time</w:t>
            </w:r>
          </w:p>
        </w:tc>
        <w:tc>
          <w:tcPr>
            <w:tcW w:w="1035" w:type="pct"/>
            <w:tcBorders>
              <w:top w:val="nil"/>
              <w:left w:val="nil"/>
              <w:bottom w:val="nil"/>
              <w:right w:val="nil"/>
            </w:tcBorders>
            <w:shd w:val="clear" w:color="auto" w:fill="FFFFFF"/>
            <w:vAlign w:val="center"/>
          </w:tcPr>
          <w:p w14:paraId="765338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w:t>
            </w:r>
          </w:p>
        </w:tc>
        <w:tc>
          <w:tcPr>
            <w:tcW w:w="1919" w:type="pct"/>
            <w:tcBorders>
              <w:top w:val="nil"/>
              <w:left w:val="nil"/>
              <w:bottom w:val="nil"/>
              <w:right w:val="nil"/>
            </w:tcBorders>
            <w:shd w:val="clear" w:color="auto" w:fill="FFFFFF"/>
            <w:vAlign w:val="center"/>
          </w:tcPr>
          <w:p w14:paraId="7E9577D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test whether 5/15-day targets are met in practice</w:t>
            </w:r>
          </w:p>
        </w:tc>
      </w:tr>
      <w:tr w14:paraId="35FCF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7EFA2E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Counts by error category and month</w:t>
            </w:r>
          </w:p>
        </w:tc>
        <w:tc>
          <w:tcPr>
            <w:tcW w:w="1035" w:type="pct"/>
            <w:tcBorders>
              <w:top w:val="nil"/>
              <w:left w:val="nil"/>
              <w:bottom w:val="nil"/>
              <w:right w:val="nil"/>
            </w:tcBorders>
            <w:shd w:val="clear" w:color="auto" w:fill="FFFFFF"/>
            <w:vAlign w:val="center"/>
          </w:tcPr>
          <w:p w14:paraId="5E5703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 in comparable series</w:t>
            </w:r>
          </w:p>
        </w:tc>
        <w:tc>
          <w:tcPr>
            <w:tcW w:w="1919" w:type="pct"/>
            <w:tcBorders>
              <w:top w:val="nil"/>
              <w:left w:val="nil"/>
              <w:bottom w:val="nil"/>
              <w:right w:val="nil"/>
            </w:tcBorders>
            <w:shd w:val="clear" w:color="auto" w:fill="FFFFFF"/>
            <w:vAlign w:val="center"/>
          </w:tcPr>
          <w:p w14:paraId="1F1F97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distinguish minor biographical errors from status/condition errors</w:t>
            </w:r>
          </w:p>
        </w:tc>
      </w:tr>
      <w:tr w14:paraId="71D7F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440BDE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Proportion with material impact on work/rent/travel/services</w:t>
            </w:r>
          </w:p>
        </w:tc>
        <w:tc>
          <w:tcPr>
            <w:tcW w:w="1035" w:type="pct"/>
            <w:tcBorders>
              <w:top w:val="nil"/>
              <w:left w:val="nil"/>
              <w:bottom w:val="nil"/>
              <w:right w:val="nil"/>
            </w:tcBorders>
            <w:shd w:val="clear" w:color="auto" w:fill="FFFFFF"/>
            <w:vAlign w:val="center"/>
          </w:tcPr>
          <w:p w14:paraId="3E3194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w:t>
            </w:r>
          </w:p>
        </w:tc>
        <w:tc>
          <w:tcPr>
            <w:tcW w:w="1919" w:type="pct"/>
            <w:tcBorders>
              <w:top w:val="nil"/>
              <w:left w:val="nil"/>
              <w:bottom w:val="nil"/>
              <w:right w:val="nil"/>
            </w:tcBorders>
            <w:shd w:val="clear" w:color="auto" w:fill="FFFFFF"/>
            <w:vAlign w:val="center"/>
          </w:tcPr>
          <w:p w14:paraId="1C0E22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estimate consequence rather than correction volume</w:t>
            </w:r>
          </w:p>
        </w:tc>
      </w:tr>
      <w:tr w14:paraId="7BC0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5" w:type="pct"/>
            <w:tcBorders>
              <w:top w:val="nil"/>
              <w:left w:val="nil"/>
              <w:bottom w:val="nil"/>
              <w:right w:val="single" w:color="000000" w:sz="12" w:space="0"/>
            </w:tcBorders>
            <w:shd w:val="clear" w:color="auto" w:fill="FFFFFF"/>
            <w:vAlign w:val="center"/>
          </w:tcPr>
          <w:p w14:paraId="1E50E5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Fallback uptake and success by domain</w:t>
            </w:r>
          </w:p>
        </w:tc>
        <w:tc>
          <w:tcPr>
            <w:tcW w:w="1035" w:type="pct"/>
            <w:tcBorders>
              <w:top w:val="nil"/>
              <w:left w:val="nil"/>
              <w:bottom w:val="nil"/>
              <w:right w:val="nil"/>
            </w:tcBorders>
            <w:shd w:val="clear" w:color="auto" w:fill="FFFFFF"/>
            <w:vAlign w:val="center"/>
          </w:tcPr>
          <w:p w14:paraId="676B19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w:t>
            </w:r>
          </w:p>
        </w:tc>
        <w:tc>
          <w:tcPr>
            <w:tcW w:w="1919" w:type="pct"/>
            <w:tcBorders>
              <w:top w:val="nil"/>
              <w:left w:val="nil"/>
              <w:bottom w:val="nil"/>
              <w:right w:val="nil"/>
            </w:tcBorders>
            <w:shd w:val="clear" w:color="auto" w:fill="FFFFFF"/>
            <w:vAlign w:val="center"/>
          </w:tcPr>
          <w:p w14:paraId="7282D8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to evaluate whether repair architecture preserves rights in practice</w:t>
            </w:r>
          </w:p>
        </w:tc>
      </w:tr>
      <w:tr w14:paraId="2A1C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045" w:type="pct"/>
            <w:tcBorders>
              <w:top w:val="nil"/>
              <w:left w:val="nil"/>
              <w:bottom w:val="single" w:color="000000" w:sz="12" w:space="0"/>
              <w:right w:val="single" w:color="000000" w:sz="12" w:space="0"/>
            </w:tcBorders>
            <w:shd w:val="clear" w:color="auto" w:fill="FFFFFF"/>
            <w:vAlign w:val="center"/>
          </w:tcPr>
          <w:p w14:paraId="62B476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Outcome disparities by age, disability, nationality, language, or digital access</w:t>
            </w:r>
          </w:p>
        </w:tc>
        <w:tc>
          <w:tcPr>
            <w:tcW w:w="1035" w:type="pct"/>
            <w:tcBorders>
              <w:top w:val="nil"/>
              <w:left w:val="nil"/>
              <w:bottom w:val="single" w:color="000000" w:sz="12" w:space="0"/>
              <w:right w:val="nil"/>
            </w:tcBorders>
            <w:shd w:val="clear" w:color="auto" w:fill="FFFFFF"/>
            <w:vAlign w:val="center"/>
          </w:tcPr>
          <w:p w14:paraId="7DC7FB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 published</w:t>
            </w:r>
          </w:p>
        </w:tc>
        <w:tc>
          <w:tcPr>
            <w:tcW w:w="1919" w:type="pct"/>
            <w:tcBorders>
              <w:top w:val="nil"/>
              <w:left w:val="nil"/>
              <w:bottom w:val="single" w:color="000000" w:sz="12" w:space="0"/>
              <w:right w:val="nil"/>
            </w:tcBorders>
            <w:shd w:val="clear" w:color="auto" w:fill="FFFFFF"/>
            <w:vAlign w:val="center"/>
          </w:tcPr>
          <w:p w14:paraId="476554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Needed for distributional/equality claims</w:t>
            </w:r>
          </w:p>
        </w:tc>
      </w:tr>
    </w:tbl>
    <w:p w14:paraId="6B54A770">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Note. “Not published” means not available in the public sources included in the 13 August 2026 corpus. No missing value is imputed, estimated, or treated as zero.</w:t>
      </w:r>
    </w:p>
    <w:p w14:paraId="7AE7B687">
      <w:pPr>
        <w:spacing w:before="0" w:after="0" w:line="360" w:lineRule="auto"/>
        <w:jc w:val="both"/>
        <w:rPr>
          <w:rFonts w:hint="default" w:ascii="Times New Roman" w:hAnsi="Times New Roman" w:eastAsia="Times New Roman" w:cs="Times New Roman"/>
          <w:i/>
          <w:sz w:val="24"/>
          <w:szCs w:val="24"/>
        </w:rPr>
      </w:pPr>
    </w:p>
    <w:p w14:paraId="2A2CAD57">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E. Negative Cases and Boundary Conditions</w:t>
      </w:r>
    </w:p>
    <w:p w14:paraId="7FF73B63">
      <w:pPr>
        <w:spacing w:before="0" w:after="0" w:line="360" w:lineRule="auto"/>
        <w:ind w:firstLine="48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Qualitative document analysis benefits from retaining evidence that complicates the preferred interpretation. Table A6 reports the items retained as boundary conditions rather than omitted from the analysis.</w:t>
      </w:r>
    </w:p>
    <w:p w14:paraId="2DC74801">
      <w:pPr>
        <w:spacing w:before="0" w:after="0" w:line="360" w:lineRule="auto"/>
        <w:ind w:firstLine="480"/>
        <w:jc w:val="both"/>
        <w:rPr>
          <w:rFonts w:hint="default" w:ascii="Times New Roman" w:hAnsi="Times New Roman" w:eastAsia="Times New Roman" w:cs="Times New Roman"/>
          <w:sz w:val="24"/>
          <w:szCs w:val="24"/>
        </w:rPr>
      </w:pPr>
    </w:p>
    <w:p w14:paraId="38F97CA3">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A6. </w:t>
      </w:r>
      <w:r>
        <w:rPr>
          <w:rFonts w:hint="default" w:ascii="Times New Roman" w:hAnsi="Times New Roman" w:eastAsia="Times New Roman" w:cs="Times New Roman"/>
          <w:b w:val="0"/>
          <w:i w:val="0"/>
          <w:sz w:val="24"/>
          <w:szCs w:val="24"/>
        </w:rPr>
        <w:t>Negative cases and boundary conditions retained in the analysis.</w:t>
      </w:r>
    </w:p>
    <w:tbl>
      <w:tblP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506"/>
        <w:gridCol w:w="3241"/>
        <w:gridCol w:w="3491"/>
      </w:tblGrid>
      <w:tr w14:paraId="1530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356" w:type="pct"/>
            <w:tcBorders>
              <w:top w:val="single" w:color="000000" w:sz="12" w:space="0"/>
              <w:left w:val="nil"/>
              <w:bottom w:val="single" w:color="000000" w:sz="8" w:space="0"/>
              <w:right w:val="single" w:color="000000" w:sz="12" w:space="0"/>
            </w:tcBorders>
            <w:shd w:val="clear" w:color="auto" w:fill="FFFFFF"/>
            <w:vAlign w:val="center"/>
          </w:tcPr>
          <w:p w14:paraId="7DA796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Counter-evidence / boundary condition</w:t>
            </w:r>
          </w:p>
        </w:tc>
        <w:tc>
          <w:tcPr>
            <w:tcW w:w="1754" w:type="pct"/>
            <w:tcBorders>
              <w:top w:val="single" w:color="000000" w:sz="12" w:space="0"/>
              <w:left w:val="nil"/>
              <w:bottom w:val="single" w:color="000000" w:sz="8" w:space="0"/>
              <w:right w:val="nil"/>
            </w:tcBorders>
            <w:shd w:val="clear" w:color="auto" w:fill="FFFFFF"/>
            <w:vAlign w:val="center"/>
          </w:tcPr>
          <w:p w14:paraId="6622BF4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Source-based observation</w:t>
            </w:r>
          </w:p>
        </w:tc>
        <w:tc>
          <w:tcPr>
            <w:tcW w:w="1889" w:type="pct"/>
            <w:tcBorders>
              <w:top w:val="single" w:color="000000" w:sz="12" w:space="0"/>
              <w:left w:val="nil"/>
              <w:bottom w:val="single" w:color="000000" w:sz="8" w:space="0"/>
              <w:right w:val="nil"/>
            </w:tcBorders>
            <w:shd w:val="clear" w:color="auto" w:fill="FFFFFF"/>
            <w:vAlign w:val="center"/>
          </w:tcPr>
          <w:p w14:paraId="277B35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Implication for the argument</w:t>
            </w:r>
          </w:p>
        </w:tc>
      </w:tr>
      <w:tr w14:paraId="468A2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4A89E9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Corrected errors are a small share of live eVisas</w:t>
            </w:r>
          </w:p>
        </w:tc>
        <w:tc>
          <w:tcPr>
            <w:tcW w:w="1754" w:type="pct"/>
            <w:tcBorders>
              <w:top w:val="nil"/>
              <w:left w:val="nil"/>
              <w:bottom w:val="nil"/>
              <w:right w:val="nil"/>
            </w:tcBorders>
            <w:shd w:val="clear" w:color="auto" w:fill="FFFFFF"/>
            <w:vAlign w:val="center"/>
          </w:tcPr>
          <w:p w14:paraId="2B0482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states the cumulative corrected total since Sep 2025 is &lt;1% of live eVisas</w:t>
            </w:r>
          </w:p>
        </w:tc>
        <w:tc>
          <w:tcPr>
            <w:tcW w:w="1889" w:type="pct"/>
            <w:tcBorders>
              <w:top w:val="nil"/>
              <w:left w:val="nil"/>
              <w:bottom w:val="nil"/>
              <w:right w:val="nil"/>
            </w:tcBorders>
            <w:shd w:val="clear" w:color="auto" w:fill="FFFFFF"/>
            <w:vAlign w:val="center"/>
          </w:tcPr>
          <w:p w14:paraId="3479E7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The available evidence does not support characterising the system as generally unusable</w:t>
            </w:r>
          </w:p>
        </w:tc>
      </w:tr>
      <w:tr w14:paraId="2E60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231D8E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Many reported issues are minor</w:t>
            </w:r>
          </w:p>
        </w:tc>
        <w:tc>
          <w:tcPr>
            <w:tcW w:w="1754" w:type="pct"/>
            <w:tcBorders>
              <w:top w:val="nil"/>
              <w:left w:val="nil"/>
              <w:bottom w:val="nil"/>
              <w:right w:val="nil"/>
            </w:tcBorders>
            <w:shd w:val="clear" w:color="auto" w:fill="FFFFFF"/>
            <w:vAlign w:val="center"/>
          </w:tcPr>
          <w:p w14:paraId="07C8F2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release states many errors do not materially affect users</w:t>
            </w:r>
          </w:p>
        </w:tc>
        <w:tc>
          <w:tcPr>
            <w:tcW w:w="1889" w:type="pct"/>
            <w:tcBorders>
              <w:top w:val="nil"/>
              <w:left w:val="nil"/>
              <w:bottom w:val="nil"/>
              <w:right w:val="nil"/>
            </w:tcBorders>
            <w:shd w:val="clear" w:color="auto" w:fill="FFFFFF"/>
            <w:vAlign w:val="center"/>
          </w:tcPr>
          <w:p w14:paraId="475991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An error is not equivalent to rights interruption</w:t>
            </w:r>
          </w:p>
        </w:tc>
      </w:tr>
      <w:tr w14:paraId="3986C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062D5F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Formal correction targets exist</w:t>
            </w:r>
          </w:p>
        </w:tc>
        <w:tc>
          <w:tcPr>
            <w:tcW w:w="1754" w:type="pct"/>
            <w:tcBorders>
              <w:top w:val="nil"/>
              <w:left w:val="nil"/>
              <w:bottom w:val="nil"/>
              <w:right w:val="nil"/>
            </w:tcBorders>
            <w:shd w:val="clear" w:color="auto" w:fill="FFFFFF"/>
            <w:vAlign w:val="center"/>
          </w:tcPr>
          <w:p w14:paraId="55B311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Most issues 5 working days; complex issues up to 15</w:t>
            </w:r>
          </w:p>
        </w:tc>
        <w:tc>
          <w:tcPr>
            <w:tcW w:w="1889" w:type="pct"/>
            <w:tcBorders>
              <w:top w:val="nil"/>
              <w:left w:val="nil"/>
              <w:bottom w:val="nil"/>
              <w:right w:val="nil"/>
            </w:tcBorders>
            <w:shd w:val="clear" w:color="auto" w:fill="FFFFFF"/>
            <w:vAlign w:val="center"/>
          </w:tcPr>
          <w:p w14:paraId="7ED879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Repair capacity is part of the system and must be analysed, not ignored</w:t>
            </w:r>
          </w:p>
        </w:tc>
      </w:tr>
      <w:tr w14:paraId="1AAA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0BBB16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Material status-correction route exists</w:t>
            </w:r>
          </w:p>
        </w:tc>
        <w:tc>
          <w:tcPr>
            <w:tcW w:w="1754" w:type="pct"/>
            <w:tcBorders>
              <w:top w:val="nil"/>
              <w:left w:val="nil"/>
              <w:bottom w:val="nil"/>
              <w:right w:val="nil"/>
            </w:tcBorders>
            <w:shd w:val="clear" w:color="auto" w:fill="FFFFFF"/>
            <w:vAlign w:val="center"/>
          </w:tcPr>
          <w:p w14:paraId="23D536D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 separate route is available when wrong status has stopped work, benefits, or services</w:t>
            </w:r>
          </w:p>
        </w:tc>
        <w:tc>
          <w:tcPr>
            <w:tcW w:w="1889" w:type="pct"/>
            <w:tcBorders>
              <w:top w:val="nil"/>
              <w:left w:val="nil"/>
              <w:bottom w:val="nil"/>
              <w:right w:val="nil"/>
            </w:tcBorders>
            <w:shd w:val="clear" w:color="auto" w:fill="FFFFFF"/>
            <w:vAlign w:val="center"/>
          </w:tcPr>
          <w:p w14:paraId="0BBA614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The state formally recognises that status-data errors can have real access consequences</w:t>
            </w:r>
          </w:p>
        </w:tc>
      </w:tr>
      <w:tr w14:paraId="28BB9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28D9563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Employment fallback exists</w:t>
            </w:r>
          </w:p>
        </w:tc>
        <w:tc>
          <w:tcPr>
            <w:tcW w:w="1754" w:type="pct"/>
            <w:tcBorders>
              <w:top w:val="nil"/>
              <w:left w:val="nil"/>
              <w:bottom w:val="nil"/>
              <w:right w:val="nil"/>
            </w:tcBorders>
            <w:shd w:val="clear" w:color="auto" w:fill="FFFFFF"/>
            <w:vAlign w:val="center"/>
          </w:tcPr>
          <w:p w14:paraId="00D026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Employer Checking Service can issue a PVN in prescribed circumstances</w:t>
            </w:r>
          </w:p>
        </w:tc>
        <w:tc>
          <w:tcPr>
            <w:tcW w:w="1889" w:type="pct"/>
            <w:tcBorders>
              <w:top w:val="nil"/>
              <w:left w:val="nil"/>
              <w:bottom w:val="nil"/>
              <w:right w:val="nil"/>
            </w:tcBorders>
            <w:shd w:val="clear" w:color="auto" w:fill="FFFFFF"/>
            <w:vAlign w:val="center"/>
          </w:tcPr>
          <w:p w14:paraId="318572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Ordinary proof failure can be buffered rather than automatically producing exclusion</w:t>
            </w:r>
          </w:p>
        </w:tc>
      </w:tr>
      <w:tr w14:paraId="1498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71F169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Right-to-rent fallback exists</w:t>
            </w:r>
          </w:p>
        </w:tc>
        <w:tc>
          <w:tcPr>
            <w:tcW w:w="1754" w:type="pct"/>
            <w:tcBorders>
              <w:top w:val="nil"/>
              <w:left w:val="nil"/>
              <w:bottom w:val="nil"/>
              <w:right w:val="nil"/>
            </w:tcBorders>
            <w:shd w:val="clear" w:color="auto" w:fill="FFFFFF"/>
            <w:vAlign w:val="center"/>
          </w:tcPr>
          <w:p w14:paraId="26D964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Landlord Checking Service can verify status and states a 2-working-day response target</w:t>
            </w:r>
          </w:p>
        </w:tc>
        <w:tc>
          <w:tcPr>
            <w:tcW w:w="1889" w:type="pct"/>
            <w:tcBorders>
              <w:top w:val="nil"/>
              <w:left w:val="nil"/>
              <w:bottom w:val="nil"/>
              <w:right w:val="nil"/>
            </w:tcBorders>
            <w:shd w:val="clear" w:color="auto" w:fill="FFFFFF"/>
            <w:vAlign w:val="center"/>
          </w:tcPr>
          <w:p w14:paraId="716508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Tenancy access is not analytically reducible to share-code success alone</w:t>
            </w:r>
          </w:p>
        </w:tc>
      </w:tr>
      <w:tr w14:paraId="3244D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6BD0BB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Travel fallback/support exists</w:t>
            </w:r>
          </w:p>
        </w:tc>
        <w:tc>
          <w:tcPr>
            <w:tcW w:w="1754" w:type="pct"/>
            <w:tcBorders>
              <w:top w:val="nil"/>
              <w:left w:val="nil"/>
              <w:bottom w:val="nil"/>
              <w:right w:val="nil"/>
            </w:tcBorders>
            <w:shd w:val="clear" w:color="auto" w:fill="FFFFFF"/>
            <w:vAlign w:val="center"/>
          </w:tcPr>
          <w:p w14:paraId="028AD3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Additional proof may be shown; carrier can contact Border Force carrier support hub</w:t>
            </w:r>
          </w:p>
        </w:tc>
        <w:tc>
          <w:tcPr>
            <w:tcW w:w="1889" w:type="pct"/>
            <w:tcBorders>
              <w:top w:val="nil"/>
              <w:left w:val="nil"/>
              <w:bottom w:val="nil"/>
              <w:right w:val="nil"/>
            </w:tcBorders>
            <w:shd w:val="clear" w:color="auto" w:fill="FFFFFF"/>
            <w:vAlign w:val="center"/>
          </w:tcPr>
          <w:p w14:paraId="7DA9ED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 failed automated/online check does not necessarily determine final travel outcome</w:t>
            </w:r>
          </w:p>
        </w:tc>
      </w:tr>
      <w:tr w14:paraId="3E9F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6" w:type="pct"/>
            <w:tcBorders>
              <w:top w:val="nil"/>
              <w:left w:val="nil"/>
              <w:bottom w:val="single" w:color="000000" w:sz="12" w:space="0"/>
              <w:right w:val="single" w:color="000000" w:sz="12" w:space="0"/>
            </w:tcBorders>
            <w:shd w:val="clear" w:color="auto" w:fill="FFFFFF"/>
            <w:vAlign w:val="center"/>
          </w:tcPr>
          <w:p w14:paraId="312552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 codes remain valid for 90 days</w:t>
            </w:r>
          </w:p>
        </w:tc>
        <w:tc>
          <w:tcPr>
            <w:tcW w:w="1754" w:type="pct"/>
            <w:tcBorders>
              <w:top w:val="nil"/>
              <w:left w:val="nil"/>
              <w:bottom w:val="single" w:color="000000" w:sz="12" w:space="0"/>
              <w:right w:val="nil"/>
            </w:tcBorders>
            <w:shd w:val="clear" w:color="auto" w:fill="FFFFFF"/>
            <w:vAlign w:val="center"/>
          </w:tcPr>
          <w:p w14:paraId="371395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Current official guidance describes 90-day validity for relevant share codes</w:t>
            </w:r>
          </w:p>
        </w:tc>
        <w:tc>
          <w:tcPr>
            <w:tcW w:w="1889" w:type="pct"/>
            <w:tcBorders>
              <w:top w:val="nil"/>
              <w:left w:val="nil"/>
              <w:bottom w:val="single" w:color="000000" w:sz="12" w:space="0"/>
              <w:right w:val="nil"/>
            </w:tcBorders>
            <w:shd w:val="clear" w:color="auto" w:fill="FFFFFF"/>
            <w:vAlign w:val="center"/>
          </w:tcPr>
          <w:p w14:paraId="59ED40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Proof is transactional but not necessarily single-use or momentary</w:t>
            </w:r>
          </w:p>
        </w:tc>
      </w:tr>
    </w:tbl>
    <w:p w14:paraId="49D28023">
      <w:pPr>
        <w:spacing w:before="0" w:after="0" w:line="360" w:lineRule="auto"/>
        <w:jc w:val="both"/>
        <w:rPr>
          <w:rFonts w:hint="default" w:ascii="Times New Roman" w:hAnsi="Times New Roman" w:eastAsia="Times New Roman" w:cs="Times New Roman"/>
          <w:i/>
          <w:sz w:val="24"/>
          <w:szCs w:val="24"/>
        </w:rPr>
      </w:pPr>
      <w:r>
        <w:rPr>
          <w:rFonts w:hint="default" w:ascii="Times New Roman" w:hAnsi="Times New Roman" w:eastAsia="Times New Roman" w:cs="Times New Roman"/>
          <w:i/>
          <w:sz w:val="24"/>
          <w:szCs w:val="24"/>
        </w:rPr>
        <w:t>Note. Boundary conditions are retained as part of the analytic audit. Their purpose is to prevent a deterministic “digital error = exclusion” interpretation and to identify the evidentiary threshold required for stronger claims.</w:t>
      </w:r>
    </w:p>
    <w:p w14:paraId="10E73317">
      <w:pPr>
        <w:spacing w:before="0" w:after="0" w:line="360" w:lineRule="auto"/>
        <w:jc w:val="both"/>
        <w:rPr>
          <w:rFonts w:hint="default" w:ascii="Times New Roman" w:hAnsi="Times New Roman" w:eastAsia="Times New Roman" w:cs="Times New Roman"/>
          <w:i/>
          <w:sz w:val="24"/>
          <w:szCs w:val="24"/>
        </w:rPr>
      </w:pPr>
    </w:p>
    <w:p w14:paraId="55F86863">
      <w:pPr>
        <w:spacing w:before="0" w:after="0" w:line="360" w:lineRule="auto"/>
        <w:ind w:firstLine="48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Taken together, the boundary conditions set the article’s interpretive threshold. The term “hostile environment” is used only where proof dependence, consequential verification, inadequate or unfamiliar fallback, and/or delayed repair plausibly combine to make an existing right difficult to exercise. The table therefore does not support a deterministic “digital error = exclusion” claim and keeps the theoretical language proportional to the evidence.</w:t>
      </w:r>
    </w:p>
    <w:p w14:paraId="0035DF1E">
      <w:pPr>
        <w:spacing w:before="0" w:after="0" w:line="360" w:lineRule="auto"/>
        <w:ind w:firstLine="480"/>
        <w:jc w:val="both"/>
        <w:rPr>
          <w:rFonts w:hint="default" w:ascii="Times New Roman" w:hAnsi="Times New Roman" w:eastAsia="Times New Roman" w:cs="Times New Roman"/>
          <w:sz w:val="24"/>
          <w:szCs w:val="24"/>
        </w:rPr>
      </w:pPr>
    </w:p>
    <w:p w14:paraId="4748CD0C">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F. Claim–Evidence Traceability Matrix</w:t>
      </w:r>
    </w:p>
    <w:p w14:paraId="18F5B3BF">
      <w:pPr>
        <w:spacing w:before="0" w:after="0" w:line="360" w:lineRule="auto"/>
        <w:ind w:firstLine="480"/>
        <w:jc w:val="both"/>
        <w:rPr>
          <w:rFonts w:hint="default" w:ascii="Times New Roman" w:hAnsi="Times New Roman" w:eastAsia="Times New Roman" w:cs="Times New Roman"/>
          <w:b w:val="0"/>
          <w:i w:val="0"/>
          <w:sz w:val="24"/>
          <w:szCs w:val="24"/>
        </w:rPr>
      </w:pPr>
      <w:r>
        <w:rPr>
          <w:rFonts w:hint="default" w:ascii="Times New Roman" w:hAnsi="Times New Roman" w:eastAsia="Times New Roman" w:cs="Times New Roman"/>
          <w:b w:val="0"/>
          <w:i w:val="0"/>
          <w:sz w:val="24"/>
          <w:szCs w:val="24"/>
        </w:rPr>
        <w:t>Table A7 links the manuscript’s main factual claims to their evidentiary basis and separates description from interpretation. It is designed to allow an editor or reviewer to audit the chain from source to claim without reconstructing the entire argument.</w:t>
      </w:r>
    </w:p>
    <w:p w14:paraId="5800674B">
      <w:pPr>
        <w:spacing w:before="0" w:after="0" w:line="360" w:lineRule="auto"/>
        <w:ind w:firstLine="480"/>
        <w:jc w:val="both"/>
        <w:rPr>
          <w:rFonts w:hint="default" w:ascii="Times New Roman" w:hAnsi="Times New Roman" w:eastAsia="Times New Roman" w:cs="Times New Roman"/>
          <w:b w:val="0"/>
          <w:i w:val="0"/>
          <w:sz w:val="24"/>
          <w:szCs w:val="24"/>
        </w:rPr>
      </w:pPr>
    </w:p>
    <w:p w14:paraId="13774BFB">
      <w:pPr>
        <w:keepNext/>
        <w:spacing w:before="0" w:after="0" w:line="360" w:lineRule="auto"/>
        <w:jc w:val="center"/>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 xml:space="preserve">Table A7. </w:t>
      </w:r>
      <w:r>
        <w:rPr>
          <w:rFonts w:hint="default" w:ascii="Times New Roman" w:hAnsi="Times New Roman" w:eastAsia="Times New Roman" w:cs="Times New Roman"/>
          <w:b w:val="0"/>
          <w:i w:val="0"/>
          <w:sz w:val="24"/>
          <w:szCs w:val="24"/>
        </w:rPr>
        <w:t>Claim–evidence traceability matrix.</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571"/>
        <w:gridCol w:w="2402"/>
        <w:gridCol w:w="2076"/>
        <w:gridCol w:w="2193"/>
      </w:tblGrid>
      <w:tr w14:paraId="7BA0A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390" w:type="pct"/>
            <w:tcBorders>
              <w:top w:val="single" w:color="000000" w:sz="12" w:space="0"/>
              <w:left w:val="nil"/>
              <w:bottom w:val="single" w:color="000000" w:sz="8" w:space="0"/>
              <w:right w:val="single" w:color="000000" w:sz="12" w:space="0"/>
            </w:tcBorders>
            <w:shd w:val="clear" w:color="auto" w:fill="FFFFFF"/>
            <w:vAlign w:val="center"/>
          </w:tcPr>
          <w:p w14:paraId="3D35352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Manuscript claim</w:t>
            </w:r>
          </w:p>
        </w:tc>
        <w:tc>
          <w:tcPr>
            <w:tcW w:w="1299" w:type="pct"/>
            <w:tcBorders>
              <w:top w:val="single" w:color="000000" w:sz="12" w:space="0"/>
              <w:left w:val="nil"/>
              <w:bottom w:val="single" w:color="000000" w:sz="8" w:space="0"/>
              <w:right w:val="nil"/>
            </w:tcBorders>
            <w:shd w:val="clear" w:color="auto" w:fill="FFFFFF"/>
            <w:vAlign w:val="center"/>
          </w:tcPr>
          <w:p w14:paraId="6CE0BA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Primary support</w:t>
            </w:r>
          </w:p>
        </w:tc>
        <w:tc>
          <w:tcPr>
            <w:tcW w:w="1123" w:type="pct"/>
            <w:tcBorders>
              <w:top w:val="single" w:color="000000" w:sz="12" w:space="0"/>
              <w:left w:val="nil"/>
              <w:bottom w:val="single" w:color="000000" w:sz="8" w:space="0"/>
              <w:right w:val="nil"/>
            </w:tcBorders>
            <w:shd w:val="clear" w:color="auto" w:fill="FFFFFF"/>
            <w:vAlign w:val="center"/>
          </w:tcPr>
          <w:p w14:paraId="4E56E8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Evidence status</w:t>
            </w:r>
          </w:p>
        </w:tc>
        <w:tc>
          <w:tcPr>
            <w:tcW w:w="1186" w:type="pct"/>
            <w:tcBorders>
              <w:top w:val="single" w:color="000000" w:sz="12" w:space="0"/>
              <w:left w:val="nil"/>
              <w:bottom w:val="single" w:color="000000" w:sz="8" w:space="0"/>
              <w:right w:val="nil"/>
            </w:tcBorders>
            <w:shd w:val="clear" w:color="auto" w:fill="FFFFFF"/>
            <w:vAlign w:val="center"/>
          </w:tcPr>
          <w:p w14:paraId="6DCB985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bdr w:val="none" w:color="auto" w:sz="0" w:space="0"/>
                <w:lang w:val="en-US" w:eastAsia="zh-CN" w:bidi="ar"/>
              </w:rPr>
              <w:t>Permitted inference</w:t>
            </w:r>
          </w:p>
        </w:tc>
      </w:tr>
      <w:tr w14:paraId="65DF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6AE709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An eVisa is a digital record used to evidence identity/status/conditions</w:t>
            </w:r>
          </w:p>
        </w:tc>
        <w:tc>
          <w:tcPr>
            <w:tcW w:w="1299" w:type="pct"/>
            <w:tcBorders>
              <w:top w:val="nil"/>
              <w:left w:val="nil"/>
              <w:bottom w:val="nil"/>
              <w:right w:val="nil"/>
            </w:tcBorders>
            <w:shd w:val="clear" w:color="auto" w:fill="FFFFFF"/>
            <w:vAlign w:val="center"/>
          </w:tcPr>
          <w:p w14:paraId="57DAA2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(n.d.-d, n.d.-h)</w:t>
            </w:r>
          </w:p>
        </w:tc>
        <w:tc>
          <w:tcPr>
            <w:tcW w:w="1123" w:type="pct"/>
            <w:tcBorders>
              <w:top w:val="nil"/>
              <w:left w:val="nil"/>
              <w:bottom w:val="nil"/>
              <w:right w:val="nil"/>
            </w:tcBorders>
            <w:shd w:val="clear" w:color="auto" w:fill="FFFFFF"/>
            <w:vAlign w:val="center"/>
          </w:tcPr>
          <w:p w14:paraId="015CB7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descriptive</w:t>
            </w:r>
          </w:p>
        </w:tc>
        <w:tc>
          <w:tcPr>
            <w:tcW w:w="1186" w:type="pct"/>
            <w:tcBorders>
              <w:top w:val="nil"/>
              <w:left w:val="nil"/>
              <w:bottom w:val="nil"/>
              <w:right w:val="nil"/>
            </w:tcBorders>
            <w:shd w:val="clear" w:color="auto" w:fill="FFFFFF"/>
            <w:vAlign w:val="center"/>
          </w:tcPr>
          <w:p w14:paraId="5572475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 describe system architecture</w:t>
            </w:r>
          </w:p>
        </w:tc>
      </w:tr>
      <w:tr w14:paraId="4DB25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703A0E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 codes mediate third-party proof and are purpose-specific; relevant codes remain valid for 90 days</w:t>
            </w:r>
          </w:p>
        </w:tc>
        <w:tc>
          <w:tcPr>
            <w:tcW w:w="1299" w:type="pct"/>
            <w:tcBorders>
              <w:top w:val="nil"/>
              <w:left w:val="nil"/>
              <w:bottom w:val="nil"/>
              <w:right w:val="nil"/>
            </w:tcBorders>
            <w:shd w:val="clear" w:color="auto" w:fill="FFFFFF"/>
            <w:vAlign w:val="center"/>
          </w:tcPr>
          <w:p w14:paraId="5CF3C4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(2026c, n.d.-a, n.d.-h)</w:t>
            </w:r>
          </w:p>
        </w:tc>
        <w:tc>
          <w:tcPr>
            <w:tcW w:w="1123" w:type="pct"/>
            <w:tcBorders>
              <w:top w:val="nil"/>
              <w:left w:val="nil"/>
              <w:bottom w:val="nil"/>
              <w:right w:val="nil"/>
            </w:tcBorders>
            <w:shd w:val="clear" w:color="auto" w:fill="FFFFFF"/>
            <w:vAlign w:val="center"/>
          </w:tcPr>
          <w:p w14:paraId="2B21C4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procedural</w:t>
            </w:r>
          </w:p>
        </w:tc>
        <w:tc>
          <w:tcPr>
            <w:tcW w:w="1186" w:type="pct"/>
            <w:tcBorders>
              <w:top w:val="nil"/>
              <w:left w:val="nil"/>
              <w:bottom w:val="nil"/>
              <w:right w:val="nil"/>
            </w:tcBorders>
            <w:shd w:val="clear" w:color="auto" w:fill="FFFFFF"/>
            <w:vAlign w:val="center"/>
          </w:tcPr>
          <w:p w14:paraId="7268727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 describe transactional verification; should not infer user burden without external evidence</w:t>
            </w:r>
          </w:p>
        </w:tc>
      </w:tr>
      <w:tr w14:paraId="162F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4FAA6B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64,778 corrected errors were published for Sep 2025–May 2026</w:t>
            </w:r>
          </w:p>
        </w:tc>
        <w:tc>
          <w:tcPr>
            <w:tcW w:w="1299" w:type="pct"/>
            <w:tcBorders>
              <w:top w:val="nil"/>
              <w:left w:val="nil"/>
              <w:bottom w:val="nil"/>
              <w:right w:val="nil"/>
            </w:tcBorders>
            <w:shd w:val="clear" w:color="auto" w:fill="FFFFFF"/>
            <w:vAlign w:val="center"/>
          </w:tcPr>
          <w:p w14:paraId="70C3ED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(2026b)</w:t>
            </w:r>
          </w:p>
        </w:tc>
        <w:tc>
          <w:tcPr>
            <w:tcW w:w="1123" w:type="pct"/>
            <w:tcBorders>
              <w:top w:val="nil"/>
              <w:left w:val="nil"/>
              <w:bottom w:val="nil"/>
              <w:right w:val="nil"/>
            </w:tcBorders>
            <w:shd w:val="clear" w:color="auto" w:fill="FFFFFF"/>
            <w:vAlign w:val="center"/>
          </w:tcPr>
          <w:p w14:paraId="33C8CBE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transparency count</w:t>
            </w:r>
          </w:p>
        </w:tc>
        <w:tc>
          <w:tcPr>
            <w:tcW w:w="1186" w:type="pct"/>
            <w:tcBorders>
              <w:top w:val="nil"/>
              <w:left w:val="nil"/>
              <w:bottom w:val="nil"/>
              <w:right w:val="nil"/>
            </w:tcBorders>
            <w:shd w:val="clear" w:color="auto" w:fill="FFFFFF"/>
            <w:vAlign w:val="center"/>
          </w:tcPr>
          <w:p w14:paraId="7450399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 describe correction volume only</w:t>
            </w:r>
          </w:p>
        </w:tc>
      </w:tr>
      <w:tr w14:paraId="6DA7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15BEADF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Corrected errors are &lt;1% of live eVisas; many are minor</w:t>
            </w:r>
          </w:p>
        </w:tc>
        <w:tc>
          <w:tcPr>
            <w:tcW w:w="1299" w:type="pct"/>
            <w:tcBorders>
              <w:top w:val="nil"/>
              <w:left w:val="nil"/>
              <w:bottom w:val="nil"/>
              <w:right w:val="nil"/>
            </w:tcBorders>
            <w:shd w:val="clear" w:color="auto" w:fill="FFFFFF"/>
            <w:vAlign w:val="center"/>
          </w:tcPr>
          <w:p w14:paraId="7589BA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(2026b)</w:t>
            </w:r>
          </w:p>
        </w:tc>
        <w:tc>
          <w:tcPr>
            <w:tcW w:w="1123" w:type="pct"/>
            <w:tcBorders>
              <w:top w:val="nil"/>
              <w:left w:val="nil"/>
              <w:bottom w:val="nil"/>
              <w:right w:val="nil"/>
            </w:tcBorders>
            <w:shd w:val="clear" w:color="auto" w:fill="FFFFFF"/>
            <w:vAlign w:val="center"/>
          </w:tcPr>
          <w:p w14:paraId="7E21B21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caveat</w:t>
            </w:r>
          </w:p>
        </w:tc>
        <w:tc>
          <w:tcPr>
            <w:tcW w:w="1186" w:type="pct"/>
            <w:tcBorders>
              <w:top w:val="nil"/>
              <w:left w:val="nil"/>
              <w:bottom w:val="nil"/>
              <w:right w:val="nil"/>
            </w:tcBorders>
            <w:shd w:val="clear" w:color="auto" w:fill="FFFFFF"/>
            <w:vAlign w:val="center"/>
          </w:tcPr>
          <w:p w14:paraId="2A6EC7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Must constrain prevalence/totalising claims</w:t>
            </w:r>
          </w:p>
        </w:tc>
      </w:tr>
      <w:tr w14:paraId="247DD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07E3E4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Most eVisa issues have a 5-day target; complex issues up to 15 days</w:t>
            </w:r>
          </w:p>
        </w:tc>
        <w:tc>
          <w:tcPr>
            <w:tcW w:w="1299" w:type="pct"/>
            <w:tcBorders>
              <w:top w:val="nil"/>
              <w:left w:val="nil"/>
              <w:bottom w:val="nil"/>
              <w:right w:val="nil"/>
            </w:tcBorders>
            <w:shd w:val="clear" w:color="auto" w:fill="FFFFFF"/>
            <w:vAlign w:val="center"/>
          </w:tcPr>
          <w:p w14:paraId="03ADDB8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(2026b)</w:t>
            </w:r>
          </w:p>
        </w:tc>
        <w:tc>
          <w:tcPr>
            <w:tcW w:w="1123" w:type="pct"/>
            <w:tcBorders>
              <w:top w:val="nil"/>
              <w:left w:val="nil"/>
              <w:bottom w:val="nil"/>
              <w:right w:val="nil"/>
            </w:tcBorders>
            <w:shd w:val="clear" w:color="auto" w:fill="FFFFFF"/>
            <w:vAlign w:val="center"/>
          </w:tcPr>
          <w:p w14:paraId="541E245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service target</w:t>
            </w:r>
          </w:p>
        </w:tc>
        <w:tc>
          <w:tcPr>
            <w:tcW w:w="1186" w:type="pct"/>
            <w:tcBorders>
              <w:top w:val="nil"/>
              <w:left w:val="nil"/>
              <w:bottom w:val="nil"/>
              <w:right w:val="nil"/>
            </w:tcBorders>
            <w:shd w:val="clear" w:color="auto" w:fill="FFFFFF"/>
            <w:vAlign w:val="center"/>
          </w:tcPr>
          <w:p w14:paraId="134103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 define formal repair window; not actual distribution</w:t>
            </w:r>
          </w:p>
        </w:tc>
      </w:tr>
      <w:tr w14:paraId="2DAC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1631C15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Wrong status can stop work, benefits, or services and can be submitted for checking</w:t>
            </w:r>
          </w:p>
        </w:tc>
        <w:tc>
          <w:tcPr>
            <w:tcW w:w="1299" w:type="pct"/>
            <w:tcBorders>
              <w:top w:val="nil"/>
              <w:left w:val="nil"/>
              <w:bottom w:val="nil"/>
              <w:right w:val="nil"/>
            </w:tcBorders>
            <w:shd w:val="clear" w:color="auto" w:fill="FFFFFF"/>
            <w:vAlign w:val="center"/>
          </w:tcPr>
          <w:p w14:paraId="01F41E2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(2026a)</w:t>
            </w:r>
          </w:p>
        </w:tc>
        <w:tc>
          <w:tcPr>
            <w:tcW w:w="1123" w:type="pct"/>
            <w:tcBorders>
              <w:top w:val="nil"/>
              <w:left w:val="nil"/>
              <w:bottom w:val="nil"/>
              <w:right w:val="nil"/>
            </w:tcBorders>
            <w:shd w:val="clear" w:color="auto" w:fill="FFFFFF"/>
            <w:vAlign w:val="center"/>
          </w:tcPr>
          <w:p w14:paraId="140150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remedial route</w:t>
            </w:r>
          </w:p>
        </w:tc>
        <w:tc>
          <w:tcPr>
            <w:tcW w:w="1186" w:type="pct"/>
            <w:tcBorders>
              <w:top w:val="nil"/>
              <w:left w:val="nil"/>
              <w:bottom w:val="nil"/>
              <w:right w:val="nil"/>
            </w:tcBorders>
            <w:shd w:val="clear" w:color="auto" w:fill="FFFFFF"/>
            <w:vAlign w:val="center"/>
          </w:tcPr>
          <w:p w14:paraId="25BD37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Supports material-consequence possibility; not population prevalence</w:t>
            </w:r>
          </w:p>
        </w:tc>
      </w:tr>
      <w:tr w14:paraId="12F42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3DB0C24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ECS can issue a PVN and aims to respond within 5 working days</w:t>
            </w:r>
          </w:p>
        </w:tc>
        <w:tc>
          <w:tcPr>
            <w:tcW w:w="1299" w:type="pct"/>
            <w:tcBorders>
              <w:top w:val="nil"/>
              <w:left w:val="nil"/>
              <w:bottom w:val="nil"/>
              <w:right w:val="nil"/>
            </w:tcBorders>
            <w:shd w:val="clear" w:color="auto" w:fill="FFFFFF"/>
            <w:vAlign w:val="center"/>
          </w:tcPr>
          <w:p w14:paraId="7BAAE0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(2025, n.d.-b)</w:t>
            </w:r>
          </w:p>
        </w:tc>
        <w:tc>
          <w:tcPr>
            <w:tcW w:w="1123" w:type="pct"/>
            <w:tcBorders>
              <w:top w:val="nil"/>
              <w:left w:val="nil"/>
              <w:bottom w:val="nil"/>
              <w:right w:val="nil"/>
            </w:tcBorders>
            <w:shd w:val="clear" w:color="auto" w:fill="FFFFFF"/>
            <w:vAlign w:val="center"/>
          </w:tcPr>
          <w:p w14:paraId="3D15C4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employer guidance</w:t>
            </w:r>
          </w:p>
        </w:tc>
        <w:tc>
          <w:tcPr>
            <w:tcW w:w="1186" w:type="pct"/>
            <w:tcBorders>
              <w:top w:val="nil"/>
              <w:left w:val="nil"/>
              <w:bottom w:val="nil"/>
              <w:right w:val="nil"/>
            </w:tcBorders>
            <w:shd w:val="clear" w:color="auto" w:fill="FFFFFF"/>
            <w:vAlign w:val="center"/>
          </w:tcPr>
          <w:p w14:paraId="548C88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Supports existence of employment fallback</w:t>
            </w:r>
          </w:p>
        </w:tc>
      </w:tr>
      <w:tr w14:paraId="08D9D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2A7D2C7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Right-to-rent eVisa proof uses the online service; LCS can verify in specified cases and states a 2-day target</w:t>
            </w:r>
          </w:p>
        </w:tc>
        <w:tc>
          <w:tcPr>
            <w:tcW w:w="1299" w:type="pct"/>
            <w:tcBorders>
              <w:top w:val="nil"/>
              <w:left w:val="nil"/>
              <w:bottom w:val="nil"/>
              <w:right w:val="nil"/>
            </w:tcBorders>
            <w:shd w:val="clear" w:color="auto" w:fill="FFFFFF"/>
            <w:vAlign w:val="center"/>
          </w:tcPr>
          <w:p w14:paraId="6C68FB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(2026c)</w:t>
            </w:r>
          </w:p>
        </w:tc>
        <w:tc>
          <w:tcPr>
            <w:tcW w:w="1123" w:type="pct"/>
            <w:tcBorders>
              <w:top w:val="nil"/>
              <w:left w:val="nil"/>
              <w:bottom w:val="nil"/>
              <w:right w:val="nil"/>
            </w:tcBorders>
            <w:shd w:val="clear" w:color="auto" w:fill="FFFFFF"/>
            <w:vAlign w:val="center"/>
          </w:tcPr>
          <w:p w14:paraId="54AE25D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landlord guidance</w:t>
            </w:r>
          </w:p>
        </w:tc>
        <w:tc>
          <w:tcPr>
            <w:tcW w:w="1186" w:type="pct"/>
            <w:tcBorders>
              <w:top w:val="nil"/>
              <w:left w:val="nil"/>
              <w:bottom w:val="nil"/>
              <w:right w:val="nil"/>
            </w:tcBorders>
            <w:shd w:val="clear" w:color="auto" w:fill="FFFFFF"/>
            <w:vAlign w:val="center"/>
          </w:tcPr>
          <w:p w14:paraId="5FC8E8C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Supports existence of housing fallback; not landlord uptake/effectiveness</w:t>
            </w:r>
          </w:p>
        </w:tc>
      </w:tr>
      <w:tr w14:paraId="640F7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3261A4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Travel verification depends on linked documents and carrier/border checks; additional proof/support routes exist</w:t>
            </w:r>
          </w:p>
        </w:tc>
        <w:tc>
          <w:tcPr>
            <w:tcW w:w="1299" w:type="pct"/>
            <w:tcBorders>
              <w:top w:val="nil"/>
              <w:left w:val="nil"/>
              <w:bottom w:val="nil"/>
              <w:right w:val="nil"/>
            </w:tcBorders>
            <w:shd w:val="clear" w:color="auto" w:fill="FFFFFF"/>
            <w:vAlign w:val="center"/>
          </w:tcPr>
          <w:p w14:paraId="00C102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Home Office (n.d.-g)</w:t>
            </w:r>
          </w:p>
        </w:tc>
        <w:tc>
          <w:tcPr>
            <w:tcW w:w="1123" w:type="pct"/>
            <w:tcBorders>
              <w:top w:val="nil"/>
              <w:left w:val="nil"/>
              <w:bottom w:val="nil"/>
              <w:right w:val="nil"/>
            </w:tcBorders>
            <w:shd w:val="clear" w:color="auto" w:fill="FFFFFF"/>
            <w:vAlign w:val="center"/>
          </w:tcPr>
          <w:p w14:paraId="77B872D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Official travel guidance</w:t>
            </w:r>
          </w:p>
        </w:tc>
        <w:tc>
          <w:tcPr>
            <w:tcW w:w="1186" w:type="pct"/>
            <w:tcBorders>
              <w:top w:val="nil"/>
              <w:left w:val="nil"/>
              <w:bottom w:val="nil"/>
              <w:right w:val="nil"/>
            </w:tcBorders>
            <w:shd w:val="clear" w:color="auto" w:fill="FFFFFF"/>
            <w:vAlign w:val="center"/>
          </w:tcPr>
          <w:p w14:paraId="41F6F7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Supports multi-actor verification and fallback structure</w:t>
            </w:r>
          </w:p>
        </w:tc>
      </w:tr>
      <w:tr w14:paraId="1D46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nil"/>
              <w:right w:val="single" w:color="000000" w:sz="12" w:space="0"/>
            </w:tcBorders>
            <w:shd w:val="clear" w:color="auto" w:fill="FFFFFF"/>
            <w:vAlign w:val="center"/>
          </w:tcPr>
          <w:p w14:paraId="0BA5732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Digital status may shape market behaviour or impose practical burdens</w:t>
            </w:r>
          </w:p>
        </w:tc>
        <w:tc>
          <w:tcPr>
            <w:tcW w:w="1299" w:type="pct"/>
            <w:tcBorders>
              <w:top w:val="nil"/>
              <w:left w:val="nil"/>
              <w:bottom w:val="nil"/>
              <w:right w:val="nil"/>
            </w:tcBorders>
            <w:shd w:val="clear" w:color="auto" w:fill="FFFFFF"/>
            <w:vAlign w:val="center"/>
          </w:tcPr>
          <w:p w14:paraId="319D6E8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Meers et al. (2025); Burrell et al. (2025); Jablonowski &amp; Hawkins (2024)</w:t>
            </w:r>
          </w:p>
        </w:tc>
        <w:tc>
          <w:tcPr>
            <w:tcW w:w="1123" w:type="pct"/>
            <w:tcBorders>
              <w:top w:val="nil"/>
              <w:left w:val="nil"/>
              <w:bottom w:val="nil"/>
              <w:right w:val="nil"/>
            </w:tcBorders>
            <w:shd w:val="clear" w:color="auto" w:fill="FFFFFF"/>
            <w:vAlign w:val="center"/>
          </w:tcPr>
          <w:p w14:paraId="13A925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Peer-reviewed empirical/analytical studies</w:t>
            </w:r>
          </w:p>
        </w:tc>
        <w:tc>
          <w:tcPr>
            <w:tcW w:w="1186" w:type="pct"/>
            <w:tcBorders>
              <w:top w:val="nil"/>
              <w:left w:val="nil"/>
              <w:bottom w:val="nil"/>
              <w:right w:val="nil"/>
            </w:tcBorders>
            <w:shd w:val="clear" w:color="auto" w:fill="FFFFFF"/>
            <w:vAlign w:val="center"/>
          </w:tcPr>
          <w:p w14:paraId="04BBE6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May contextualise plausible consequences; should not be recoded as this study’s own participant data</w:t>
            </w:r>
          </w:p>
        </w:tc>
      </w:tr>
      <w:tr w14:paraId="61AD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90" w:type="pct"/>
            <w:tcBorders>
              <w:top w:val="nil"/>
              <w:left w:val="nil"/>
              <w:bottom w:val="single" w:color="000000" w:sz="12" w:space="0"/>
              <w:right w:val="single" w:color="000000" w:sz="12" w:space="0"/>
            </w:tcBorders>
            <w:shd w:val="clear" w:color="auto" w:fill="FFFFFF"/>
            <w:vAlign w:val="center"/>
          </w:tcPr>
          <w:p w14:paraId="14494E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Repair can be assessed through a rights-continuity framework</w:t>
            </w:r>
          </w:p>
        </w:tc>
        <w:tc>
          <w:tcPr>
            <w:tcW w:w="1299" w:type="pct"/>
            <w:tcBorders>
              <w:top w:val="nil"/>
              <w:left w:val="nil"/>
              <w:bottom w:val="single" w:color="000000" w:sz="12" w:space="0"/>
              <w:right w:val="nil"/>
            </w:tcBorders>
            <w:shd w:val="clear" w:color="auto" w:fill="FFFFFF"/>
            <w:vAlign w:val="center"/>
          </w:tcPr>
          <w:p w14:paraId="03137D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Synthesis of A1–A8 plus hostile-environment/everyday-bordering literature</w:t>
            </w:r>
          </w:p>
        </w:tc>
        <w:tc>
          <w:tcPr>
            <w:tcW w:w="1123" w:type="pct"/>
            <w:tcBorders>
              <w:top w:val="nil"/>
              <w:left w:val="nil"/>
              <w:bottom w:val="single" w:color="000000" w:sz="12" w:space="0"/>
              <w:right w:val="nil"/>
            </w:tcBorders>
            <w:shd w:val="clear" w:color="auto" w:fill="FFFFFF"/>
            <w:vAlign w:val="center"/>
          </w:tcPr>
          <w:p w14:paraId="2E1323B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Analytical inference</w:t>
            </w:r>
          </w:p>
        </w:tc>
        <w:tc>
          <w:tcPr>
            <w:tcW w:w="1186" w:type="pct"/>
            <w:tcBorders>
              <w:top w:val="nil"/>
              <w:left w:val="nil"/>
              <w:bottom w:val="single" w:color="000000" w:sz="12" w:space="0"/>
              <w:right w:val="nil"/>
            </w:tcBorders>
            <w:shd w:val="clear" w:color="auto" w:fill="FFFFFF"/>
            <w:vAlign w:val="center"/>
          </w:tcPr>
          <w:p w14:paraId="41FAF9C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Normative/analytical proposition; not a measured causal effect</w:t>
            </w:r>
          </w:p>
        </w:tc>
      </w:tr>
    </w:tbl>
    <w:p w14:paraId="0143D189">
      <w:pPr>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i/>
          <w:sz w:val="24"/>
          <w:szCs w:val="24"/>
        </w:rPr>
        <w:t>Note. “Permitted inference” states the strongest interpretation supported by the cited source type. Contextual studies are not recoded as participant data from the present study.</w:t>
      </w:r>
    </w:p>
    <w:p w14:paraId="3808E58C">
      <w:pPr>
        <w:pStyle w:val="4"/>
        <w:keepNext/>
        <w:spacing w:before="0" w:after="0" w:line="360" w:lineRule="auto"/>
        <w:jc w:val="both"/>
        <w:rPr>
          <w:rFonts w:hint="default" w:ascii="Times New Roman" w:hAnsi="Times New Roman" w:eastAsia="Times New Roman" w:cs="Times New Roman"/>
          <w:b/>
          <w:i w:val="0"/>
          <w:sz w:val="24"/>
          <w:szCs w:val="24"/>
        </w:rPr>
      </w:pPr>
    </w:p>
    <w:p w14:paraId="3A73876B">
      <w:pPr>
        <w:pStyle w:val="4"/>
        <w:keepNext/>
        <w:spacing w:before="0" w:after="0" w:line="360" w:lineRule="auto"/>
        <w:jc w:val="both"/>
        <w:rPr>
          <w:rFonts w:hint="default" w:ascii="Times New Roman" w:hAnsi="Times New Roman" w:cs="Times New Roman"/>
          <w:sz w:val="28"/>
          <w:szCs w:val="28"/>
        </w:rPr>
      </w:pPr>
      <w:r>
        <w:rPr>
          <w:rFonts w:hint="default" w:ascii="Times New Roman" w:hAnsi="Times New Roman" w:eastAsia="Times New Roman" w:cs="Times New Roman"/>
          <w:b/>
          <w:i w:val="0"/>
          <w:sz w:val="28"/>
          <w:szCs w:val="28"/>
        </w:rPr>
        <w:t>Supplementary Appendix G. Evidentiary Audit and Methodological Transparency</w:t>
      </w:r>
    </w:p>
    <w:p w14:paraId="78A69C4C">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This appendix records the methodological and evidentiary audit information used to make the documentary analysis transparent. It distinguishes completed analytical procedures from evidence that is not available and therefore is not implied. The statements below concern the corpus snapshot, single-analyst review, reflexivity, data boundaries, case-level evidence, and the inferential status and transferability of the rights-continuity framework.</w:t>
      </w:r>
    </w:p>
    <w:p w14:paraId="4E34407E">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G1. Corpus snapshot</w:t>
      </w:r>
    </w:p>
    <w:p w14:paraId="6CF43CB4">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bounded corpus consists of the official sources A1–A8 and S1–S4 listed in Supplementary Appendix A. The analytical snapshot is 13 August 2026. Source titles, institutional provenance, update dates where available, and retrieval dates are reported in Appendix A.</w:t>
      </w:r>
    </w:p>
    <w:p w14:paraId="7FAF4E33">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G2. Single-analyst analytic audit trail</w:t>
      </w:r>
    </w:p>
    <w:p w14:paraId="0DE2FC34">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study was conducted as a single-analyst document analysis; no formal second-reader or inter-coder reliability exercise was undertaken. The analytical process was documented through the structured extraction framework, codebook, consolidated pathway matrix, negative-case log, and claim–evidence traceability matrix (Supplementary Appendices B–F). Interpretive decisions were repeatedly cross-checked against the source documents. This audit trail permits independent inspection of the documentary procedure, while the absence of a second analyst is retained as a methodological limitation rather than presented as completed validation; it does not convert the analysis into a reliability-tested coding study.</w:t>
      </w:r>
    </w:p>
    <w:p w14:paraId="663CA78C">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G3. Reflexivity/positionality</w:t>
      </w:r>
    </w:p>
    <w:p w14:paraId="49D3DC41">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analyst had no institutional or contractual relationship with the Home Office, UKVI, or any commercial entity involved in the design or operation of the eVisa system, and the project did not involve privileged access to internal government information. To limit confirmation bias, the analysis deliberately sought and foregrounded official statements that complicate a critical reading, including the less-than-one-per-cent corrected-error figure, the existence of fallback routes, and the official caveat that many reported issues are minor. The interpretive framework was disciplined by a commitment to document what is publicly verifiable and to identify unmeasured harms as research questions rather than findings.</w:t>
      </w:r>
    </w:p>
    <w:p w14:paraId="6C8F4465">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G4. Administrative/FOI data</w:t>
      </w:r>
    </w:p>
    <w:p w14:paraId="5403F811">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study did not use administrative microdata, Freedom of Information responses, or internal Home Office datasets concerning eVisa error submissions, category-specific corrections, actual resolution times, fallback uptake, or material-outcome cases. It relies on first-party public government documents and published administrative transparency counts. No attempt was made to estimate, impute, or infer unavailable quantities from the aggregate correction series. The resulting limits are stated in Section 6 of the main manuscript and Supplementary Appendix D2.</w:t>
      </w:r>
    </w:p>
    <w:p w14:paraId="4FAAC2A3">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G5. Case-level documentary examples and participant material</w:t>
      </w:r>
    </w:p>
    <w:p w14:paraId="506BD56C">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study did not involve primary human-subject data collection, interviews, or access to individual case records. No de-identified case table or participant quotations are therefore presented. Published interview and case-based research (for example, Ozkul &amp; Godin, 2025; Burrell et al., 2025) is used only as interpretive context and is not recoded as evidence generated by the present study. The empirical focus remains the formal proof, verification, correction, and fallback architecture documented in public sources.</w:t>
      </w:r>
    </w:p>
    <w:p w14:paraId="33301B6A">
      <w:pPr>
        <w:keepNext/>
        <w:spacing w:before="0"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i w:val="0"/>
          <w:sz w:val="24"/>
          <w:szCs w:val="24"/>
        </w:rPr>
        <w:t>G6. Framework-status and transferability audit</w:t>
      </w:r>
    </w:p>
    <w:p w14:paraId="4F9A68CE">
      <w:pPr>
        <w:spacing w:before="0" w:after="0" w:line="360" w:lineRule="auto"/>
        <w:ind w:firstLine="48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Rights continuity is a synthesis from the documentary reconstruction, not a measured outcome. The official corpus directly establishes whether an authorised fallback exists and records published service targets where these are stated. It does not establish practical recognisability—whether the relevant third party knows, accepts, and correctly uses a fallback—or transaction-level timeliness—whether verification is completed before a job, tenancy, journey, benefit, or service deadline. Those dimensions require case-level evidence. Cross-domain comparison is used only to identify recurrent features of repair governance; the ECS/PVN, LCS, status-correction, and travel-support routes remain legally and operationally distinct. Comparative transfer beyond the UK is therefore limited to systems in which an entitlement is separable from its digital proof, third-party verification is platform-mediated, and repair time can overlap with a consequential transaction deadline.</w:t>
      </w:r>
      <w:bookmarkStart w:id="0" w:name="_GoBack"/>
      <w:bookmarkEnd w:id="0"/>
    </w:p>
    <w:sectPr>
      <w:footerReference r:id="rId5" w:type="default"/>
      <w:pgSz w:w="11906" w:h="16838"/>
      <w:pgMar w:top="1440" w:right="1440" w:bottom="1440" w:left="1440" w:header="708" w:footer="708"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E0ED5">
    <w:pPr>
      <w:pStyle w:val="24"/>
      <w:jc w:val="center"/>
    </w:pPr>
    <w:r>
      <w:rPr>
        <w:rFonts w:ascii="Times New Roman" w:hAnsi="Times New Roman" w:eastAsia="Times New Roman" w:cs="Times New Roman"/>
        <w:sz w:val="20"/>
      </w:rPr>
      <w:fldChar w:fldCharType="begin"/>
    </w:r>
    <w:r>
      <w:rPr>
        <w:rFonts w:ascii="Times New Roman" w:hAnsi="Times New Roman" w:eastAsia="Times New Roman" w:cs="Times New Roman"/>
        <w:sz w:val="20"/>
      </w:rPr>
      <w:instrText xml:space="preserve"> PAGE </w:instrText>
    </w:r>
    <w:r>
      <w:rPr>
        <w:rFonts w:ascii="Times New Roman" w:hAnsi="Times New Roman" w:eastAsia="Times New Roman" w:cs="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BE065B"/>
    <w:rsid w:val="00CB0664"/>
    <w:rsid w:val="00FC693F"/>
    <w:rsid w:val="0E057BCA"/>
    <w:rsid w:val="0F901881"/>
    <w:rsid w:val="14720D1F"/>
    <w:rsid w:val="22D438C2"/>
    <w:rsid w:val="34FA7FF7"/>
    <w:rsid w:val="36D77E78"/>
    <w:rsid w:val="3B485A13"/>
    <w:rsid w:val="3E0D72D1"/>
    <w:rsid w:val="579E0408"/>
    <w:rsid w:val="5A5A1484"/>
    <w:rsid w:val="757226DA"/>
    <w:rsid w:val="7A8C361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jc w:val="both"/>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Times New Roman" w:hAnsi="Times New Roman"/>
      <w:bCs/>
      <w:color w:val="4F81BD" w:themeColor="accent1"/>
      <w:sz w:val="24"/>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Figure Caption"/>
    <w:qFormat/>
    <w:uiPriority w:val="0"/>
    <w:pPr>
      <w:spacing w:after="200" w:line="240" w:lineRule="auto"/>
      <w:jc w:val="center"/>
    </w:pPr>
    <w:rPr>
      <w:rFonts w:ascii="Times New Roman" w:hAnsi="Times New Roman" w:eastAsia="Times New Roman" w:cstheme="minorBidi"/>
      <w:i/>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1805</Words>
  <Characters>11135</Characters>
  <Lines>0</Lines>
  <Paragraphs>0</Paragraphs>
  <TotalTime>0</TotalTime>
  <ScaleCrop>false</ScaleCrop>
  <LinksUpToDate>false</LinksUpToDate>
  <CharactersWithSpaces>12706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cp:keywords>eVisa; everyday bordering; digital immigration status; verification; repair; rights continuity</cp:keywords>
  <cp:lastModifiedBy/>
  <dcterms:modified xsi:type="dcterms:W3CDTF">2026-08-14T04:20:33Z</dcterms:modified>
  <dc:title>When Proof Fails: eVisa Repair and Everyday Bordering</dc:title>
  <cp:revision>1</cp:revision>
</cp:coreProperties>
</file>