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3B603" w14:textId="77777777" w:rsidR="008739B8" w:rsidRDefault="008739B8" w:rsidP="008739B8">
      <w:pPr>
        <w:spacing w:after="120" w:line="360" w:lineRule="auto"/>
      </w:pPr>
      <w:r>
        <w:rPr>
          <w:rFonts w:eastAsia="Arial" w:cs="Arial"/>
        </w:rPr>
        <w:t>Supplementary Table 1. Pan-cancer Spearman correlations between PCSK9 expression and immune cell infiltrates (univariate OS context).</w:t>
      </w:r>
    </w:p>
    <w:p w14:paraId="6A5A6C5A" w14:textId="77777777" w:rsidR="008739B8" w:rsidRDefault="008739B8" w:rsidP="008739B8">
      <w:pPr>
        <w:spacing w:after="120" w:line="360" w:lineRule="auto"/>
      </w:pPr>
      <w:r>
        <w:rPr>
          <w:rFonts w:eastAsia="Arial" w:cs="Arial"/>
        </w:rPr>
        <w:t>Supplementary Table 2. Cancer-specific correlations between PCSK9 and CD8+ T-cell infiltration.</w:t>
      </w:r>
    </w:p>
    <w:p w14:paraId="29FB9BAD" w14:textId="77777777" w:rsidR="008739B8" w:rsidRDefault="008739B8" w:rsidP="008739B8">
      <w:pPr>
        <w:spacing w:after="120" w:line="360" w:lineRule="auto"/>
      </w:pPr>
      <w:r>
        <w:rPr>
          <w:rFonts w:eastAsia="Arial" w:cs="Arial"/>
        </w:rPr>
        <w:t>Supplementary Table 3. Multivariate Cox regression of PCSK9 expression on overall survival adjusted for stage and TIMER immune infiltration.</w:t>
      </w:r>
    </w:p>
    <w:p w14:paraId="349013AA" w14:textId="77777777" w:rsidR="008739B8" w:rsidRDefault="008739B8" w:rsidP="008739B8">
      <w:pPr>
        <w:spacing w:after="120" w:line="360" w:lineRule="auto"/>
      </w:pPr>
      <w:r>
        <w:rPr>
          <w:rFonts w:eastAsia="Arial" w:cs="Arial"/>
        </w:rPr>
        <w:t>Supplementary Table 4. Correlations between PCSK9 expression and cancer-associated fibroblast scores estimated by MCPcounter, xCell, and EPIC.</w:t>
      </w:r>
    </w:p>
    <w:p w14:paraId="164F361B" w14:textId="77777777" w:rsidR="008739B8" w:rsidRDefault="008739B8" w:rsidP="008739B8">
      <w:pPr>
        <w:spacing w:after="120" w:line="360" w:lineRule="auto"/>
      </w:pPr>
      <w:r>
        <w:rPr>
          <w:rFonts w:eastAsia="Arial" w:cs="Arial"/>
        </w:rPr>
        <w:t>Supplementary Table 5. Criteria for overall indication evaluation of PCSK9-targeted therapy.</w:t>
      </w:r>
    </w:p>
    <w:p w14:paraId="16F6BCB9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9B8"/>
    <w:rsid w:val="00195413"/>
    <w:rsid w:val="003A03A7"/>
    <w:rsid w:val="003D0186"/>
    <w:rsid w:val="007278E4"/>
    <w:rsid w:val="008739B8"/>
    <w:rsid w:val="00A3738C"/>
    <w:rsid w:val="00B91ABC"/>
    <w:rsid w:val="00BC6C35"/>
    <w:rsid w:val="00BD78B4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B8901"/>
  <w15:chartTrackingRefBased/>
  <w15:docId w15:val="{115711D3-AF59-45C1-B84B-474DE4874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9B8"/>
    <w:pPr>
      <w:spacing w:after="200" w:line="276" w:lineRule="auto"/>
    </w:pPr>
    <w:rPr>
      <w:rFonts w:ascii="Arial" w:eastAsiaTheme="minorEastAsia" w:hAnsi="Arial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39B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39B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39B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39B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39B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39B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39B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39B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39B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39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39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39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39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39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39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39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39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39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39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73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39B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739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39B8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739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39B8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739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9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9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39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518</Characters>
  <Application>Microsoft Office Word</Application>
  <DocSecurity>0</DocSecurity>
  <Lines>4</Lines>
  <Paragraphs>1</Paragraphs>
  <ScaleCrop>false</ScaleCrop>
  <Company>Springer Nature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2026-09-25T17:21:00Z</dcterms:created>
  <dcterms:modified xsi:type="dcterms:W3CDTF">2026-09-25T17:21:00Z</dcterms:modified>
</cp:coreProperties>
</file>