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BD5EC6" w14:textId="2FEDB7F3" w:rsidR="00DD336D" w:rsidRPr="007C485B" w:rsidRDefault="000033EB" w:rsidP="007C485B">
      <w:pPr>
        <w:jc w:val="center"/>
        <w:rPr>
          <w:rFonts w:ascii="Arial" w:hAnsi="Arial" w:cs="Arial"/>
          <w:b/>
          <w:bCs/>
          <w:sz w:val="48"/>
          <w:szCs w:val="48"/>
        </w:rPr>
      </w:pPr>
      <w:r w:rsidRPr="007C485B">
        <w:rPr>
          <w:rFonts w:ascii="Arial" w:hAnsi="Arial" w:cs="Arial"/>
          <w:b/>
          <w:bCs/>
          <w:sz w:val="48"/>
          <w:szCs w:val="48"/>
        </w:rPr>
        <w:t>Supplementary Information</w:t>
      </w:r>
    </w:p>
    <w:p w14:paraId="6308A6AF" w14:textId="77777777" w:rsidR="000033EB" w:rsidRPr="006F7E66" w:rsidRDefault="000033EB" w:rsidP="005620E3">
      <w:pPr>
        <w:rPr>
          <w:rFonts w:ascii="Arial" w:hAnsi="Arial" w:cs="Arial"/>
          <w:b/>
          <w:bCs/>
          <w:sz w:val="48"/>
          <w:szCs w:val="48"/>
        </w:rPr>
      </w:pPr>
    </w:p>
    <w:p w14:paraId="2E15125A" w14:textId="75186F42" w:rsidR="00606C59" w:rsidRPr="004E5759" w:rsidRDefault="00031960" w:rsidP="005620E3">
      <w:pPr>
        <w:rPr>
          <w:rFonts w:ascii="Arial" w:hAnsi="Arial" w:cs="Arial"/>
          <w:b/>
          <w:bCs/>
          <w:sz w:val="28"/>
          <w:szCs w:val="28"/>
        </w:rPr>
      </w:pPr>
      <w:r w:rsidRPr="004E5759">
        <w:rPr>
          <w:rFonts w:ascii="Arial" w:hAnsi="Arial" w:cs="Arial"/>
          <w:b/>
          <w:bCs/>
          <w:sz w:val="28"/>
          <w:szCs w:val="28"/>
        </w:rPr>
        <w:t>Ecological stratification of the human gut microbiome resolves metabolic heterogeneity via precision substrate optimization</w:t>
      </w:r>
    </w:p>
    <w:p w14:paraId="7E3005D9" w14:textId="77777777" w:rsidR="00031960" w:rsidRPr="00031960" w:rsidRDefault="00031960" w:rsidP="005620E3">
      <w:pPr>
        <w:rPr>
          <w:rFonts w:ascii="Arial" w:hAnsi="Arial" w:cs="Arial"/>
        </w:rPr>
      </w:pPr>
    </w:p>
    <w:p w14:paraId="6E02218B" w14:textId="7CDD0C18" w:rsidR="00606C59" w:rsidRPr="00EC0E3F" w:rsidRDefault="00606C59" w:rsidP="005620E3">
      <w:pPr>
        <w:rPr>
          <w:rFonts w:ascii="Arial" w:hAnsi="Arial" w:cs="Arial"/>
        </w:rPr>
      </w:pPr>
      <w:r w:rsidRPr="00EC0E3F">
        <w:rPr>
          <w:rFonts w:ascii="Arial" w:hAnsi="Arial" w:cs="Arial"/>
        </w:rPr>
        <w:t>Daisuke Sasaki</w:t>
      </w:r>
      <w:r w:rsidRPr="00EC0E3F">
        <w:rPr>
          <w:rFonts w:ascii="Arial" w:hAnsi="Arial" w:cs="Arial"/>
          <w:vertAlign w:val="superscript"/>
        </w:rPr>
        <w:t xml:space="preserve"> </w:t>
      </w:r>
      <w:proofErr w:type="spellStart"/>
      <w:r w:rsidRPr="00EC0E3F">
        <w:rPr>
          <w:rFonts w:ascii="Arial" w:hAnsi="Arial" w:cs="Arial"/>
          <w:vertAlign w:val="superscript"/>
        </w:rPr>
        <w:t>a,b</w:t>
      </w:r>
      <w:proofErr w:type="spellEnd"/>
      <w:r w:rsidRPr="00EC0E3F">
        <w:rPr>
          <w:rFonts w:ascii="Arial" w:hAnsi="Arial" w:cs="Arial"/>
        </w:rPr>
        <w:t>*, Tomoya Shintani</w:t>
      </w:r>
      <w:r w:rsidRPr="00EC0E3F">
        <w:rPr>
          <w:rFonts w:ascii="Arial" w:hAnsi="Arial" w:cs="Arial"/>
          <w:vertAlign w:val="superscript"/>
        </w:rPr>
        <w:t xml:space="preserve"> a</w:t>
      </w:r>
      <w:r w:rsidRPr="00EC0E3F">
        <w:rPr>
          <w:rFonts w:ascii="Arial" w:hAnsi="Arial" w:cs="Arial"/>
        </w:rPr>
        <w:t>, Yasushi Matsuki</w:t>
      </w:r>
      <w:r w:rsidR="009E2C17">
        <w:rPr>
          <w:rFonts w:ascii="Arial" w:hAnsi="Arial" w:cs="Arial"/>
        </w:rPr>
        <w:t xml:space="preserve"> </w:t>
      </w:r>
      <w:r w:rsidRPr="00EC0E3F">
        <w:rPr>
          <w:rFonts w:ascii="Arial" w:hAnsi="Arial" w:cs="Arial"/>
          <w:vertAlign w:val="superscript"/>
        </w:rPr>
        <w:t>c</w:t>
      </w:r>
      <w:r w:rsidRPr="00EC0E3F">
        <w:rPr>
          <w:rFonts w:ascii="Arial" w:hAnsi="Arial" w:cs="Arial"/>
        </w:rPr>
        <w:t>, Akihiko Kondo</w:t>
      </w:r>
      <w:r w:rsidRPr="00EC0E3F">
        <w:rPr>
          <w:rFonts w:ascii="Arial" w:hAnsi="Arial" w:cs="Arial"/>
          <w:vertAlign w:val="superscript"/>
        </w:rPr>
        <w:t xml:space="preserve"> </w:t>
      </w:r>
      <w:proofErr w:type="spellStart"/>
      <w:r w:rsidRPr="00EC0E3F">
        <w:rPr>
          <w:rFonts w:ascii="Arial" w:hAnsi="Arial" w:cs="Arial"/>
          <w:vertAlign w:val="superscript"/>
        </w:rPr>
        <w:t>a,b</w:t>
      </w:r>
      <w:proofErr w:type="spellEnd"/>
    </w:p>
    <w:p w14:paraId="62CDCACE" w14:textId="77777777" w:rsidR="00606C59" w:rsidRPr="00F628AF" w:rsidRDefault="00606C59" w:rsidP="005620E3">
      <w:pPr>
        <w:rPr>
          <w:rFonts w:ascii="Arial" w:hAnsi="Arial" w:cs="Arial"/>
          <w:sz w:val="22"/>
          <w:szCs w:val="22"/>
        </w:rPr>
      </w:pPr>
    </w:p>
    <w:p w14:paraId="0BEA1DAD" w14:textId="439C9192" w:rsidR="00606C59" w:rsidRPr="00F628AF" w:rsidRDefault="00606C59" w:rsidP="005620E3">
      <w:pPr>
        <w:rPr>
          <w:rFonts w:ascii="Arial" w:hAnsi="Arial" w:cs="Arial"/>
          <w:sz w:val="22"/>
          <w:szCs w:val="22"/>
        </w:rPr>
      </w:pPr>
      <w:r w:rsidRPr="00F628AF">
        <w:rPr>
          <w:rFonts w:ascii="Arial" w:hAnsi="Arial" w:cs="Arial"/>
          <w:sz w:val="22"/>
          <w:szCs w:val="22"/>
        </w:rPr>
        <w:t xml:space="preserve">a Graduate School of Science, Technology and Innovation, Kobe University, 1-1 </w:t>
      </w:r>
      <w:proofErr w:type="spellStart"/>
      <w:r w:rsidRPr="00F628AF">
        <w:rPr>
          <w:rFonts w:ascii="Arial" w:hAnsi="Arial" w:cs="Arial"/>
          <w:sz w:val="22"/>
          <w:szCs w:val="22"/>
        </w:rPr>
        <w:t>Rokkodai-cho</w:t>
      </w:r>
      <w:proofErr w:type="spellEnd"/>
      <w:r w:rsidRPr="00F628AF">
        <w:rPr>
          <w:rFonts w:ascii="Arial" w:hAnsi="Arial" w:cs="Arial"/>
          <w:sz w:val="22"/>
          <w:szCs w:val="22"/>
        </w:rPr>
        <w:t>, Nada-</w:t>
      </w:r>
      <w:proofErr w:type="spellStart"/>
      <w:r w:rsidRPr="00F628AF">
        <w:rPr>
          <w:rFonts w:ascii="Arial" w:hAnsi="Arial" w:cs="Arial"/>
          <w:sz w:val="22"/>
          <w:szCs w:val="22"/>
        </w:rPr>
        <w:t>ku</w:t>
      </w:r>
      <w:proofErr w:type="spellEnd"/>
      <w:r w:rsidRPr="00F628AF">
        <w:rPr>
          <w:rFonts w:ascii="Arial" w:hAnsi="Arial" w:cs="Arial"/>
          <w:sz w:val="22"/>
          <w:szCs w:val="22"/>
        </w:rPr>
        <w:t>, Kobe</w:t>
      </w:r>
      <w:r w:rsidR="00D905D7" w:rsidRPr="00F628AF">
        <w:rPr>
          <w:rFonts w:ascii="Arial" w:hAnsi="Arial" w:cs="Arial"/>
          <w:sz w:val="22"/>
          <w:szCs w:val="22"/>
        </w:rPr>
        <w:t xml:space="preserve"> city, Hyogo,</w:t>
      </w:r>
      <w:r w:rsidRPr="00F628AF">
        <w:rPr>
          <w:rFonts w:ascii="Arial" w:hAnsi="Arial" w:cs="Arial"/>
          <w:sz w:val="22"/>
          <w:szCs w:val="22"/>
        </w:rPr>
        <w:t xml:space="preserve"> 657-8501, Japan</w:t>
      </w:r>
    </w:p>
    <w:p w14:paraId="2F812B59" w14:textId="350D79A5" w:rsidR="00606C59" w:rsidRPr="00F628AF" w:rsidRDefault="00606C59" w:rsidP="005620E3">
      <w:pPr>
        <w:rPr>
          <w:rFonts w:ascii="Arial" w:hAnsi="Arial" w:cs="Arial"/>
          <w:sz w:val="22"/>
          <w:szCs w:val="22"/>
        </w:rPr>
      </w:pPr>
      <w:r w:rsidRPr="00F628AF">
        <w:rPr>
          <w:rFonts w:ascii="Arial" w:hAnsi="Arial" w:cs="Arial"/>
          <w:sz w:val="22"/>
          <w:szCs w:val="22"/>
        </w:rPr>
        <w:t xml:space="preserve">b </w:t>
      </w:r>
      <w:r w:rsidR="00D905D7" w:rsidRPr="00F628AF">
        <w:rPr>
          <w:rFonts w:ascii="Arial" w:hAnsi="Arial" w:cs="Arial"/>
          <w:sz w:val="22"/>
          <w:szCs w:val="22"/>
        </w:rPr>
        <w:t xml:space="preserve">Bacchus Bio innovation Co., Ltd., 6-3-7 </w:t>
      </w:r>
      <w:proofErr w:type="spellStart"/>
      <w:r w:rsidR="00D905D7" w:rsidRPr="00F628AF">
        <w:rPr>
          <w:rFonts w:ascii="Arial" w:hAnsi="Arial" w:cs="Arial"/>
          <w:sz w:val="22"/>
          <w:szCs w:val="22"/>
        </w:rPr>
        <w:t>Minatojima</w:t>
      </w:r>
      <w:proofErr w:type="spellEnd"/>
      <w:r w:rsidR="00D905D7" w:rsidRPr="00F628AF">
        <w:rPr>
          <w:rFonts w:ascii="Arial" w:hAnsi="Arial" w:cs="Arial"/>
          <w:sz w:val="22"/>
          <w:szCs w:val="22"/>
        </w:rPr>
        <w:t xml:space="preserve"> Minami-machi, Chuo-</w:t>
      </w:r>
      <w:proofErr w:type="spellStart"/>
      <w:r w:rsidR="00D905D7" w:rsidRPr="00F628AF">
        <w:rPr>
          <w:rFonts w:ascii="Arial" w:hAnsi="Arial" w:cs="Arial"/>
          <w:sz w:val="22"/>
          <w:szCs w:val="22"/>
        </w:rPr>
        <w:t>ku</w:t>
      </w:r>
      <w:proofErr w:type="spellEnd"/>
      <w:r w:rsidR="00D905D7" w:rsidRPr="00F628AF">
        <w:rPr>
          <w:rFonts w:ascii="Arial" w:hAnsi="Arial" w:cs="Arial"/>
          <w:sz w:val="22"/>
          <w:szCs w:val="22"/>
        </w:rPr>
        <w:t>, Kobe city, Hyogo 650-0047, Japan</w:t>
      </w:r>
    </w:p>
    <w:p w14:paraId="0968C356" w14:textId="32E0A0F3" w:rsidR="00606C59" w:rsidRPr="00F628AF" w:rsidRDefault="00606C59" w:rsidP="005620E3">
      <w:pPr>
        <w:rPr>
          <w:rFonts w:ascii="Arial" w:hAnsi="Arial" w:cs="Arial"/>
          <w:sz w:val="22"/>
          <w:szCs w:val="22"/>
        </w:rPr>
      </w:pPr>
      <w:r w:rsidRPr="00F628AF">
        <w:rPr>
          <w:rFonts w:ascii="Arial" w:hAnsi="Arial" w:cs="Arial"/>
          <w:sz w:val="22"/>
          <w:szCs w:val="22"/>
        </w:rPr>
        <w:t xml:space="preserve">c Strategic Planning Office, Kobe University, 1-1 </w:t>
      </w:r>
      <w:proofErr w:type="spellStart"/>
      <w:r w:rsidRPr="00F628AF">
        <w:rPr>
          <w:rFonts w:ascii="Arial" w:hAnsi="Arial" w:cs="Arial"/>
          <w:sz w:val="22"/>
          <w:szCs w:val="22"/>
        </w:rPr>
        <w:t>Rokkodai-cho</w:t>
      </w:r>
      <w:proofErr w:type="spellEnd"/>
      <w:r w:rsidRPr="00F628AF">
        <w:rPr>
          <w:rFonts w:ascii="Arial" w:hAnsi="Arial" w:cs="Arial"/>
          <w:sz w:val="22"/>
          <w:szCs w:val="22"/>
        </w:rPr>
        <w:t>, Nada-</w:t>
      </w:r>
      <w:proofErr w:type="spellStart"/>
      <w:r w:rsidRPr="00F628AF">
        <w:rPr>
          <w:rFonts w:ascii="Arial" w:hAnsi="Arial" w:cs="Arial"/>
          <w:sz w:val="22"/>
          <w:szCs w:val="22"/>
        </w:rPr>
        <w:t>ku</w:t>
      </w:r>
      <w:proofErr w:type="spellEnd"/>
      <w:r w:rsidRPr="00F628AF">
        <w:rPr>
          <w:rFonts w:ascii="Arial" w:hAnsi="Arial" w:cs="Arial"/>
          <w:sz w:val="22"/>
          <w:szCs w:val="22"/>
        </w:rPr>
        <w:t>, Kobe</w:t>
      </w:r>
      <w:r w:rsidR="00D905D7" w:rsidRPr="00F628AF">
        <w:rPr>
          <w:rFonts w:ascii="Arial" w:hAnsi="Arial" w:cs="Arial"/>
          <w:sz w:val="22"/>
          <w:szCs w:val="22"/>
        </w:rPr>
        <w:t xml:space="preserve"> city, Hyogo,</w:t>
      </w:r>
      <w:r w:rsidRPr="00F628AF">
        <w:rPr>
          <w:rFonts w:ascii="Arial" w:hAnsi="Arial" w:cs="Arial"/>
          <w:sz w:val="22"/>
          <w:szCs w:val="22"/>
        </w:rPr>
        <w:t xml:space="preserve"> 657-8501, Japan </w:t>
      </w:r>
    </w:p>
    <w:p w14:paraId="131A7118" w14:textId="77777777" w:rsidR="00606C59" w:rsidRPr="00F628AF" w:rsidRDefault="00606C59" w:rsidP="005620E3">
      <w:pPr>
        <w:rPr>
          <w:rFonts w:ascii="Arial" w:hAnsi="Arial" w:cs="Arial"/>
          <w:sz w:val="22"/>
          <w:szCs w:val="22"/>
        </w:rPr>
      </w:pPr>
    </w:p>
    <w:p w14:paraId="787157B1" w14:textId="77777777" w:rsidR="00606C59" w:rsidRPr="00F628AF" w:rsidRDefault="00606C59" w:rsidP="005620E3">
      <w:pPr>
        <w:rPr>
          <w:rFonts w:ascii="Arial" w:hAnsi="Arial" w:cs="Arial"/>
          <w:sz w:val="22"/>
          <w:szCs w:val="22"/>
        </w:rPr>
      </w:pPr>
      <w:r w:rsidRPr="00F628AF">
        <w:rPr>
          <w:rFonts w:ascii="Arial" w:hAnsi="Arial" w:cs="Arial"/>
          <w:sz w:val="22"/>
          <w:szCs w:val="22"/>
        </w:rPr>
        <w:t>* Corresponding author:</w:t>
      </w:r>
    </w:p>
    <w:p w14:paraId="2F3E276C" w14:textId="17CC7CEB" w:rsidR="00606C59" w:rsidRPr="00F628AF" w:rsidRDefault="00606C59" w:rsidP="005620E3">
      <w:pPr>
        <w:rPr>
          <w:rFonts w:ascii="Arial" w:hAnsi="Arial" w:cs="Arial"/>
          <w:sz w:val="22"/>
          <w:szCs w:val="22"/>
        </w:rPr>
      </w:pPr>
      <w:r w:rsidRPr="00F628AF">
        <w:rPr>
          <w:rFonts w:ascii="Arial" w:hAnsi="Arial" w:cs="Arial"/>
          <w:sz w:val="22"/>
          <w:szCs w:val="22"/>
        </w:rPr>
        <w:t>Daisuke Sasaki</w:t>
      </w:r>
    </w:p>
    <w:p w14:paraId="7E7B3951" w14:textId="7FE14122" w:rsidR="00606C59" w:rsidRPr="00F628AF" w:rsidRDefault="00606C59" w:rsidP="005620E3">
      <w:pPr>
        <w:rPr>
          <w:rFonts w:ascii="Arial" w:hAnsi="Arial" w:cs="Arial"/>
          <w:sz w:val="22"/>
          <w:szCs w:val="22"/>
        </w:rPr>
      </w:pPr>
      <w:r w:rsidRPr="00F628AF">
        <w:rPr>
          <w:rFonts w:ascii="Arial" w:hAnsi="Arial" w:cs="Arial"/>
          <w:sz w:val="22"/>
          <w:szCs w:val="22"/>
        </w:rPr>
        <w:t>Telephone: +81-78-803-6192, Fax: +81-78-803-6192</w:t>
      </w:r>
    </w:p>
    <w:p w14:paraId="432BD051" w14:textId="695DF9E4" w:rsidR="00C91D87" w:rsidRPr="00031960" w:rsidRDefault="00606C59" w:rsidP="005620E3">
      <w:pPr>
        <w:rPr>
          <w:rFonts w:ascii="Arial" w:hAnsi="Arial" w:cs="Arial"/>
          <w:sz w:val="22"/>
          <w:szCs w:val="22"/>
        </w:rPr>
      </w:pPr>
      <w:r w:rsidRPr="00F628AF">
        <w:rPr>
          <w:rFonts w:ascii="Arial" w:hAnsi="Arial" w:cs="Arial"/>
          <w:sz w:val="22"/>
          <w:szCs w:val="22"/>
        </w:rPr>
        <w:t>E-m</w:t>
      </w:r>
      <w:r w:rsidRPr="00031960">
        <w:rPr>
          <w:rFonts w:ascii="Arial" w:hAnsi="Arial" w:cs="Arial"/>
          <w:sz w:val="22"/>
          <w:szCs w:val="22"/>
        </w:rPr>
        <w:t>ail: daisuke@port.kobe-u.ac.jp</w:t>
      </w:r>
    </w:p>
    <w:p w14:paraId="02AEFBAE" w14:textId="3C070A41" w:rsidR="007C485B" w:rsidRDefault="007C485B" w:rsidP="005620E3">
      <w:pPr>
        <w:rPr>
          <w:rFonts w:ascii="Arial" w:hAnsi="Arial" w:cs="Arial"/>
          <w:sz w:val="22"/>
          <w:szCs w:val="22"/>
        </w:rPr>
      </w:pPr>
      <w:r>
        <w:rPr>
          <w:rFonts w:ascii="Arial" w:hAnsi="Arial" w:cs="Arial"/>
          <w:sz w:val="22"/>
          <w:szCs w:val="22"/>
        </w:rPr>
        <w:br w:type="page"/>
      </w:r>
    </w:p>
    <w:p w14:paraId="1768A728" w14:textId="28010FAE" w:rsidR="00900D03" w:rsidRPr="00425DB6" w:rsidRDefault="00225C62" w:rsidP="00900D03">
      <w:pPr>
        <w:jc w:val="center"/>
        <w:rPr>
          <w:rFonts w:ascii="Arial" w:hAnsi="Arial" w:cs="Arial"/>
          <w:b/>
          <w:bCs/>
          <w:sz w:val="48"/>
          <w:szCs w:val="48"/>
        </w:rPr>
      </w:pPr>
      <w:r w:rsidRPr="00425DB6">
        <w:rPr>
          <w:rFonts w:ascii="Arial" w:hAnsi="Arial" w:cs="Arial"/>
          <w:b/>
          <w:bCs/>
          <w:sz w:val="48"/>
          <w:szCs w:val="48"/>
        </w:rPr>
        <w:lastRenderedPageBreak/>
        <w:t>Table of Contents</w:t>
      </w:r>
    </w:p>
    <w:p w14:paraId="1E014A29" w14:textId="77777777" w:rsidR="00900D03" w:rsidRDefault="00900D03" w:rsidP="00225C62">
      <w:pPr>
        <w:rPr>
          <w:rFonts w:ascii="Arial" w:hAnsi="Arial" w:cs="Arial"/>
          <w:b/>
          <w:bCs/>
          <w:sz w:val="36"/>
          <w:szCs w:val="36"/>
        </w:rPr>
      </w:pPr>
    </w:p>
    <w:p w14:paraId="3DEE45E5" w14:textId="4BC34A2C" w:rsidR="00225C62" w:rsidRPr="00322D29" w:rsidRDefault="00225C62" w:rsidP="00225C62">
      <w:pPr>
        <w:rPr>
          <w:rFonts w:ascii="Arial" w:hAnsi="Arial" w:cs="Arial"/>
          <w:b/>
          <w:bCs/>
          <w:sz w:val="28"/>
          <w:szCs w:val="28"/>
        </w:rPr>
      </w:pPr>
      <w:r w:rsidRPr="00322D29">
        <w:rPr>
          <w:rFonts w:ascii="Arial" w:hAnsi="Arial" w:cs="Arial"/>
          <w:b/>
          <w:bCs/>
          <w:sz w:val="28"/>
          <w:szCs w:val="28"/>
        </w:rPr>
        <w:t>Supplementary Figures</w:t>
      </w:r>
    </w:p>
    <w:p w14:paraId="7C9E12D9" w14:textId="6CFB7290" w:rsidR="00225C62" w:rsidRPr="00322D29" w:rsidRDefault="00225C62" w:rsidP="007C485B">
      <w:pPr>
        <w:ind w:left="2472" w:hangingChars="1030" w:hanging="2472"/>
        <w:rPr>
          <w:rFonts w:ascii="Arial" w:hAnsi="Arial" w:cs="Arial"/>
        </w:rPr>
      </w:pPr>
      <w:r w:rsidRPr="00322D29">
        <w:rPr>
          <w:rFonts w:ascii="Arial" w:hAnsi="Arial" w:cs="Arial"/>
        </w:rPr>
        <w:t xml:space="preserve">Supplementary Fig. 1 | Time-course ecological stability, metabolic maturation, and specific guild dynamics during </w:t>
      </w:r>
      <w:r w:rsidRPr="00322D29">
        <w:rPr>
          <w:rFonts w:ascii="Arial" w:hAnsi="Arial" w:cs="Arial"/>
          <w:i/>
          <w:iCs/>
        </w:rPr>
        <w:t>in vitro</w:t>
      </w:r>
      <w:r w:rsidRPr="00322D29">
        <w:rPr>
          <w:rFonts w:ascii="Arial" w:hAnsi="Arial" w:cs="Arial"/>
        </w:rPr>
        <w:t xml:space="preserve"> microbiome remodeling.</w:t>
      </w:r>
    </w:p>
    <w:p w14:paraId="329C81F8" w14:textId="45CF5038" w:rsidR="00225C62" w:rsidRPr="00322D29" w:rsidRDefault="00225C62" w:rsidP="007C485B">
      <w:pPr>
        <w:ind w:left="2472" w:hangingChars="1030" w:hanging="2472"/>
        <w:rPr>
          <w:rFonts w:ascii="Arial" w:hAnsi="Arial" w:cs="Arial"/>
        </w:rPr>
      </w:pPr>
      <w:r w:rsidRPr="00322D29">
        <w:rPr>
          <w:rFonts w:ascii="Arial" w:hAnsi="Arial" w:cs="Arial"/>
        </w:rPr>
        <w:t xml:space="preserve">Supplementary Fig. 2 | Baseline diversity and taxonomic composition of the </w:t>
      </w:r>
      <w:r w:rsidRPr="00322D29">
        <w:rPr>
          <w:rFonts w:ascii="Arial" w:hAnsi="Arial" w:cs="Arial"/>
          <w:i/>
          <w:iCs/>
        </w:rPr>
        <w:t>in vitro</w:t>
      </w:r>
      <w:r w:rsidRPr="00322D29">
        <w:rPr>
          <w:rFonts w:ascii="Arial" w:hAnsi="Arial" w:cs="Arial"/>
        </w:rPr>
        <w:t xml:space="preserve"> ecosystem.</w:t>
      </w:r>
    </w:p>
    <w:p w14:paraId="701CE04B" w14:textId="49DB14AB" w:rsidR="00225C62" w:rsidRPr="00322D29" w:rsidRDefault="00225C62" w:rsidP="007C485B">
      <w:pPr>
        <w:ind w:left="2472" w:hangingChars="1030" w:hanging="2472"/>
        <w:rPr>
          <w:rFonts w:ascii="Arial" w:hAnsi="Arial" w:cs="Arial"/>
        </w:rPr>
      </w:pPr>
      <w:r w:rsidRPr="00322D29">
        <w:rPr>
          <w:rFonts w:ascii="Arial" w:hAnsi="Arial" w:cs="Arial"/>
        </w:rPr>
        <w:t>Supplementary Fig. 3 | Global metabolic landscape and the methodological rationale for absolute quantification in resolving precision stratification.</w:t>
      </w:r>
    </w:p>
    <w:p w14:paraId="04F4ABB8" w14:textId="2EDE86D3" w:rsidR="00225C62" w:rsidRPr="00322D29" w:rsidRDefault="00225C62" w:rsidP="007C485B">
      <w:pPr>
        <w:ind w:left="2472" w:hangingChars="1030" w:hanging="2472"/>
        <w:rPr>
          <w:rFonts w:ascii="Arial" w:hAnsi="Arial" w:cs="Arial"/>
        </w:rPr>
      </w:pPr>
      <w:r w:rsidRPr="00322D29">
        <w:rPr>
          <w:rFonts w:ascii="Arial" w:hAnsi="Arial" w:cs="Arial"/>
        </w:rPr>
        <w:t>Supplementary Fig. 4 | Absence of taxonomic correlation with metabolic phenotypes in 16S rRNA gene relative abundance.</w:t>
      </w:r>
    </w:p>
    <w:p w14:paraId="0EE227AE" w14:textId="14322BAA" w:rsidR="00225C62" w:rsidRPr="00322D29" w:rsidRDefault="00225C62" w:rsidP="007C485B">
      <w:pPr>
        <w:ind w:left="2472" w:hangingChars="1030" w:hanging="2472"/>
        <w:rPr>
          <w:rFonts w:ascii="Arial" w:hAnsi="Arial" w:cs="Arial"/>
        </w:rPr>
      </w:pPr>
      <w:r w:rsidRPr="00322D29">
        <w:rPr>
          <w:rFonts w:ascii="Arial" w:hAnsi="Arial" w:cs="Arial"/>
        </w:rPr>
        <w:t>Supplementary Fig. 5 | Universality of the acid-driven metabolic tipping point and capacity limits of bifidogenic cross</w:t>
      </w:r>
      <w:r w:rsidR="00E839E3" w:rsidRPr="00322D29">
        <w:rPr>
          <w:rFonts w:ascii="Arial" w:hAnsi="Arial" w:cs="Arial"/>
        </w:rPr>
        <w:t>-</w:t>
      </w:r>
      <w:r w:rsidRPr="00322D29">
        <w:rPr>
          <w:rFonts w:ascii="Arial" w:hAnsi="Arial" w:cs="Arial"/>
        </w:rPr>
        <w:t>feeding.</w:t>
      </w:r>
    </w:p>
    <w:p w14:paraId="1518F237" w14:textId="77777777" w:rsidR="00225C62" w:rsidRPr="00322D29" w:rsidRDefault="00225C62" w:rsidP="007C485B">
      <w:pPr>
        <w:ind w:left="2472" w:hangingChars="1030" w:hanging="2472"/>
        <w:rPr>
          <w:rFonts w:ascii="Arial" w:hAnsi="Arial" w:cs="Arial"/>
        </w:rPr>
      </w:pPr>
      <w:r w:rsidRPr="00322D29">
        <w:rPr>
          <w:rFonts w:ascii="Arial" w:hAnsi="Arial" w:cs="Arial"/>
        </w:rPr>
        <w:t xml:space="preserve">Supplementary Fig. 6 | Ecological stratification of the baseline fecal microbiota and predictive limitation of static </w:t>
      </w:r>
      <w:proofErr w:type="spellStart"/>
      <w:r w:rsidRPr="00322D29">
        <w:rPr>
          <w:rFonts w:ascii="Arial" w:hAnsi="Arial" w:cs="Arial"/>
        </w:rPr>
        <w:t>enterotyping</w:t>
      </w:r>
      <w:proofErr w:type="spellEnd"/>
      <w:r w:rsidRPr="00322D29">
        <w:rPr>
          <w:rFonts w:ascii="Arial" w:hAnsi="Arial" w:cs="Arial"/>
        </w:rPr>
        <w:t>.</w:t>
      </w:r>
    </w:p>
    <w:p w14:paraId="68AE5985" w14:textId="77777777" w:rsidR="006F7E66" w:rsidRPr="00322D29" w:rsidRDefault="006F7E66" w:rsidP="007C485B">
      <w:pPr>
        <w:ind w:left="2472" w:hangingChars="1030" w:hanging="2472"/>
        <w:rPr>
          <w:rFonts w:ascii="Arial" w:hAnsi="Arial" w:cs="Arial"/>
        </w:rPr>
      </w:pPr>
    </w:p>
    <w:p w14:paraId="553AA2C2" w14:textId="03AD2B05" w:rsidR="006F7E66" w:rsidRPr="00322D29" w:rsidRDefault="006F7E66" w:rsidP="006F7E66">
      <w:pPr>
        <w:rPr>
          <w:rFonts w:ascii="Arial" w:hAnsi="Arial" w:cs="Arial"/>
          <w:b/>
          <w:bCs/>
          <w:sz w:val="28"/>
          <w:szCs w:val="28"/>
        </w:rPr>
      </w:pPr>
      <w:r w:rsidRPr="00322D29">
        <w:rPr>
          <w:rFonts w:ascii="Arial" w:hAnsi="Arial" w:cs="Arial"/>
          <w:b/>
          <w:bCs/>
          <w:sz w:val="28"/>
          <w:szCs w:val="28"/>
        </w:rPr>
        <w:t>Supplementary Table</w:t>
      </w:r>
    </w:p>
    <w:p w14:paraId="7910DDB3" w14:textId="42DFCEE3" w:rsidR="00225C62" w:rsidRPr="007C4CD5" w:rsidRDefault="006F7E66" w:rsidP="006F7E66">
      <w:pPr>
        <w:rPr>
          <w:rFonts w:ascii="Arial" w:hAnsi="Arial" w:cs="Arial"/>
        </w:rPr>
      </w:pPr>
      <w:r w:rsidRPr="007C4CD5">
        <w:rPr>
          <w:rFonts w:ascii="Arial" w:hAnsi="Arial" w:cs="Arial"/>
        </w:rPr>
        <w:t xml:space="preserve">Supplementary Table 1 | qPCR Primers and </w:t>
      </w:r>
      <w:r w:rsidR="00322D29" w:rsidRPr="007C4CD5">
        <w:rPr>
          <w:rFonts w:ascii="Arial" w:hAnsi="Arial" w:cs="Arial"/>
        </w:rPr>
        <w:t>t</w:t>
      </w:r>
      <w:r w:rsidRPr="007C4CD5">
        <w:rPr>
          <w:rFonts w:ascii="Arial" w:hAnsi="Arial" w:cs="Arial"/>
        </w:rPr>
        <w:t>argets.</w:t>
      </w:r>
    </w:p>
    <w:p w14:paraId="5500AC4B" w14:textId="77777777" w:rsidR="006F7E66" w:rsidRPr="007C4CD5" w:rsidRDefault="006F7E66" w:rsidP="006F7E66">
      <w:pPr>
        <w:rPr>
          <w:rFonts w:ascii="Arial" w:hAnsi="Arial" w:cs="Arial"/>
        </w:rPr>
      </w:pPr>
    </w:p>
    <w:p w14:paraId="47A1A575" w14:textId="4AD12F57" w:rsidR="00225C62" w:rsidRPr="00322D29" w:rsidRDefault="00225C62" w:rsidP="00225C62">
      <w:pPr>
        <w:rPr>
          <w:rFonts w:ascii="Arial" w:hAnsi="Arial" w:cs="Arial"/>
          <w:b/>
          <w:bCs/>
          <w:sz w:val="28"/>
          <w:szCs w:val="28"/>
        </w:rPr>
      </w:pPr>
      <w:r w:rsidRPr="00322D29">
        <w:rPr>
          <w:rFonts w:ascii="Arial" w:hAnsi="Arial" w:cs="Arial"/>
          <w:b/>
          <w:bCs/>
          <w:sz w:val="28"/>
          <w:szCs w:val="28"/>
        </w:rPr>
        <w:t xml:space="preserve">Description of Additional Supplementary </w:t>
      </w:r>
      <w:r w:rsidR="003F59D5" w:rsidRPr="00322D29">
        <w:rPr>
          <w:rFonts w:ascii="Arial" w:hAnsi="Arial" w:cs="Arial"/>
          <w:b/>
          <w:bCs/>
          <w:sz w:val="28"/>
          <w:szCs w:val="28"/>
        </w:rPr>
        <w:t>Data</w:t>
      </w:r>
    </w:p>
    <w:p w14:paraId="192EAF62" w14:textId="60009E0E" w:rsidR="00322D29" w:rsidRPr="007C4CD5" w:rsidRDefault="00322D29" w:rsidP="007C485B">
      <w:pPr>
        <w:ind w:left="2679" w:hangingChars="1095" w:hanging="2679"/>
        <w:rPr>
          <w:rFonts w:ascii="Arial" w:hAnsi="Arial" w:cs="Arial"/>
          <w:b/>
          <w:bCs/>
        </w:rPr>
      </w:pPr>
      <w:r w:rsidRPr="007C4CD5">
        <w:rPr>
          <w:rFonts w:ascii="Arial" w:hAnsi="Arial" w:cs="Arial"/>
          <w:b/>
          <w:bCs/>
        </w:rPr>
        <w:t>Data are provided in separate CSV files</w:t>
      </w:r>
    </w:p>
    <w:p w14:paraId="275CC94A" w14:textId="14659C6D"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1 | List of bacterial genera responding to </w:t>
      </w:r>
      <w:r w:rsidR="00B733AB" w:rsidRPr="007C4CD5">
        <w:rPr>
          <w:rFonts w:ascii="Arial" w:hAnsi="Arial" w:cs="Arial"/>
        </w:rPr>
        <w:t>i</w:t>
      </w:r>
      <w:r w:rsidRPr="007C4CD5">
        <w:rPr>
          <w:rFonts w:ascii="Arial" w:hAnsi="Arial" w:cs="Arial"/>
        </w:rPr>
        <w:t>nulin fermentation.</w:t>
      </w:r>
    </w:p>
    <w:p w14:paraId="5CFF0B4E" w14:textId="6881E867"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2 | List of bacterial genera responding to </w:t>
      </w:r>
      <w:r w:rsidR="00B733AB" w:rsidRPr="007C4CD5">
        <w:rPr>
          <w:rFonts w:ascii="Arial" w:hAnsi="Arial" w:cs="Arial"/>
        </w:rPr>
        <w:t>r</w:t>
      </w:r>
      <w:r w:rsidRPr="007C4CD5">
        <w:rPr>
          <w:rFonts w:ascii="Arial" w:hAnsi="Arial" w:cs="Arial"/>
        </w:rPr>
        <w:t>esistant starch (RS) fermentation.</w:t>
      </w:r>
    </w:p>
    <w:p w14:paraId="1C5F6EF2" w14:textId="377FCB5F"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3 | List of bacterial genera responding to </w:t>
      </w:r>
      <w:r w:rsidR="00B733AB" w:rsidRPr="007C4CD5">
        <w:rPr>
          <w:rFonts w:ascii="Arial" w:hAnsi="Arial" w:cs="Arial"/>
        </w:rPr>
        <w:t>x</w:t>
      </w:r>
      <w:r w:rsidRPr="007C4CD5">
        <w:rPr>
          <w:rFonts w:ascii="Arial" w:hAnsi="Arial" w:cs="Arial"/>
        </w:rPr>
        <w:t>ylitol fermentation.</w:t>
      </w:r>
    </w:p>
    <w:p w14:paraId="0D59CB03" w14:textId="1CE0E201"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4 | List of bacterial genera responding to </w:t>
      </w:r>
      <w:r w:rsidR="00B733AB" w:rsidRPr="007C4CD5">
        <w:rPr>
          <w:rFonts w:ascii="Arial" w:hAnsi="Arial" w:cs="Arial"/>
        </w:rPr>
        <w:t>e</w:t>
      </w:r>
      <w:r w:rsidRPr="007C4CD5">
        <w:rPr>
          <w:rFonts w:ascii="Arial" w:hAnsi="Arial" w:cs="Arial"/>
        </w:rPr>
        <w:t>rythritol fermentation.</w:t>
      </w:r>
    </w:p>
    <w:p w14:paraId="5C1A6F92" w14:textId="023F09F3" w:rsidR="007C485B" w:rsidRPr="007C4CD5" w:rsidRDefault="00225C62" w:rsidP="007C4CD5">
      <w:pPr>
        <w:ind w:left="2628" w:hangingChars="1095" w:hanging="2628"/>
        <w:rPr>
          <w:rFonts w:ascii="Arial" w:hAnsi="Arial" w:cs="Arial"/>
        </w:rPr>
      </w:pPr>
      <w:r w:rsidRPr="007C4CD5">
        <w:rPr>
          <w:rFonts w:ascii="Arial" w:hAnsi="Arial" w:cs="Arial"/>
        </w:rPr>
        <w:t>Supplementary Data 5 | Physicochemical and categorical metadata of the KULFFI library substrates.</w:t>
      </w:r>
    </w:p>
    <w:p w14:paraId="1115A15F" w14:textId="77777777" w:rsidR="00322D29" w:rsidRPr="007C4CD5" w:rsidRDefault="00322D29">
      <w:pPr>
        <w:jc w:val="both"/>
        <w:rPr>
          <w:rFonts w:ascii="Arial" w:hAnsi="Arial" w:cs="Arial"/>
          <w:b/>
          <w:bCs/>
        </w:rPr>
      </w:pPr>
      <w:r w:rsidRPr="007C4CD5">
        <w:rPr>
          <w:rFonts w:ascii="Arial" w:hAnsi="Arial" w:cs="Arial"/>
          <w:b/>
          <w:bCs/>
        </w:rPr>
        <w:br w:type="page"/>
      </w:r>
    </w:p>
    <w:p w14:paraId="12759A3D" w14:textId="77777777" w:rsidR="00665F54" w:rsidRPr="004E645D" w:rsidRDefault="00665F54" w:rsidP="005620E3">
      <w:pPr>
        <w:rPr>
          <w:rFonts w:ascii="Arial" w:hAnsi="Arial" w:cs="Arial"/>
          <w:b/>
          <w:bCs/>
        </w:rPr>
      </w:pPr>
    </w:p>
    <w:p w14:paraId="3A286E10" w14:textId="79D2ED37" w:rsidR="00C613A0" w:rsidRPr="00665F54" w:rsidRDefault="00665F54" w:rsidP="005620E3">
      <w:pPr>
        <w:rPr>
          <w:rFonts w:ascii="Arial" w:hAnsi="Arial" w:cs="Arial"/>
        </w:rPr>
      </w:pPr>
      <w:r>
        <w:rPr>
          <w:rFonts w:ascii="Arial" w:hAnsi="Arial" w:cs="Arial"/>
          <w:noProof/>
        </w:rPr>
        <w:drawing>
          <wp:inline distT="0" distB="0" distL="0" distR="0" wp14:anchorId="2BE34CC5" wp14:editId="13081B56">
            <wp:extent cx="5396230" cy="5923915"/>
            <wp:effectExtent l="0" t="0" r="0" b="0"/>
            <wp:docPr id="17772553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55324" name="図 1777255324"/>
                    <pic:cNvPicPr/>
                  </pic:nvPicPr>
                  <pic:blipFill>
                    <a:blip r:embed="rId5"/>
                    <a:stretch>
                      <a:fillRect/>
                    </a:stretch>
                  </pic:blipFill>
                  <pic:spPr>
                    <a:xfrm>
                      <a:off x="0" y="0"/>
                      <a:ext cx="5396230" cy="5923915"/>
                    </a:xfrm>
                    <a:prstGeom prst="rect">
                      <a:avLst/>
                    </a:prstGeom>
                  </pic:spPr>
                </pic:pic>
              </a:graphicData>
            </a:graphic>
          </wp:inline>
        </w:drawing>
      </w:r>
    </w:p>
    <w:p w14:paraId="5103F584" w14:textId="77777777" w:rsidR="004E645D" w:rsidRDefault="004E645D" w:rsidP="006F7E66">
      <w:pPr>
        <w:rPr>
          <w:rFonts w:ascii="Arial" w:hAnsi="Arial" w:cs="Arial"/>
          <w:b/>
          <w:bCs/>
        </w:rPr>
      </w:pPr>
    </w:p>
    <w:p w14:paraId="4FB91A7E" w14:textId="1A9DA7C4" w:rsidR="006F7E66" w:rsidRPr="004E645D" w:rsidRDefault="006F7E66" w:rsidP="00346B63">
      <w:pPr>
        <w:rPr>
          <w:rFonts w:ascii="Arial" w:hAnsi="Arial" w:cs="Arial"/>
          <w:b/>
          <w:bCs/>
          <w:sz w:val="20"/>
          <w:szCs w:val="20"/>
        </w:rPr>
      </w:pPr>
      <w:r w:rsidRPr="004E645D">
        <w:rPr>
          <w:rFonts w:ascii="Arial" w:hAnsi="Arial" w:cs="Arial"/>
          <w:b/>
          <w:bCs/>
        </w:rPr>
        <w:t xml:space="preserve">Supplementary </w:t>
      </w:r>
      <w:r w:rsidR="00D432EF" w:rsidRPr="004E645D">
        <w:rPr>
          <w:rFonts w:ascii="Arial" w:hAnsi="Arial" w:cs="Arial"/>
          <w:b/>
          <w:bCs/>
        </w:rPr>
        <w:t>Fig</w:t>
      </w:r>
      <w:r w:rsidR="001161A4" w:rsidRPr="004E645D">
        <w:rPr>
          <w:rFonts w:ascii="Arial" w:hAnsi="Arial" w:cs="Arial"/>
          <w:b/>
          <w:bCs/>
        </w:rPr>
        <w:t>.</w:t>
      </w:r>
      <w:r w:rsidR="00D432EF" w:rsidRPr="004E645D">
        <w:rPr>
          <w:rFonts w:ascii="Arial" w:hAnsi="Arial" w:cs="Arial" w:hint="eastAsia"/>
          <w:b/>
          <w:bCs/>
        </w:rPr>
        <w:t xml:space="preserve"> </w:t>
      </w:r>
      <w:r w:rsidRPr="004E645D">
        <w:rPr>
          <w:rFonts w:ascii="Arial" w:hAnsi="Arial" w:cs="Arial"/>
          <w:b/>
          <w:bCs/>
        </w:rPr>
        <w:t xml:space="preserve">1 | Time-course ecological stability, metabolic maturation, and specific guild dynamics during </w:t>
      </w:r>
      <w:r w:rsidRPr="004E645D">
        <w:rPr>
          <w:rFonts w:ascii="Arial" w:hAnsi="Arial" w:cs="Arial"/>
          <w:b/>
          <w:bCs/>
          <w:i/>
          <w:iCs/>
        </w:rPr>
        <w:t>in vitro</w:t>
      </w:r>
      <w:r w:rsidRPr="004E645D">
        <w:rPr>
          <w:rFonts w:ascii="Arial" w:hAnsi="Arial" w:cs="Arial"/>
          <w:b/>
          <w:bCs/>
        </w:rPr>
        <w:t xml:space="preserve"> microbiome remodeling.</w:t>
      </w:r>
      <w:r w:rsidRPr="00DC3260">
        <w:rPr>
          <w:rFonts w:ascii="Arial" w:hAnsi="Arial" w:cs="Arial"/>
          <w:sz w:val="20"/>
          <w:szCs w:val="20"/>
        </w:rPr>
        <w:t xml:space="preserve"> </w:t>
      </w:r>
      <w:r w:rsidRPr="00DC3260">
        <w:rPr>
          <w:rFonts w:ascii="Arial" w:hAnsi="Arial" w:cs="Arial"/>
          <w:b/>
          <w:bCs/>
          <w:sz w:val="20"/>
          <w:szCs w:val="20"/>
        </w:rPr>
        <w:t>a</w:t>
      </w:r>
      <w:r w:rsidRPr="00DC3260">
        <w:rPr>
          <w:rFonts w:ascii="Arial" w:hAnsi="Arial" w:cs="Arial"/>
          <w:sz w:val="20"/>
          <w:szCs w:val="20"/>
        </w:rPr>
        <w:t xml:space="preserve">, Total short-chain fatty acid (SCFA) production (mM) at 48 h across different basal media. </w:t>
      </w:r>
      <w:r w:rsidRPr="00DC3260">
        <w:rPr>
          <w:rFonts w:ascii="Arial" w:hAnsi="Arial" w:cs="Arial"/>
          <w:b/>
          <w:bCs/>
          <w:sz w:val="20"/>
          <w:szCs w:val="20"/>
        </w:rPr>
        <w:t>b</w:t>
      </w:r>
      <w:r w:rsidRPr="00DC3260">
        <w:rPr>
          <w:rFonts w:ascii="Arial" w:hAnsi="Arial" w:cs="Arial"/>
          <w:sz w:val="20"/>
          <w:szCs w:val="20"/>
        </w:rPr>
        <w:t>, Ecological stability and diversity of the cultured microbiomes at 24 h and 48 h. The top panel shows Pearson correlation coefficients (</w:t>
      </w:r>
      <w:r w:rsidRPr="00DC3260">
        <w:rPr>
          <w:rFonts w:ascii="Arial" w:hAnsi="Arial" w:cs="Arial"/>
          <w:i/>
          <w:iCs/>
          <w:sz w:val="20"/>
          <w:szCs w:val="20"/>
        </w:rPr>
        <w:t>r</w:t>
      </w:r>
      <w:r w:rsidRPr="00DC3260">
        <w:rPr>
          <w:rFonts w:ascii="Arial" w:hAnsi="Arial" w:cs="Arial"/>
          <w:sz w:val="20"/>
          <w:szCs w:val="20"/>
        </w:rPr>
        <w:t xml:space="preserve">) of centered log-ratio (CLR)-transformed genus-level abundances against the original fecal </w:t>
      </w:r>
      <w:proofErr w:type="spellStart"/>
      <w:r w:rsidRPr="00DC3260">
        <w:rPr>
          <w:rFonts w:ascii="Arial" w:hAnsi="Arial" w:cs="Arial"/>
          <w:sz w:val="20"/>
          <w:szCs w:val="20"/>
        </w:rPr>
        <w:t>inocula</w:t>
      </w:r>
      <w:proofErr w:type="spellEnd"/>
      <w:r w:rsidRPr="00DC3260">
        <w:rPr>
          <w:rFonts w:ascii="Arial" w:hAnsi="Arial" w:cs="Arial"/>
          <w:sz w:val="20"/>
          <w:szCs w:val="20"/>
        </w:rPr>
        <w:t xml:space="preserve"> (0 h). The bottom panel displays the alpha diversity (maximum Shannon index). </w:t>
      </w:r>
      <w:r w:rsidRPr="00DC3260">
        <w:rPr>
          <w:rFonts w:ascii="Arial" w:hAnsi="Arial" w:cs="Arial"/>
          <w:b/>
          <w:bCs/>
          <w:sz w:val="20"/>
          <w:szCs w:val="20"/>
        </w:rPr>
        <w:t>c</w:t>
      </w:r>
      <w:r w:rsidRPr="00DC3260">
        <w:rPr>
          <w:rFonts w:ascii="Arial" w:hAnsi="Arial" w:cs="Arial"/>
          <w:sz w:val="20"/>
          <w:szCs w:val="20"/>
        </w:rPr>
        <w:t>, Relative abundances of key bacterial genera (</w:t>
      </w:r>
      <w:r w:rsidRPr="00DC3260">
        <w:rPr>
          <w:rFonts w:ascii="Arial" w:hAnsi="Arial" w:cs="Arial"/>
          <w:i/>
          <w:iCs/>
          <w:sz w:val="20"/>
          <w:szCs w:val="20"/>
        </w:rPr>
        <w:t>Faecalibacterium</w:t>
      </w:r>
      <w:r w:rsidRPr="00DC3260">
        <w:rPr>
          <w:rFonts w:ascii="Arial" w:hAnsi="Arial" w:cs="Arial"/>
          <w:sz w:val="20"/>
          <w:szCs w:val="20"/>
        </w:rPr>
        <w:t xml:space="preserve">, </w:t>
      </w:r>
      <w:r w:rsidRPr="00DC3260">
        <w:rPr>
          <w:rFonts w:ascii="Arial" w:hAnsi="Arial" w:cs="Arial"/>
          <w:i/>
          <w:iCs/>
          <w:sz w:val="20"/>
          <w:szCs w:val="20"/>
        </w:rPr>
        <w:t>Blautia</w:t>
      </w:r>
      <w:r w:rsidRPr="00DC3260">
        <w:rPr>
          <w:rFonts w:ascii="Arial" w:hAnsi="Arial" w:cs="Arial"/>
          <w:sz w:val="20"/>
          <w:szCs w:val="20"/>
        </w:rPr>
        <w:t xml:space="preserve">, </w:t>
      </w:r>
      <w:r w:rsidRPr="00DC3260">
        <w:rPr>
          <w:rFonts w:ascii="Arial" w:hAnsi="Arial" w:cs="Arial"/>
          <w:i/>
          <w:iCs/>
          <w:sz w:val="20"/>
          <w:szCs w:val="20"/>
        </w:rPr>
        <w:t>Bifidobacterium</w:t>
      </w:r>
      <w:r w:rsidRPr="00DC3260">
        <w:rPr>
          <w:rFonts w:ascii="Arial" w:hAnsi="Arial" w:cs="Arial"/>
          <w:sz w:val="20"/>
          <w:szCs w:val="20"/>
        </w:rPr>
        <w:t xml:space="preserve">, </w:t>
      </w:r>
      <w:r w:rsidRPr="00DC3260">
        <w:rPr>
          <w:rFonts w:ascii="Arial" w:hAnsi="Arial" w:cs="Arial"/>
          <w:i/>
          <w:iCs/>
          <w:sz w:val="20"/>
          <w:szCs w:val="20"/>
        </w:rPr>
        <w:t>Prevotella</w:t>
      </w:r>
      <w:r w:rsidRPr="00DC3260">
        <w:rPr>
          <w:rFonts w:ascii="Arial" w:hAnsi="Arial" w:cs="Arial"/>
          <w:sz w:val="20"/>
          <w:szCs w:val="20"/>
        </w:rPr>
        <w:t xml:space="preserve">, and </w:t>
      </w:r>
      <w:r w:rsidRPr="00DC3260">
        <w:rPr>
          <w:rFonts w:ascii="Arial" w:hAnsi="Arial" w:cs="Arial"/>
          <w:i/>
          <w:iCs/>
          <w:sz w:val="20"/>
          <w:szCs w:val="20"/>
        </w:rPr>
        <w:t>Escherichia</w:t>
      </w:r>
      <w:r w:rsidRPr="00DC3260">
        <w:rPr>
          <w:rFonts w:ascii="Arial" w:hAnsi="Arial" w:cs="Arial"/>
          <w:sz w:val="20"/>
          <w:szCs w:val="20"/>
        </w:rPr>
        <w:t xml:space="preserve">) at 24 and 48 h </w:t>
      </w:r>
      <w:r w:rsidRPr="00DC3260">
        <w:rPr>
          <w:rFonts w:ascii="Arial" w:hAnsi="Arial" w:cs="Arial"/>
          <w:sz w:val="20"/>
          <w:szCs w:val="20"/>
        </w:rPr>
        <w:lastRenderedPageBreak/>
        <w:t xml:space="preserve">of fermentation across different inoculation strategies. The 0.8% mucin-supplemented S-KUHIMM condition effectively preserved strict anaerobes while suppressing the bloom of facultative anaerobes like </w:t>
      </w:r>
      <w:r w:rsidRPr="00DC3260">
        <w:rPr>
          <w:rFonts w:ascii="Arial" w:hAnsi="Arial" w:cs="Arial"/>
          <w:i/>
          <w:iCs/>
          <w:sz w:val="20"/>
          <w:szCs w:val="20"/>
        </w:rPr>
        <w:t>Escherichia</w:t>
      </w:r>
      <w:r w:rsidRPr="00DC3260">
        <w:rPr>
          <w:rFonts w:ascii="Arial" w:hAnsi="Arial" w:cs="Arial"/>
          <w:sz w:val="20"/>
          <w:szCs w:val="20"/>
        </w:rPr>
        <w:t xml:space="preserve"> over time. For all panels, </w:t>
      </w:r>
      <w:r w:rsidRPr="00DC3260">
        <w:rPr>
          <w:rFonts w:ascii="Arial" w:hAnsi="Arial" w:cs="Arial"/>
          <w:i/>
          <w:iCs/>
          <w:sz w:val="20"/>
          <w:szCs w:val="20"/>
        </w:rPr>
        <w:t>n</w:t>
      </w:r>
      <w:r w:rsidRPr="00DC3260">
        <w:rPr>
          <w:rFonts w:ascii="Arial" w:hAnsi="Arial" w:cs="Arial"/>
          <w:sz w:val="20"/>
          <w:szCs w:val="20"/>
        </w:rPr>
        <w:t xml:space="preserve"> = 6 biologically independent human donors per group. In the box plots (</w:t>
      </w:r>
      <w:r w:rsidRPr="00DC3260">
        <w:rPr>
          <w:rFonts w:ascii="Arial" w:hAnsi="Arial" w:cs="Arial"/>
          <w:b/>
          <w:bCs/>
          <w:sz w:val="20"/>
          <w:szCs w:val="20"/>
        </w:rPr>
        <w:t>a</w:t>
      </w:r>
      <w:r w:rsidRPr="00DC3260">
        <w:rPr>
          <w:rFonts w:ascii="Arial" w:hAnsi="Arial" w:cs="Arial"/>
          <w:sz w:val="20"/>
          <w:szCs w:val="20"/>
        </w:rPr>
        <w:t>–</w:t>
      </w:r>
      <w:r w:rsidRPr="00DC3260">
        <w:rPr>
          <w:rFonts w:ascii="Arial" w:hAnsi="Arial" w:cs="Arial"/>
          <w:b/>
          <w:bCs/>
          <w:sz w:val="20"/>
          <w:szCs w:val="20"/>
        </w:rPr>
        <w:t>c</w:t>
      </w:r>
      <w:r w:rsidRPr="00DC3260">
        <w:rPr>
          <w:rFonts w:ascii="Arial" w:hAnsi="Arial" w:cs="Arial"/>
          <w:sz w:val="20"/>
          <w:szCs w:val="20"/>
        </w:rPr>
        <w:t>), the central horizontal line indicates the median, box limits represent the upper and lower quartiles (25th and 75th percentiles), and whiskers extend to 1.5× the interquartile range, with individual data points overlaid. Statistical significance was evaluated using two-sided Wilcoxon signed-rank tests comparing the conventional model (0.0% mucin, KUHIMM) and the optimized model (0.8% mucin, S</w:t>
      </w:r>
      <w:r w:rsidR="00E839E3">
        <w:rPr>
          <w:rFonts w:ascii="Arial" w:hAnsi="Arial" w:cs="Arial"/>
          <w:sz w:val="20"/>
          <w:szCs w:val="20"/>
        </w:rPr>
        <w:t>-</w:t>
      </w:r>
      <w:r w:rsidRPr="00DC3260">
        <w:rPr>
          <w:rFonts w:ascii="Arial" w:hAnsi="Arial" w:cs="Arial"/>
          <w:sz w:val="20"/>
          <w:szCs w:val="20"/>
        </w:rPr>
        <w:t>KUHIMM) within the same time point (*</w:t>
      </w:r>
      <w:r w:rsidRPr="00DC3260">
        <w:rPr>
          <w:rFonts w:ascii="Arial" w:hAnsi="Arial" w:cs="Arial"/>
          <w:i/>
          <w:iCs/>
          <w:sz w:val="20"/>
          <w:szCs w:val="20"/>
        </w:rPr>
        <w:t>P</w:t>
      </w:r>
      <w:r w:rsidRPr="00DC3260">
        <w:rPr>
          <w:rFonts w:ascii="Arial" w:hAnsi="Arial" w:cs="Arial"/>
          <w:sz w:val="20"/>
          <w:szCs w:val="20"/>
        </w:rPr>
        <w:t xml:space="preserve"> &lt; 0.05). All </w:t>
      </w:r>
      <w:r w:rsidRPr="00DC3260">
        <w:rPr>
          <w:rFonts w:ascii="Arial" w:hAnsi="Arial" w:cs="Arial"/>
          <w:i/>
          <w:iCs/>
          <w:sz w:val="20"/>
          <w:szCs w:val="20"/>
        </w:rPr>
        <w:t>P</w:t>
      </w:r>
      <w:r w:rsidRPr="00DC3260">
        <w:rPr>
          <w:rFonts w:ascii="Arial" w:hAnsi="Arial" w:cs="Arial"/>
          <w:sz w:val="20"/>
          <w:szCs w:val="20"/>
        </w:rPr>
        <w:t xml:space="preserve"> values are nominal and were calculated without adjustment for multiple comparisons.</w:t>
      </w:r>
    </w:p>
    <w:p w14:paraId="0B3A31F6" w14:textId="77777777" w:rsidR="006F7E66" w:rsidRDefault="006F7E66" w:rsidP="00346B63">
      <w:pPr>
        <w:rPr>
          <w:rFonts w:ascii="Arial" w:hAnsi="Arial" w:cs="Arial"/>
          <w:b/>
          <w:bCs/>
        </w:rPr>
      </w:pPr>
      <w:r>
        <w:rPr>
          <w:rFonts w:ascii="Arial" w:hAnsi="Arial" w:cs="Arial"/>
          <w:b/>
          <w:bCs/>
        </w:rPr>
        <w:br w:type="page"/>
      </w:r>
    </w:p>
    <w:p w14:paraId="340BE08B" w14:textId="102EF14F" w:rsidR="00014889" w:rsidRPr="004E645D" w:rsidRDefault="00014889" w:rsidP="00346B63">
      <w:pPr>
        <w:rPr>
          <w:rFonts w:ascii="Arial" w:hAnsi="Arial" w:cs="Arial"/>
          <w:b/>
          <w:bCs/>
        </w:rPr>
      </w:pPr>
    </w:p>
    <w:p w14:paraId="2E3490AC" w14:textId="4689CB14" w:rsidR="00014889" w:rsidRPr="00014889" w:rsidRDefault="00665F54" w:rsidP="00346B63">
      <w:pPr>
        <w:rPr>
          <w:rFonts w:ascii="Arial" w:hAnsi="Arial" w:cs="Arial"/>
          <w:b/>
          <w:bCs/>
        </w:rPr>
      </w:pPr>
      <w:r>
        <w:rPr>
          <w:rFonts w:ascii="Arial" w:hAnsi="Arial" w:cs="Arial"/>
          <w:b/>
          <w:bCs/>
          <w:noProof/>
        </w:rPr>
        <w:drawing>
          <wp:inline distT="0" distB="0" distL="0" distR="0" wp14:anchorId="2F408D8B" wp14:editId="0A7E1F8A">
            <wp:extent cx="5396230" cy="6216650"/>
            <wp:effectExtent l="0" t="0" r="0" b="0"/>
            <wp:docPr id="1314096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9613" name="図 131409613"/>
                    <pic:cNvPicPr/>
                  </pic:nvPicPr>
                  <pic:blipFill>
                    <a:blip r:embed="rId6"/>
                    <a:stretch>
                      <a:fillRect/>
                    </a:stretch>
                  </pic:blipFill>
                  <pic:spPr>
                    <a:xfrm>
                      <a:off x="0" y="0"/>
                      <a:ext cx="5396230" cy="6216650"/>
                    </a:xfrm>
                    <a:prstGeom prst="rect">
                      <a:avLst/>
                    </a:prstGeom>
                  </pic:spPr>
                </pic:pic>
              </a:graphicData>
            </a:graphic>
          </wp:inline>
        </w:drawing>
      </w:r>
    </w:p>
    <w:p w14:paraId="7E1556A7" w14:textId="77777777" w:rsidR="004E645D" w:rsidRDefault="004E645D" w:rsidP="00346B63">
      <w:pPr>
        <w:pStyle w:val="Web"/>
        <w:spacing w:before="0" w:beforeAutospacing="0" w:after="0" w:afterAutospacing="0"/>
        <w:rPr>
          <w:rFonts w:ascii="Arial" w:hAnsi="Arial" w:cs="Arial"/>
          <w:b/>
          <w:bCs/>
          <w:color w:val="1F1F1F"/>
          <w:sz w:val="27"/>
          <w:szCs w:val="27"/>
        </w:rPr>
      </w:pPr>
    </w:p>
    <w:p w14:paraId="3B231023" w14:textId="1CDD4567" w:rsidR="006F7E66" w:rsidRPr="00DC3260" w:rsidRDefault="006F7E66" w:rsidP="00346B63">
      <w:pPr>
        <w:pStyle w:val="Web"/>
        <w:spacing w:before="0" w:beforeAutospacing="0" w:after="0" w:afterAutospacing="0"/>
        <w:rPr>
          <w:rFonts w:ascii="Arial" w:hAnsi="Arial" w:cs="Arial"/>
          <w:b/>
          <w:bCs/>
          <w:sz w:val="20"/>
          <w:szCs w:val="20"/>
        </w:rPr>
      </w:pPr>
      <w:r w:rsidRPr="004E645D">
        <w:rPr>
          <w:rFonts w:ascii="Arial" w:hAnsi="Arial" w:cs="Arial"/>
          <w:b/>
          <w:bCs/>
        </w:rPr>
        <w:t xml:space="preserve">Supplementary </w:t>
      </w:r>
      <w:r w:rsidR="001161A4" w:rsidRPr="004E645D">
        <w:rPr>
          <w:rFonts w:ascii="Arial" w:hAnsi="Arial" w:cs="Arial"/>
          <w:b/>
          <w:bCs/>
        </w:rPr>
        <w:t>Fig.</w:t>
      </w:r>
      <w:r w:rsidR="001161A4" w:rsidRPr="004E645D">
        <w:rPr>
          <w:rFonts w:ascii="Arial" w:hAnsi="Arial" w:cs="Arial" w:hint="eastAsia"/>
          <w:b/>
          <w:bCs/>
        </w:rPr>
        <w:t xml:space="preserve"> </w:t>
      </w:r>
      <w:r w:rsidRPr="004E645D">
        <w:rPr>
          <w:rFonts w:ascii="Arial" w:hAnsi="Arial" w:cs="Arial"/>
          <w:b/>
          <w:bCs/>
        </w:rPr>
        <w:t xml:space="preserve">2 | Baseline diversity and taxonomic composition of the </w:t>
      </w:r>
      <w:r w:rsidRPr="004E645D">
        <w:rPr>
          <w:rFonts w:ascii="Arial" w:hAnsi="Arial" w:cs="Arial"/>
          <w:b/>
          <w:bCs/>
          <w:i/>
          <w:iCs/>
        </w:rPr>
        <w:t>in vitro</w:t>
      </w:r>
      <w:r w:rsidRPr="004E645D">
        <w:rPr>
          <w:rFonts w:ascii="Arial" w:hAnsi="Arial" w:cs="Arial"/>
          <w:b/>
          <w:bCs/>
        </w:rPr>
        <w:t xml:space="preserve"> ecosystem.</w:t>
      </w:r>
      <w:r w:rsidRPr="004E645D">
        <w:rPr>
          <w:rFonts w:ascii="Arial" w:hAnsi="Arial" w:cs="Arial"/>
        </w:rPr>
        <w:t xml:space="preserve"> </w:t>
      </w:r>
      <w:r w:rsidRPr="00DC3260">
        <w:rPr>
          <w:rFonts w:ascii="Arial" w:hAnsi="Arial" w:cs="Arial"/>
          <w:b/>
          <w:bCs/>
          <w:sz w:val="20"/>
          <w:szCs w:val="20"/>
        </w:rPr>
        <w:t>a</w:t>
      </w:r>
      <w:r w:rsidRPr="00DC3260">
        <w:rPr>
          <w:rFonts w:ascii="Arial" w:hAnsi="Arial" w:cs="Arial"/>
          <w:sz w:val="20"/>
          <w:szCs w:val="20"/>
        </w:rPr>
        <w:t xml:space="preserve">, Alpha diversity. Box plots showing the Shannon diversity index and the number of observed amplicon sequence variants in the native inoculum feces (Feces) and the corresponding unsupplemented </w:t>
      </w:r>
      <w:r w:rsidRPr="00DC3260">
        <w:rPr>
          <w:rFonts w:ascii="Arial" w:hAnsi="Arial" w:cs="Arial"/>
          <w:i/>
          <w:iCs/>
          <w:sz w:val="20"/>
          <w:szCs w:val="20"/>
        </w:rPr>
        <w:t>in vitro</w:t>
      </w:r>
      <w:r w:rsidRPr="00DC3260">
        <w:rPr>
          <w:rFonts w:ascii="Arial" w:hAnsi="Arial" w:cs="Arial"/>
          <w:sz w:val="20"/>
          <w:szCs w:val="20"/>
        </w:rPr>
        <w:t xml:space="preserve"> cultures (Control). </w:t>
      </w:r>
      <w:r w:rsidRPr="00DC3260">
        <w:rPr>
          <w:rFonts w:ascii="Arial" w:hAnsi="Arial" w:cs="Arial"/>
          <w:b/>
          <w:bCs/>
          <w:sz w:val="20"/>
          <w:szCs w:val="20"/>
        </w:rPr>
        <w:t>b</w:t>
      </w:r>
      <w:r w:rsidRPr="00DC3260">
        <w:rPr>
          <w:rFonts w:ascii="Arial" w:hAnsi="Arial" w:cs="Arial"/>
          <w:sz w:val="20"/>
          <w:szCs w:val="20"/>
        </w:rPr>
        <w:t xml:space="preserve">, Taxonomic composition. Stacked bar charts illustrating the mean relative abundances of bacterial taxa at the phylum, class, order, and family levels in the Feces and Control groups. Taxa are ordered based on their </w:t>
      </w:r>
      <w:r w:rsidRPr="00DC3260">
        <w:rPr>
          <w:rFonts w:ascii="Arial" w:hAnsi="Arial" w:cs="Arial"/>
          <w:sz w:val="20"/>
          <w:szCs w:val="20"/>
        </w:rPr>
        <w:lastRenderedPageBreak/>
        <w:t xml:space="preserve">mean relative abundance in the Feces group, with hierarchical color mapping applied consistently across all taxonomic levels to visualize structural fidelity. For both panels, </w:t>
      </w:r>
      <w:r w:rsidRPr="00DC3260">
        <w:rPr>
          <w:rFonts w:ascii="Arial" w:hAnsi="Arial" w:cs="Arial"/>
          <w:i/>
          <w:iCs/>
          <w:sz w:val="20"/>
          <w:szCs w:val="20"/>
        </w:rPr>
        <w:t>n</w:t>
      </w:r>
      <w:r w:rsidRPr="00DC3260">
        <w:rPr>
          <w:rFonts w:ascii="Arial" w:hAnsi="Arial" w:cs="Arial"/>
          <w:sz w:val="20"/>
          <w:szCs w:val="20"/>
        </w:rPr>
        <w:t xml:space="preserve"> = 48 biologically independent human donors were analyzed. In the box plots (</w:t>
      </w:r>
      <w:r w:rsidRPr="00DC3260">
        <w:rPr>
          <w:rFonts w:ascii="Arial" w:hAnsi="Arial" w:cs="Arial"/>
          <w:b/>
          <w:bCs/>
          <w:sz w:val="20"/>
          <w:szCs w:val="20"/>
        </w:rPr>
        <w:t>a</w:t>
      </w:r>
      <w:r w:rsidRPr="00DC3260">
        <w:rPr>
          <w:rFonts w:ascii="Arial" w:hAnsi="Arial" w:cs="Arial"/>
          <w:sz w:val="20"/>
          <w:szCs w:val="20"/>
        </w:rPr>
        <w:t>), the central horizontal line indicates the median, box limits represent the upper and lower quartiles (25th and 75th percentiles), and whiskers extend to 1.5</w:t>
      </w:r>
      <w:r w:rsidR="00475B28">
        <w:rPr>
          <w:rFonts w:ascii="Arial" w:hAnsi="Arial" w:cs="Arial"/>
          <w:sz w:val="20"/>
          <w:szCs w:val="20"/>
        </w:rPr>
        <w:t xml:space="preserve"> </w:t>
      </w:r>
      <w:r w:rsidRPr="00DC3260">
        <w:rPr>
          <w:rFonts w:ascii="Arial" w:hAnsi="Arial" w:cs="Arial"/>
          <w:sz w:val="20"/>
          <w:szCs w:val="20"/>
        </w:rPr>
        <w:t xml:space="preserve">× the interquartile range, with individual data points overlaid. Statistical differences in </w:t>
      </w:r>
      <w:r w:rsidRPr="00DC3260">
        <w:rPr>
          <w:rFonts w:ascii="Arial" w:hAnsi="Arial" w:cs="Arial"/>
          <w:b/>
          <w:bCs/>
          <w:sz w:val="20"/>
          <w:szCs w:val="20"/>
        </w:rPr>
        <w:t>a</w:t>
      </w:r>
      <w:r w:rsidRPr="00DC3260">
        <w:rPr>
          <w:rFonts w:ascii="Arial" w:hAnsi="Arial" w:cs="Arial"/>
          <w:sz w:val="20"/>
          <w:szCs w:val="20"/>
        </w:rPr>
        <w:t xml:space="preserve"> were assessed using two-sided Wilcoxon signed</w:t>
      </w:r>
      <w:r w:rsidR="00E839E3">
        <w:rPr>
          <w:rFonts w:ascii="Arial" w:hAnsi="Arial" w:cs="Arial"/>
          <w:sz w:val="20"/>
          <w:szCs w:val="20"/>
        </w:rPr>
        <w:t>-</w:t>
      </w:r>
      <w:r w:rsidRPr="00DC3260">
        <w:rPr>
          <w:rFonts w:ascii="Arial" w:hAnsi="Arial" w:cs="Arial"/>
          <w:sz w:val="20"/>
          <w:szCs w:val="20"/>
        </w:rPr>
        <w:t>rank tests.</w:t>
      </w:r>
    </w:p>
    <w:p w14:paraId="4B2EE9E7" w14:textId="77777777" w:rsidR="006F7E66" w:rsidRDefault="006F7E66" w:rsidP="00346B63">
      <w:pPr>
        <w:rPr>
          <w:rFonts w:ascii="Arial" w:hAnsi="Arial" w:cs="Arial"/>
          <w:b/>
          <w:bCs/>
        </w:rPr>
      </w:pPr>
      <w:r>
        <w:rPr>
          <w:rFonts w:ascii="Arial" w:hAnsi="Arial" w:cs="Arial"/>
          <w:b/>
          <w:bCs/>
        </w:rPr>
        <w:br w:type="page"/>
      </w:r>
    </w:p>
    <w:p w14:paraId="568F5F88" w14:textId="61EFC1CB" w:rsidR="00895668" w:rsidRPr="009D2FC5" w:rsidRDefault="00895668" w:rsidP="00346B63">
      <w:pPr>
        <w:rPr>
          <w:rFonts w:ascii="Arial" w:hAnsi="Arial" w:cs="Arial"/>
          <w:color w:val="1F1F1F"/>
        </w:rPr>
      </w:pPr>
    </w:p>
    <w:p w14:paraId="70558A59" w14:textId="2183F519" w:rsidR="00C613A0" w:rsidRDefault="00665F54" w:rsidP="00346B63">
      <w:pPr>
        <w:rPr>
          <w:rFonts w:ascii="Arial" w:hAnsi="Arial" w:cs="Arial"/>
          <w:color w:val="1F1F1F"/>
        </w:rPr>
      </w:pPr>
      <w:r>
        <w:rPr>
          <w:rFonts w:ascii="Arial" w:hAnsi="Arial" w:cs="Arial"/>
          <w:noProof/>
          <w:color w:val="1F1F1F"/>
        </w:rPr>
        <w:drawing>
          <wp:inline distT="0" distB="0" distL="0" distR="0" wp14:anchorId="5E5E73A2" wp14:editId="6E768598">
            <wp:extent cx="5396230" cy="6936740"/>
            <wp:effectExtent l="0" t="0" r="0" b="0"/>
            <wp:docPr id="212894162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41621" name="図 2128941621"/>
                    <pic:cNvPicPr/>
                  </pic:nvPicPr>
                  <pic:blipFill>
                    <a:blip r:embed="rId7"/>
                    <a:stretch>
                      <a:fillRect/>
                    </a:stretch>
                  </pic:blipFill>
                  <pic:spPr>
                    <a:xfrm>
                      <a:off x="0" y="0"/>
                      <a:ext cx="5396230" cy="6936740"/>
                    </a:xfrm>
                    <a:prstGeom prst="rect">
                      <a:avLst/>
                    </a:prstGeom>
                  </pic:spPr>
                </pic:pic>
              </a:graphicData>
            </a:graphic>
          </wp:inline>
        </w:drawing>
      </w:r>
    </w:p>
    <w:p w14:paraId="7D844547" w14:textId="77777777" w:rsidR="009D2FC5" w:rsidRDefault="009D2FC5" w:rsidP="00346B63">
      <w:pPr>
        <w:rPr>
          <w:rFonts w:ascii="Arial" w:hAnsi="Arial" w:cs="Arial"/>
          <w:b/>
          <w:bCs/>
        </w:rPr>
      </w:pPr>
    </w:p>
    <w:p w14:paraId="75E893DD" w14:textId="4D42B0F1" w:rsidR="00AE2200" w:rsidRPr="009976D5" w:rsidRDefault="006F7E66" w:rsidP="00346B63">
      <w:pPr>
        <w:rPr>
          <w:rFonts w:ascii="Arial" w:hAnsi="Arial" w:cs="Arial"/>
          <w:b/>
          <w:bCs/>
        </w:rPr>
      </w:pPr>
      <w:r w:rsidRPr="009D2FC5">
        <w:rPr>
          <w:rFonts w:ascii="Arial" w:hAnsi="Arial" w:cs="Arial"/>
          <w:b/>
          <w:bCs/>
        </w:rPr>
        <w:t xml:space="preserve">Supplementary </w:t>
      </w:r>
      <w:r w:rsidR="001161A4" w:rsidRPr="009D2FC5">
        <w:rPr>
          <w:rFonts w:ascii="Arial" w:hAnsi="Arial" w:cs="Arial"/>
          <w:b/>
          <w:bCs/>
        </w:rPr>
        <w:t>Fig.</w:t>
      </w:r>
      <w:r w:rsidR="001161A4" w:rsidRPr="009D2FC5">
        <w:rPr>
          <w:rFonts w:ascii="Arial" w:hAnsi="Arial" w:cs="Arial" w:hint="eastAsia"/>
          <w:b/>
          <w:bCs/>
        </w:rPr>
        <w:t xml:space="preserve"> </w:t>
      </w:r>
      <w:r w:rsidRPr="009D2FC5">
        <w:rPr>
          <w:rFonts w:ascii="Arial" w:hAnsi="Arial" w:cs="Arial"/>
          <w:b/>
          <w:bCs/>
        </w:rPr>
        <w:t>3 | Global metabolic landscape and the methodological rationale for absolute quantification in resolving precision stratification.</w:t>
      </w:r>
      <w:r w:rsidRPr="00DC3260">
        <w:rPr>
          <w:rFonts w:ascii="Arial" w:hAnsi="Arial" w:cs="Arial"/>
          <w:sz w:val="20"/>
          <w:szCs w:val="20"/>
        </w:rPr>
        <w:t xml:space="preserve"> </w:t>
      </w:r>
      <w:r w:rsidRPr="00DC3260">
        <w:rPr>
          <w:rFonts w:ascii="Arial" w:hAnsi="Arial" w:cs="Arial"/>
          <w:b/>
          <w:bCs/>
          <w:sz w:val="20"/>
          <w:szCs w:val="20"/>
        </w:rPr>
        <w:t>a</w:t>
      </w:r>
      <w:r w:rsidRPr="00DC3260">
        <w:rPr>
          <w:rFonts w:ascii="Arial" w:hAnsi="Arial" w:cs="Arial"/>
          <w:sz w:val="20"/>
          <w:szCs w:val="20"/>
        </w:rPr>
        <w:t xml:space="preserve">, Distribution of propionate </w:t>
      </w:r>
      <w:r w:rsidR="008218E6">
        <w:rPr>
          <w:rFonts w:ascii="Arial" w:hAnsi="Arial" w:cs="Arial"/>
          <w:sz w:val="20"/>
          <w:szCs w:val="20"/>
        </w:rPr>
        <w:t>Log2</w:t>
      </w:r>
      <w:r w:rsidRPr="00DC3260">
        <w:rPr>
          <w:rFonts w:ascii="Arial" w:hAnsi="Arial" w:cs="Arial"/>
          <w:sz w:val="20"/>
          <w:szCs w:val="20"/>
        </w:rPr>
        <w:t xml:space="preserve"> fold change (</w:t>
      </w:r>
      <w:r w:rsidR="008218E6">
        <w:rPr>
          <w:rFonts w:ascii="Arial" w:hAnsi="Arial" w:cs="Arial"/>
          <w:sz w:val="20"/>
          <w:szCs w:val="20"/>
        </w:rPr>
        <w:t>Log2</w:t>
      </w:r>
      <w:r w:rsidRPr="00DC3260">
        <w:rPr>
          <w:rFonts w:ascii="Arial" w:hAnsi="Arial" w:cs="Arial"/>
          <w:sz w:val="20"/>
          <w:szCs w:val="20"/>
        </w:rPr>
        <w:t xml:space="preserve">FC). Box plots show the </w:t>
      </w:r>
      <w:r w:rsidRPr="00DC3260">
        <w:rPr>
          <w:rFonts w:ascii="Arial" w:hAnsi="Arial" w:cs="Arial"/>
          <w:sz w:val="20"/>
          <w:szCs w:val="20"/>
        </w:rPr>
        <w:lastRenderedPageBreak/>
        <w:t xml:space="preserve">relative change in propionate concentration from the baseline for resistant maltodextrin (RMD), resistant starch (RS), </w:t>
      </w:r>
      <w:r w:rsidR="00496B63">
        <w:rPr>
          <w:rFonts w:ascii="Arial" w:hAnsi="Arial" w:cs="Arial"/>
          <w:sz w:val="20"/>
          <w:szCs w:val="20"/>
        </w:rPr>
        <w:t>D-</w:t>
      </w:r>
      <w:r w:rsidR="00496B63" w:rsidRPr="00DC3260">
        <w:rPr>
          <w:rFonts w:ascii="Arial" w:hAnsi="Arial" w:cs="Arial"/>
          <w:sz w:val="20"/>
          <w:szCs w:val="20"/>
        </w:rPr>
        <w:t>mannose</w:t>
      </w:r>
      <w:r w:rsidRPr="00DC3260">
        <w:rPr>
          <w:rFonts w:ascii="Arial" w:hAnsi="Arial" w:cs="Arial"/>
          <w:sz w:val="20"/>
          <w:szCs w:val="20"/>
        </w:rPr>
        <w:t xml:space="preserve">, inulin, xylitol, and erythritol. While </w:t>
      </w:r>
      <w:r w:rsidR="008218E6">
        <w:rPr>
          <w:rFonts w:ascii="Arial" w:hAnsi="Arial" w:cs="Arial"/>
          <w:sz w:val="20"/>
          <w:szCs w:val="20"/>
        </w:rPr>
        <w:t>Log2</w:t>
      </w:r>
      <w:r w:rsidRPr="00DC3260">
        <w:rPr>
          <w:rFonts w:ascii="Arial" w:hAnsi="Arial" w:cs="Arial"/>
          <w:sz w:val="20"/>
          <w:szCs w:val="20"/>
        </w:rPr>
        <w:t xml:space="preserve">FC is an effective metric for global statistical screening, this relative metric inherently amplifies stochastic noise in low-baseline donors and compresses massive metabolic outputs in high-baseline donors. This mathematical distortion necessitates the use of absolute concentration changes (ΔmM) for rigorous physiological evaluations. </w:t>
      </w:r>
      <w:r w:rsidRPr="00DC3260">
        <w:rPr>
          <w:rFonts w:ascii="Arial" w:hAnsi="Arial" w:cs="Arial"/>
          <w:b/>
          <w:bCs/>
          <w:sz w:val="20"/>
          <w:szCs w:val="20"/>
        </w:rPr>
        <w:t>b</w:t>
      </w:r>
      <w:r w:rsidRPr="00DC3260">
        <w:rPr>
          <w:rFonts w:ascii="Arial" w:hAnsi="Arial" w:cs="Arial"/>
          <w:sz w:val="20"/>
          <w:szCs w:val="20"/>
        </w:rPr>
        <w:t xml:space="preserve">, Heterogeneity map of propionate production. Scatter plot of the mean </w:t>
      </w:r>
      <w:r w:rsidR="008218E6">
        <w:rPr>
          <w:rFonts w:ascii="Arial" w:hAnsi="Arial" w:cs="Arial"/>
          <w:sz w:val="20"/>
          <w:szCs w:val="20"/>
        </w:rPr>
        <w:t>Log2</w:t>
      </w:r>
      <w:r w:rsidRPr="00DC3260">
        <w:rPr>
          <w:rFonts w:ascii="Arial" w:hAnsi="Arial" w:cs="Arial"/>
          <w:sz w:val="20"/>
          <w:szCs w:val="20"/>
        </w:rPr>
        <w:t xml:space="preserve">FC versus the standard deviation of </w:t>
      </w:r>
      <w:r w:rsidR="008218E6">
        <w:rPr>
          <w:rFonts w:ascii="Arial" w:hAnsi="Arial" w:cs="Arial"/>
          <w:sz w:val="20"/>
          <w:szCs w:val="20"/>
        </w:rPr>
        <w:t>Log2</w:t>
      </w:r>
      <w:r w:rsidRPr="00DC3260">
        <w:rPr>
          <w:rFonts w:ascii="Arial" w:hAnsi="Arial" w:cs="Arial"/>
          <w:sz w:val="20"/>
          <w:szCs w:val="20"/>
        </w:rPr>
        <w:t xml:space="preserve">FC across 177 substrates. The six representative substrates are highlighted, revealing distinct population-level behaviors ranging from robust responses (RMD, inulin) to </w:t>
      </w:r>
      <w:r w:rsidR="005806A7" w:rsidRPr="00DC3260">
        <w:rPr>
          <w:rFonts w:ascii="Arial" w:hAnsi="Arial" w:cs="Arial"/>
          <w:sz w:val="20"/>
          <w:szCs w:val="20"/>
        </w:rPr>
        <w:t xml:space="preserve">individual </w:t>
      </w:r>
      <w:r w:rsidR="00DC3260" w:rsidRPr="00DC3260">
        <w:rPr>
          <w:rFonts w:ascii="Arial" w:hAnsi="Arial" w:cs="Arial"/>
          <w:sz w:val="20"/>
          <w:szCs w:val="20"/>
        </w:rPr>
        <w:t>silent</w:t>
      </w:r>
      <w:r w:rsidRPr="00DC3260">
        <w:rPr>
          <w:rFonts w:ascii="Arial" w:hAnsi="Arial" w:cs="Arial"/>
          <w:sz w:val="20"/>
          <w:szCs w:val="20"/>
        </w:rPr>
        <w:t xml:space="preserve"> </w:t>
      </w:r>
      <w:r w:rsidR="005806A7">
        <w:rPr>
          <w:rFonts w:ascii="Arial" w:hAnsi="Arial" w:cs="Arial"/>
          <w:sz w:val="20"/>
          <w:szCs w:val="20"/>
        </w:rPr>
        <w:t>heterogeneity</w:t>
      </w:r>
      <w:r w:rsidRPr="00DC3260">
        <w:rPr>
          <w:rFonts w:ascii="Arial" w:hAnsi="Arial" w:cs="Arial"/>
          <w:sz w:val="20"/>
          <w:szCs w:val="20"/>
        </w:rPr>
        <w:t xml:space="preserve"> (</w:t>
      </w:r>
      <w:r w:rsidR="005806A7">
        <w:rPr>
          <w:rFonts w:ascii="Arial" w:hAnsi="Arial" w:cs="Arial"/>
          <w:sz w:val="20"/>
          <w:szCs w:val="20"/>
        </w:rPr>
        <w:t xml:space="preserve">e.g., </w:t>
      </w:r>
      <w:r w:rsidR="00496B63">
        <w:rPr>
          <w:rFonts w:ascii="Arial" w:hAnsi="Arial" w:cs="Arial"/>
          <w:sz w:val="20"/>
          <w:szCs w:val="20"/>
        </w:rPr>
        <w:t>D-</w:t>
      </w:r>
      <w:r w:rsidRPr="00DC3260">
        <w:rPr>
          <w:rFonts w:ascii="Arial" w:hAnsi="Arial" w:cs="Arial"/>
          <w:sz w:val="20"/>
          <w:szCs w:val="20"/>
        </w:rPr>
        <w:t xml:space="preserve">mannose). </w:t>
      </w:r>
      <w:r w:rsidRPr="00DC3260">
        <w:rPr>
          <w:rFonts w:ascii="Arial" w:hAnsi="Arial" w:cs="Arial"/>
          <w:b/>
          <w:bCs/>
          <w:sz w:val="20"/>
          <w:szCs w:val="20"/>
        </w:rPr>
        <w:t>c</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xml:space="preserve">, Absolute quantification outperforms relative profiling in resolving metabolic heterogeneity. Correlation analysis comparing the predictive accuracy of </w:t>
      </w:r>
      <w:r w:rsidRPr="00DC3260">
        <w:rPr>
          <w:rFonts w:ascii="Arial" w:hAnsi="Arial" w:cs="Arial"/>
          <w:i/>
          <w:iCs/>
          <w:sz w:val="20"/>
          <w:szCs w:val="20"/>
        </w:rPr>
        <w:t>Bacteroides</w:t>
      </w:r>
      <w:r w:rsidRPr="00DC3260">
        <w:rPr>
          <w:rFonts w:ascii="Arial" w:hAnsi="Arial" w:cs="Arial"/>
          <w:sz w:val="20"/>
          <w:szCs w:val="20"/>
        </w:rPr>
        <w:t xml:space="preserve"> abundance dynamics measured via 16S rRNA gene sequencing (relative profiling, %) against </w:t>
      </w:r>
      <w:proofErr w:type="spellStart"/>
      <w:r w:rsidRPr="00DC3260">
        <w:rPr>
          <w:rFonts w:ascii="Arial" w:hAnsi="Arial" w:cs="Arial"/>
          <w:sz w:val="20"/>
          <w:szCs w:val="20"/>
        </w:rPr>
        <w:t>Δ</w:t>
      </w:r>
      <w:r w:rsidR="00753E09">
        <w:rPr>
          <w:rFonts w:ascii="Arial" w:hAnsi="Arial" w:cs="Arial"/>
          <w:sz w:val="20"/>
          <w:szCs w:val="20"/>
        </w:rPr>
        <w:t>p</w:t>
      </w:r>
      <w:r w:rsidRPr="00DC3260">
        <w:rPr>
          <w:rFonts w:ascii="Arial" w:hAnsi="Arial" w:cs="Arial"/>
          <w:sz w:val="20"/>
          <w:szCs w:val="20"/>
        </w:rPr>
        <w:t>ropionate</w:t>
      </w:r>
      <w:proofErr w:type="spellEnd"/>
      <w:r w:rsidRPr="00DC3260">
        <w:rPr>
          <w:rFonts w:ascii="Arial" w:hAnsi="Arial" w:cs="Arial"/>
          <w:sz w:val="20"/>
          <w:szCs w:val="20"/>
        </w:rPr>
        <w:t xml:space="preserve"> for RMD (</w:t>
      </w:r>
      <w:r w:rsidRPr="00DC3260">
        <w:rPr>
          <w:rFonts w:ascii="Arial" w:hAnsi="Arial" w:cs="Arial"/>
          <w:b/>
          <w:bCs/>
          <w:sz w:val="20"/>
          <w:szCs w:val="20"/>
        </w:rPr>
        <w:t>c</w:t>
      </w:r>
      <w:r w:rsidRPr="00DC3260">
        <w:rPr>
          <w:rFonts w:ascii="Arial" w:hAnsi="Arial" w:cs="Arial"/>
          <w:sz w:val="20"/>
          <w:szCs w:val="20"/>
        </w:rPr>
        <w:t>), RS (</w:t>
      </w:r>
      <w:r w:rsidRPr="00DC3260">
        <w:rPr>
          <w:rFonts w:ascii="Arial" w:hAnsi="Arial" w:cs="Arial"/>
          <w:b/>
          <w:bCs/>
          <w:sz w:val="20"/>
          <w:szCs w:val="20"/>
        </w:rPr>
        <w:t>d</w:t>
      </w:r>
      <w:r w:rsidRPr="00DC3260">
        <w:rPr>
          <w:rFonts w:ascii="Arial" w:hAnsi="Arial" w:cs="Arial"/>
          <w:sz w:val="20"/>
          <w:szCs w:val="20"/>
        </w:rPr>
        <w:t xml:space="preserve">), and </w:t>
      </w:r>
      <w:r w:rsidR="00496B63">
        <w:rPr>
          <w:rFonts w:ascii="Arial" w:hAnsi="Arial" w:cs="Arial"/>
          <w:sz w:val="20"/>
          <w:szCs w:val="20"/>
        </w:rPr>
        <w:t>D-</w:t>
      </w:r>
      <w:r w:rsidR="00496B63" w:rsidRPr="00DC3260">
        <w:rPr>
          <w:rFonts w:ascii="Arial" w:hAnsi="Arial" w:cs="Arial"/>
          <w:sz w:val="20"/>
          <w:szCs w:val="20"/>
        </w:rPr>
        <w:t xml:space="preserve">mannose </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While relative microbial shifts correlate with metabolic output, the correlation coefficients (</w:t>
      </w:r>
      <w:r w:rsidRPr="00DC3260">
        <w:rPr>
          <w:rFonts w:ascii="Arial" w:hAnsi="Arial" w:cs="Arial"/>
          <w:i/>
          <w:iCs/>
          <w:sz w:val="20"/>
          <w:szCs w:val="20"/>
        </w:rPr>
        <w:t>r</w:t>
      </w:r>
      <w:r w:rsidRPr="00DC3260">
        <w:rPr>
          <w:rFonts w:ascii="Arial" w:hAnsi="Arial" w:cs="Arial"/>
          <w:sz w:val="20"/>
          <w:szCs w:val="20"/>
        </w:rPr>
        <w:t>) derived from relative profiling are inherently lower than those achieved through the absolute quantification (Δ</w:t>
      </w:r>
      <w:r w:rsidR="003575BC">
        <w:rPr>
          <w:rFonts w:ascii="Arial" w:hAnsi="Arial" w:cs="Arial"/>
          <w:sz w:val="20"/>
          <w:szCs w:val="20"/>
        </w:rPr>
        <w:t>L</w:t>
      </w:r>
      <w:r w:rsidRPr="00DC3260">
        <w:rPr>
          <w:rFonts w:ascii="Arial" w:hAnsi="Arial" w:cs="Arial"/>
          <w:sz w:val="20"/>
          <w:szCs w:val="20"/>
        </w:rPr>
        <w:t>og10 copies/mL) utilized in the S-KUHIMM framework. Furthermore, metabolic responses fundamentally fail to correlate with the initial baseline abundance, correlating only with the final (Post) abundance and the dynamic change (Δ). This highlights the critical necessity of measuring absolute substrate-induced guild expansion rather than relying on relative compositional data or static baselines. For the metabolic profiling (</w:t>
      </w:r>
      <w:r w:rsidRPr="00DC3260">
        <w:rPr>
          <w:rFonts w:ascii="Arial" w:hAnsi="Arial" w:cs="Arial"/>
          <w:b/>
          <w:bCs/>
          <w:sz w:val="20"/>
          <w:szCs w:val="20"/>
        </w:rPr>
        <w:t>a</w:t>
      </w:r>
      <w:r w:rsidRPr="00DC3260">
        <w:rPr>
          <w:rFonts w:ascii="Arial" w:hAnsi="Arial" w:cs="Arial"/>
          <w:sz w:val="20"/>
          <w:szCs w:val="20"/>
        </w:rPr>
        <w:t xml:space="preserve">, </w:t>
      </w:r>
      <w:r w:rsidRPr="00DC3260">
        <w:rPr>
          <w:rFonts w:ascii="Arial" w:hAnsi="Arial" w:cs="Arial"/>
          <w:b/>
          <w:bCs/>
          <w:sz w:val="20"/>
          <w:szCs w:val="20"/>
        </w:rPr>
        <w:t>b</w:t>
      </w:r>
      <w:r w:rsidRPr="00DC3260">
        <w:rPr>
          <w:rFonts w:ascii="Arial" w:hAnsi="Arial" w:cs="Arial"/>
          <w:sz w:val="20"/>
          <w:szCs w:val="20"/>
        </w:rPr>
        <w:t xml:space="preserve">), </w:t>
      </w:r>
      <w:r w:rsidRPr="00DC3260">
        <w:rPr>
          <w:rFonts w:ascii="Arial" w:hAnsi="Arial" w:cs="Arial"/>
          <w:i/>
          <w:iCs/>
          <w:sz w:val="20"/>
          <w:szCs w:val="20"/>
        </w:rPr>
        <w:t>n</w:t>
      </w:r>
      <w:r w:rsidRPr="00DC3260">
        <w:rPr>
          <w:rFonts w:ascii="Arial" w:hAnsi="Arial" w:cs="Arial"/>
          <w:sz w:val="20"/>
          <w:szCs w:val="20"/>
        </w:rPr>
        <w:t xml:space="preserve"> = 52 biologically independent human donors were analyzed. For 16S rRNA gene sequencing data (</w:t>
      </w:r>
      <w:r w:rsidRPr="00DC3260">
        <w:rPr>
          <w:rFonts w:ascii="Arial" w:hAnsi="Arial" w:cs="Arial"/>
          <w:b/>
          <w:bCs/>
          <w:sz w:val="20"/>
          <w:szCs w:val="20"/>
        </w:rPr>
        <w:t>c</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xml:space="preserve">), </w:t>
      </w:r>
      <w:r w:rsidRPr="00DC3260">
        <w:rPr>
          <w:rFonts w:ascii="Arial" w:hAnsi="Arial" w:cs="Arial"/>
          <w:i/>
          <w:iCs/>
          <w:sz w:val="20"/>
          <w:szCs w:val="20"/>
        </w:rPr>
        <w:t>n</w:t>
      </w:r>
      <w:r w:rsidRPr="00DC3260">
        <w:rPr>
          <w:rFonts w:ascii="Arial" w:hAnsi="Arial" w:cs="Arial"/>
          <w:sz w:val="20"/>
          <w:szCs w:val="20"/>
        </w:rPr>
        <w:t xml:space="preserve"> = 48 biologically independent human donors were evaluated. In the box plots (</w:t>
      </w:r>
      <w:r w:rsidRPr="00DC3260">
        <w:rPr>
          <w:rFonts w:ascii="Arial" w:hAnsi="Arial" w:cs="Arial"/>
          <w:b/>
          <w:bCs/>
          <w:sz w:val="20"/>
          <w:szCs w:val="20"/>
        </w:rPr>
        <w:t>a</w:t>
      </w:r>
      <w:r w:rsidRPr="00DC3260">
        <w:rPr>
          <w:rFonts w:ascii="Arial" w:hAnsi="Arial" w:cs="Arial"/>
          <w:sz w:val="20"/>
          <w:szCs w:val="20"/>
        </w:rPr>
        <w:t xml:space="preserve">), the central horizontal line indicates the median, box limits represent the upper and lower quartiles (25th and 75th percentiles), and whiskers extend to 1.5× the interquartile range, with individual data points overlaid. Statistical significance in </w:t>
      </w:r>
      <w:r w:rsidRPr="00DC3260">
        <w:rPr>
          <w:rFonts w:ascii="Arial" w:hAnsi="Arial" w:cs="Arial"/>
          <w:b/>
          <w:bCs/>
          <w:sz w:val="20"/>
          <w:szCs w:val="20"/>
        </w:rPr>
        <w:t>a</w:t>
      </w:r>
      <w:r w:rsidRPr="00DC3260">
        <w:rPr>
          <w:rFonts w:ascii="Arial" w:hAnsi="Arial" w:cs="Arial"/>
          <w:sz w:val="20"/>
          <w:szCs w:val="20"/>
        </w:rPr>
        <w:t xml:space="preserve"> was evaluated using Benjamin</w:t>
      </w:r>
      <w:r w:rsidRPr="00496B63">
        <w:rPr>
          <w:rFonts w:ascii="Arial" w:hAnsi="Arial" w:cs="Arial"/>
          <w:sz w:val="20"/>
          <w:szCs w:val="20"/>
        </w:rPr>
        <w:t>i</w:t>
      </w:r>
      <w:r w:rsidR="00496B63" w:rsidRPr="00496B63">
        <w:rPr>
          <w:rFonts w:ascii="Arial" w:hAnsi="Arial" w:cs="Arial"/>
          <w:sz w:val="20"/>
          <w:szCs w:val="20"/>
        </w:rPr>
        <w:t>–</w:t>
      </w:r>
      <w:r w:rsidRPr="00496B63">
        <w:rPr>
          <w:rFonts w:ascii="Arial" w:hAnsi="Arial" w:cs="Arial"/>
          <w:sz w:val="20"/>
          <w:szCs w:val="20"/>
        </w:rPr>
        <w:t>H</w:t>
      </w:r>
      <w:r w:rsidRPr="00DC3260">
        <w:rPr>
          <w:rFonts w:ascii="Arial" w:hAnsi="Arial" w:cs="Arial"/>
          <w:sz w:val="20"/>
          <w:szCs w:val="20"/>
        </w:rPr>
        <w:t>ochberg false discovery rate (FDR) correction across the library (*</w:t>
      </w:r>
      <w:r w:rsidRPr="00DC3260">
        <w:rPr>
          <w:rFonts w:ascii="Arial" w:hAnsi="Arial" w:cs="Arial"/>
          <w:i/>
          <w:iCs/>
          <w:sz w:val="20"/>
          <w:szCs w:val="20"/>
        </w:rPr>
        <w:t>q</w:t>
      </w:r>
      <w:r w:rsidRPr="00DC3260">
        <w:rPr>
          <w:rFonts w:ascii="Arial" w:hAnsi="Arial" w:cs="Arial"/>
          <w:sz w:val="20"/>
          <w:szCs w:val="20"/>
        </w:rPr>
        <w:t xml:space="preserve"> &lt; 0.05, ***</w:t>
      </w:r>
      <w:r w:rsidRPr="00DC3260">
        <w:rPr>
          <w:rFonts w:ascii="Arial" w:hAnsi="Arial" w:cs="Arial"/>
          <w:i/>
          <w:iCs/>
          <w:sz w:val="20"/>
          <w:szCs w:val="20"/>
        </w:rPr>
        <w:t>q</w:t>
      </w:r>
      <w:r w:rsidRPr="00DC3260">
        <w:rPr>
          <w:rFonts w:ascii="Arial" w:hAnsi="Arial" w:cs="Arial"/>
          <w:sz w:val="20"/>
          <w:szCs w:val="20"/>
        </w:rPr>
        <w:t xml:space="preserve"> &lt; 0.001). For the scatter plots (</w:t>
      </w:r>
      <w:r w:rsidRPr="00DC3260">
        <w:rPr>
          <w:rFonts w:ascii="Arial" w:hAnsi="Arial" w:cs="Arial"/>
          <w:b/>
          <w:bCs/>
          <w:sz w:val="20"/>
          <w:szCs w:val="20"/>
        </w:rPr>
        <w:t>c</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solid lines represent linear regression. Significance for correlations was determined using Pearson's correlation coefficient (</w:t>
      </w:r>
      <w:r w:rsidRPr="00DC3260">
        <w:rPr>
          <w:rFonts w:ascii="Arial" w:hAnsi="Arial" w:cs="Arial"/>
          <w:i/>
          <w:iCs/>
          <w:sz w:val="20"/>
          <w:szCs w:val="20"/>
        </w:rPr>
        <w:t>r</w:t>
      </w:r>
      <w:r w:rsidRPr="00DC3260">
        <w:rPr>
          <w:rFonts w:ascii="Arial" w:hAnsi="Arial" w:cs="Arial"/>
          <w:sz w:val="20"/>
          <w:szCs w:val="20"/>
        </w:rPr>
        <w:t>) followed by FDR correction (</w:t>
      </w:r>
      <w:r w:rsidRPr="00DC3260">
        <w:rPr>
          <w:rFonts w:ascii="Arial" w:hAnsi="Arial" w:cs="Arial"/>
          <w:i/>
          <w:iCs/>
          <w:sz w:val="20"/>
          <w:szCs w:val="20"/>
        </w:rPr>
        <w:t>q</w:t>
      </w:r>
      <w:r w:rsidRPr="00DC3260">
        <w:rPr>
          <w:rFonts w:ascii="Arial" w:hAnsi="Arial" w:cs="Arial"/>
          <w:sz w:val="20"/>
          <w:szCs w:val="20"/>
        </w:rPr>
        <w:t>).</w:t>
      </w:r>
    </w:p>
    <w:p w14:paraId="04D258BE" w14:textId="77777777" w:rsidR="00DC3260" w:rsidRPr="009976D5" w:rsidRDefault="00DC3260" w:rsidP="00346B63">
      <w:pPr>
        <w:rPr>
          <w:rFonts w:ascii="Arial" w:hAnsi="Arial" w:cs="Arial"/>
          <w:b/>
          <w:bCs/>
        </w:rPr>
      </w:pPr>
      <w:r w:rsidRPr="009976D5">
        <w:rPr>
          <w:rFonts w:ascii="Arial" w:hAnsi="Arial" w:cs="Arial"/>
          <w:b/>
          <w:bCs/>
        </w:rPr>
        <w:br w:type="page"/>
      </w:r>
    </w:p>
    <w:p w14:paraId="3DF4AC45" w14:textId="356D4BD0" w:rsidR="00780BBB" w:rsidRPr="009976D5" w:rsidRDefault="00780BBB" w:rsidP="00346B63">
      <w:pPr>
        <w:rPr>
          <w:rFonts w:ascii="Arial" w:hAnsi="Arial" w:cs="Arial"/>
          <w:b/>
          <w:bCs/>
        </w:rPr>
      </w:pPr>
    </w:p>
    <w:p w14:paraId="3D662162" w14:textId="37B9ADB1" w:rsidR="00C613A0" w:rsidRDefault="00665F54" w:rsidP="00346B63">
      <w:pPr>
        <w:rPr>
          <w:rFonts w:ascii="Arial" w:hAnsi="Arial" w:cs="Arial"/>
          <w:b/>
          <w:bCs/>
        </w:rPr>
      </w:pPr>
      <w:r>
        <w:rPr>
          <w:rFonts w:ascii="Arial" w:hAnsi="Arial" w:cs="Arial"/>
          <w:b/>
          <w:bCs/>
          <w:noProof/>
        </w:rPr>
        <w:drawing>
          <wp:inline distT="0" distB="0" distL="0" distR="0" wp14:anchorId="69491EB0" wp14:editId="3DC62B00">
            <wp:extent cx="5396230" cy="6924040"/>
            <wp:effectExtent l="0" t="0" r="0" b="0"/>
            <wp:docPr id="13112081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08126" name="図 1311208126"/>
                    <pic:cNvPicPr/>
                  </pic:nvPicPr>
                  <pic:blipFill>
                    <a:blip r:embed="rId8"/>
                    <a:stretch>
                      <a:fillRect/>
                    </a:stretch>
                  </pic:blipFill>
                  <pic:spPr>
                    <a:xfrm>
                      <a:off x="0" y="0"/>
                      <a:ext cx="5396230" cy="6924040"/>
                    </a:xfrm>
                    <a:prstGeom prst="rect">
                      <a:avLst/>
                    </a:prstGeom>
                  </pic:spPr>
                </pic:pic>
              </a:graphicData>
            </a:graphic>
          </wp:inline>
        </w:drawing>
      </w:r>
    </w:p>
    <w:p w14:paraId="36461619" w14:textId="77777777" w:rsidR="009976D5" w:rsidRDefault="009976D5" w:rsidP="00346B63">
      <w:pPr>
        <w:rPr>
          <w:rFonts w:ascii="Arial" w:hAnsi="Arial" w:cs="Arial"/>
          <w:b/>
          <w:bCs/>
        </w:rPr>
      </w:pPr>
    </w:p>
    <w:p w14:paraId="47E83491" w14:textId="4BF3AC28" w:rsidR="006F7E66" w:rsidRDefault="006F7E66" w:rsidP="00346B63">
      <w:pPr>
        <w:rPr>
          <w:rFonts w:ascii="Arial" w:hAnsi="Arial" w:cs="Arial"/>
          <w:sz w:val="20"/>
          <w:szCs w:val="20"/>
        </w:rPr>
      </w:pPr>
      <w:r w:rsidRPr="009976D5">
        <w:rPr>
          <w:rFonts w:ascii="Arial" w:hAnsi="Arial" w:cs="Arial"/>
          <w:b/>
          <w:bCs/>
        </w:rPr>
        <w:t xml:space="preserve">Supplementary </w:t>
      </w:r>
      <w:r w:rsidR="001161A4" w:rsidRPr="009976D5">
        <w:rPr>
          <w:rFonts w:ascii="Arial" w:hAnsi="Arial" w:cs="Arial"/>
          <w:b/>
          <w:bCs/>
        </w:rPr>
        <w:t>Fig.</w:t>
      </w:r>
      <w:r w:rsidR="001161A4" w:rsidRPr="009976D5">
        <w:rPr>
          <w:rFonts w:ascii="Arial" w:hAnsi="Arial" w:cs="Arial" w:hint="eastAsia"/>
          <w:b/>
          <w:bCs/>
        </w:rPr>
        <w:t xml:space="preserve"> </w:t>
      </w:r>
      <w:r w:rsidRPr="009976D5">
        <w:rPr>
          <w:rFonts w:ascii="Arial" w:hAnsi="Arial" w:cs="Arial"/>
          <w:b/>
          <w:bCs/>
        </w:rPr>
        <w:t>4 | Absence of taxonomic correlation with metabolic phenotypes in 16S rRNA gene relative abundance.</w:t>
      </w:r>
      <w:r w:rsidRPr="00DC3260">
        <w:rPr>
          <w:rFonts w:ascii="Arial" w:hAnsi="Arial" w:cs="Arial"/>
          <w:sz w:val="20"/>
          <w:szCs w:val="20"/>
        </w:rPr>
        <w:t xml:space="preserve"> Pairwise Pearson correlation analyses between genus-level 16S rRNA gene relative abundances and major short-chain fatty </w:t>
      </w:r>
      <w:r w:rsidRPr="00DC3260">
        <w:rPr>
          <w:rFonts w:ascii="Arial" w:hAnsi="Arial" w:cs="Arial"/>
          <w:sz w:val="20"/>
          <w:szCs w:val="20"/>
        </w:rPr>
        <w:lastRenderedPageBreak/>
        <w:t>acid</w:t>
      </w:r>
      <w:r w:rsidR="00DC3260" w:rsidRPr="00DC3260">
        <w:rPr>
          <w:rFonts w:ascii="Arial" w:hAnsi="Arial" w:cs="Arial"/>
          <w:sz w:val="20"/>
          <w:szCs w:val="20"/>
        </w:rPr>
        <w:t xml:space="preserve"> </w:t>
      </w:r>
      <w:r w:rsidRPr="00DC3260">
        <w:rPr>
          <w:rFonts w:ascii="Arial" w:hAnsi="Arial" w:cs="Arial"/>
          <w:sz w:val="20"/>
          <w:szCs w:val="20"/>
        </w:rPr>
        <w:t xml:space="preserve">accumulation during inulin fermentation. </w:t>
      </w:r>
      <w:r w:rsidRPr="00DC3260">
        <w:rPr>
          <w:rFonts w:ascii="Arial" w:hAnsi="Arial" w:cs="Arial"/>
          <w:b/>
          <w:bCs/>
          <w:sz w:val="20"/>
          <w:szCs w:val="20"/>
        </w:rPr>
        <w:t>a</w:t>
      </w:r>
      <w:r w:rsidRPr="00DC3260">
        <w:rPr>
          <w:rFonts w:ascii="Arial" w:hAnsi="Arial" w:cs="Arial"/>
          <w:sz w:val="20"/>
          <w:szCs w:val="20"/>
        </w:rPr>
        <w:t xml:space="preserve">, Correlation profile of the </w:t>
      </w:r>
      <w:r w:rsidRPr="00DC3260">
        <w:rPr>
          <w:rFonts w:ascii="Arial" w:hAnsi="Arial" w:cs="Arial"/>
          <w:i/>
          <w:iCs/>
          <w:sz w:val="20"/>
          <w:szCs w:val="20"/>
        </w:rPr>
        <w:t>Bifidobacterium</w:t>
      </w:r>
      <w:r w:rsidRPr="00DC3260">
        <w:rPr>
          <w:rFonts w:ascii="Arial" w:hAnsi="Arial" w:cs="Arial"/>
          <w:sz w:val="20"/>
          <w:szCs w:val="20"/>
        </w:rPr>
        <w:t xml:space="preserve"> guild with acetate production. Scatter plots illustrate the relationship between acetate accumulation (Δ</w:t>
      </w:r>
      <w:r w:rsidR="00753E09">
        <w:rPr>
          <w:rFonts w:ascii="Arial" w:hAnsi="Arial" w:cs="Arial"/>
          <w:sz w:val="20"/>
          <w:szCs w:val="20"/>
        </w:rPr>
        <w:t>a</w:t>
      </w:r>
      <w:r w:rsidRPr="00DC3260">
        <w:rPr>
          <w:rFonts w:ascii="Arial" w:hAnsi="Arial" w:cs="Arial"/>
          <w:sz w:val="20"/>
          <w:szCs w:val="20"/>
        </w:rPr>
        <w:t xml:space="preserve">cetate, mM) after 48 h of inulin fermentation and initial relative abundance (left), post-fermentation relative abundance (middle), and dynamic net shift (Δ relative abundance, right) of </w:t>
      </w:r>
      <w:r w:rsidRPr="00DC3260">
        <w:rPr>
          <w:rFonts w:ascii="Arial" w:hAnsi="Arial" w:cs="Arial"/>
          <w:i/>
          <w:iCs/>
          <w:sz w:val="20"/>
          <w:szCs w:val="20"/>
        </w:rPr>
        <w:t>Bifidobacterium</w:t>
      </w:r>
      <w:r w:rsidRPr="00DC3260">
        <w:rPr>
          <w:rFonts w:ascii="Arial" w:hAnsi="Arial" w:cs="Arial"/>
          <w:sz w:val="20"/>
          <w:szCs w:val="20"/>
        </w:rPr>
        <w:t xml:space="preserve"> spp. </w:t>
      </w:r>
      <w:r w:rsidRPr="00DC3260">
        <w:rPr>
          <w:rFonts w:ascii="Arial" w:hAnsi="Arial" w:cs="Arial"/>
          <w:b/>
          <w:bCs/>
          <w:sz w:val="20"/>
          <w:szCs w:val="20"/>
        </w:rPr>
        <w:t>b</w:t>
      </w:r>
      <w:r w:rsidRPr="00DC3260">
        <w:rPr>
          <w:rFonts w:ascii="Arial" w:hAnsi="Arial" w:cs="Arial"/>
          <w:sz w:val="20"/>
          <w:szCs w:val="20"/>
        </w:rPr>
        <w:t xml:space="preserve">, Correlation profile of the </w:t>
      </w:r>
      <w:r w:rsidRPr="00DC3260">
        <w:rPr>
          <w:rFonts w:ascii="Arial" w:hAnsi="Arial" w:cs="Arial"/>
          <w:i/>
          <w:iCs/>
          <w:sz w:val="20"/>
          <w:szCs w:val="20"/>
        </w:rPr>
        <w:t>Bifidobacterium</w:t>
      </w:r>
      <w:r w:rsidRPr="00DC3260">
        <w:rPr>
          <w:rFonts w:ascii="Arial" w:hAnsi="Arial" w:cs="Arial"/>
          <w:sz w:val="20"/>
          <w:szCs w:val="20"/>
        </w:rPr>
        <w:t xml:space="preserve"> guild with butyrate production. Scatter plots show the relationship between Δ</w:t>
      </w:r>
      <w:r w:rsidR="00753E09">
        <w:rPr>
          <w:rFonts w:ascii="Arial" w:hAnsi="Arial" w:cs="Arial"/>
          <w:sz w:val="20"/>
          <w:szCs w:val="20"/>
        </w:rPr>
        <w:t>b</w:t>
      </w:r>
      <w:r w:rsidRPr="00DC3260">
        <w:rPr>
          <w:rFonts w:ascii="Arial" w:hAnsi="Arial" w:cs="Arial"/>
          <w:sz w:val="20"/>
          <w:szCs w:val="20"/>
        </w:rPr>
        <w:t xml:space="preserve">utyrate (mM) and initial (left), post-fermentation (middle), and Δ relative abundance (right) of </w:t>
      </w:r>
      <w:r w:rsidRPr="00DC3260">
        <w:rPr>
          <w:rFonts w:ascii="Arial" w:hAnsi="Arial" w:cs="Arial"/>
          <w:i/>
          <w:iCs/>
          <w:sz w:val="20"/>
          <w:szCs w:val="20"/>
        </w:rPr>
        <w:t>Bifidobacterium</w:t>
      </w:r>
      <w:r w:rsidRPr="00DC3260">
        <w:rPr>
          <w:rFonts w:ascii="Arial" w:hAnsi="Arial" w:cs="Arial"/>
          <w:sz w:val="20"/>
          <w:szCs w:val="20"/>
        </w:rPr>
        <w:t xml:space="preserve"> spp. Robust negative correlations observed in the post-fermentation and delta panels highlight that excessive overgrowth of this primary degrader couples with a decline in metabolic output, supporting the environment-mediated metabolic stall model. </w:t>
      </w:r>
      <w:r w:rsidRPr="00DC3260">
        <w:rPr>
          <w:rFonts w:ascii="Arial" w:hAnsi="Arial" w:cs="Arial"/>
          <w:b/>
          <w:bCs/>
          <w:sz w:val="20"/>
          <w:szCs w:val="20"/>
        </w:rPr>
        <w:t>c</w:t>
      </w:r>
      <w:r w:rsidRPr="00DC3260">
        <w:rPr>
          <w:rFonts w:ascii="Arial" w:hAnsi="Arial" w:cs="Arial"/>
          <w:sz w:val="20"/>
          <w:szCs w:val="20"/>
        </w:rPr>
        <w:t xml:space="preserve">, Correlation profile of the </w:t>
      </w:r>
      <w:r w:rsidRPr="00DC3260">
        <w:rPr>
          <w:rFonts w:ascii="Arial" w:hAnsi="Arial" w:cs="Arial"/>
          <w:i/>
          <w:iCs/>
          <w:sz w:val="20"/>
          <w:szCs w:val="20"/>
        </w:rPr>
        <w:t>Faecalibacterium</w:t>
      </w:r>
      <w:r w:rsidRPr="00DC3260">
        <w:rPr>
          <w:rFonts w:ascii="Arial" w:hAnsi="Arial" w:cs="Arial"/>
          <w:sz w:val="20"/>
          <w:szCs w:val="20"/>
        </w:rPr>
        <w:t xml:space="preserve"> guild with acetate production. Scatter plots illustrate the relationship between Δ</w:t>
      </w:r>
      <w:r w:rsidR="00753E09">
        <w:rPr>
          <w:rFonts w:ascii="Arial" w:hAnsi="Arial" w:cs="Arial"/>
          <w:sz w:val="20"/>
          <w:szCs w:val="20"/>
        </w:rPr>
        <w:t>a</w:t>
      </w:r>
      <w:r w:rsidRPr="00DC3260">
        <w:rPr>
          <w:rFonts w:ascii="Arial" w:hAnsi="Arial" w:cs="Arial"/>
          <w:sz w:val="20"/>
          <w:szCs w:val="20"/>
        </w:rPr>
        <w:t xml:space="preserve">cetate (mM) and initial (left), post-fermentation (middle), and Δ relative abundance (right) of </w:t>
      </w:r>
      <w:r w:rsidRPr="00DC3260">
        <w:rPr>
          <w:rFonts w:ascii="Arial" w:hAnsi="Arial" w:cs="Arial"/>
          <w:i/>
          <w:iCs/>
          <w:sz w:val="20"/>
          <w:szCs w:val="20"/>
        </w:rPr>
        <w:t>Faecalibacterium</w:t>
      </w:r>
      <w:r w:rsidRPr="00DC3260">
        <w:rPr>
          <w:rFonts w:ascii="Arial" w:hAnsi="Arial" w:cs="Arial"/>
          <w:sz w:val="20"/>
          <w:szCs w:val="20"/>
        </w:rPr>
        <w:t xml:space="preserve"> spp. </w:t>
      </w:r>
      <w:r w:rsidRPr="00DC3260">
        <w:rPr>
          <w:rFonts w:ascii="Arial" w:hAnsi="Arial" w:cs="Arial"/>
          <w:b/>
          <w:bCs/>
          <w:sz w:val="20"/>
          <w:szCs w:val="20"/>
        </w:rPr>
        <w:t>d</w:t>
      </w:r>
      <w:r w:rsidRPr="00DC3260">
        <w:rPr>
          <w:rFonts w:ascii="Arial" w:hAnsi="Arial" w:cs="Arial"/>
          <w:sz w:val="20"/>
          <w:szCs w:val="20"/>
        </w:rPr>
        <w:t xml:space="preserve">, Correlation profile of the </w:t>
      </w:r>
      <w:r w:rsidRPr="00DC3260">
        <w:rPr>
          <w:rFonts w:ascii="Arial" w:hAnsi="Arial" w:cs="Arial"/>
          <w:i/>
          <w:iCs/>
          <w:sz w:val="20"/>
          <w:szCs w:val="20"/>
        </w:rPr>
        <w:t>Faecalibacterium</w:t>
      </w:r>
      <w:r w:rsidRPr="00DC3260">
        <w:rPr>
          <w:rFonts w:ascii="Arial" w:hAnsi="Arial" w:cs="Arial"/>
          <w:sz w:val="20"/>
          <w:szCs w:val="20"/>
        </w:rPr>
        <w:t xml:space="preserve"> guild with butyrate production. Scatter plots illustrate the relationship between Δ</w:t>
      </w:r>
      <w:r w:rsidR="00753E09">
        <w:rPr>
          <w:rFonts w:ascii="Arial" w:hAnsi="Arial" w:cs="Arial"/>
          <w:sz w:val="20"/>
          <w:szCs w:val="20"/>
        </w:rPr>
        <w:t>b</w:t>
      </w:r>
      <w:r w:rsidRPr="00DC3260">
        <w:rPr>
          <w:rFonts w:ascii="Arial" w:hAnsi="Arial" w:cs="Arial"/>
          <w:sz w:val="20"/>
          <w:szCs w:val="20"/>
        </w:rPr>
        <w:t xml:space="preserve">utyrate (mM) and initial (left), post-fermentation (middle), and Δ relative abundance (right) of </w:t>
      </w:r>
      <w:r w:rsidRPr="00DC3260">
        <w:rPr>
          <w:rFonts w:ascii="Arial" w:hAnsi="Arial" w:cs="Arial"/>
          <w:i/>
          <w:iCs/>
          <w:sz w:val="20"/>
          <w:szCs w:val="20"/>
        </w:rPr>
        <w:t>Faecalibacterium</w:t>
      </w:r>
      <w:r w:rsidRPr="00DC3260">
        <w:rPr>
          <w:rFonts w:ascii="Arial" w:hAnsi="Arial" w:cs="Arial"/>
          <w:sz w:val="20"/>
          <w:szCs w:val="20"/>
        </w:rPr>
        <w:t xml:space="preserve"> spp. The complete absence of positive predictive capacity across initial and post-fermentation states statistically validates functional decoupling in high-load physiological ecosystems. For all panels, </w:t>
      </w:r>
      <w:r w:rsidRPr="00DC3260">
        <w:rPr>
          <w:rFonts w:ascii="Arial" w:hAnsi="Arial" w:cs="Arial"/>
          <w:i/>
          <w:iCs/>
          <w:sz w:val="20"/>
          <w:szCs w:val="20"/>
        </w:rPr>
        <w:t>n</w:t>
      </w:r>
      <w:r w:rsidRPr="00DC3260">
        <w:rPr>
          <w:rFonts w:ascii="Arial" w:hAnsi="Arial" w:cs="Arial"/>
          <w:sz w:val="20"/>
          <w:szCs w:val="20"/>
        </w:rPr>
        <w:t xml:space="preserve"> = </w:t>
      </w:r>
      <w:r w:rsidR="005A06D7" w:rsidRPr="00DC3260">
        <w:rPr>
          <w:rFonts w:ascii="Arial" w:hAnsi="Arial" w:cs="Arial"/>
          <w:sz w:val="20"/>
          <w:szCs w:val="20"/>
        </w:rPr>
        <w:t>48</w:t>
      </w:r>
      <w:r w:rsidRPr="00DC3260">
        <w:rPr>
          <w:rFonts w:ascii="Arial" w:hAnsi="Arial" w:cs="Arial"/>
          <w:sz w:val="20"/>
          <w:szCs w:val="20"/>
        </w:rPr>
        <w:t xml:space="preserve"> biologically independent human donors were analyzed. </w:t>
      </w:r>
      <w:r w:rsidR="005A06D7" w:rsidRPr="00DC3260">
        <w:rPr>
          <w:rFonts w:ascii="Arial" w:hAnsi="Arial" w:cs="Arial"/>
          <w:sz w:val="20"/>
          <w:szCs w:val="20"/>
        </w:rPr>
        <w:t xml:space="preserve">Four donors (HS-07, HS-34, HS-51, and HS-52) </w:t>
      </w:r>
      <w:r w:rsidRPr="00DC3260">
        <w:rPr>
          <w:rFonts w:ascii="Arial" w:hAnsi="Arial" w:cs="Arial"/>
          <w:sz w:val="20"/>
          <w:szCs w:val="20"/>
        </w:rPr>
        <w:t>were systematically excluded from the analysis due to the absence of baseline 16S rRNA sequencing datasets (strict pairwise exclusion). Solid regression lines indicate the linear fit. To visually distinguish ecological signal robustness, regression lines are depicted in solid black for robust correlations (|</w:t>
      </w:r>
      <w:r w:rsidRPr="00DC3260">
        <w:rPr>
          <w:rFonts w:ascii="Arial" w:hAnsi="Arial" w:cs="Arial"/>
          <w:i/>
          <w:iCs/>
          <w:sz w:val="20"/>
          <w:szCs w:val="20"/>
        </w:rPr>
        <w:t>r</w:t>
      </w:r>
      <w:r w:rsidRPr="00DC3260">
        <w:rPr>
          <w:rFonts w:ascii="Arial" w:hAnsi="Arial" w:cs="Arial"/>
          <w:sz w:val="20"/>
          <w:szCs w:val="20"/>
        </w:rPr>
        <w:t>| &gt; 0.5) and in semi-transparent light gray for weak or negligible correlations (|</w:t>
      </w:r>
      <w:r w:rsidRPr="00DC3260">
        <w:rPr>
          <w:rFonts w:ascii="Arial" w:hAnsi="Arial" w:cs="Arial"/>
          <w:i/>
          <w:iCs/>
          <w:sz w:val="20"/>
          <w:szCs w:val="20"/>
        </w:rPr>
        <w:t>r</w:t>
      </w:r>
      <w:r w:rsidRPr="00DC3260">
        <w:rPr>
          <w:rFonts w:ascii="Arial" w:hAnsi="Arial" w:cs="Arial"/>
          <w:sz w:val="20"/>
          <w:szCs w:val="20"/>
        </w:rPr>
        <w:t>| ≤ 0.5). Statistical significance was evaluated using the two</w:t>
      </w:r>
      <w:r w:rsidR="00E839E3">
        <w:rPr>
          <w:rFonts w:ascii="Arial" w:hAnsi="Arial" w:cs="Arial"/>
          <w:sz w:val="20"/>
          <w:szCs w:val="20"/>
        </w:rPr>
        <w:t>-</w:t>
      </w:r>
      <w:r w:rsidRPr="00DC3260">
        <w:rPr>
          <w:rFonts w:ascii="Arial" w:hAnsi="Arial" w:cs="Arial"/>
          <w:sz w:val="20"/>
          <w:szCs w:val="20"/>
        </w:rPr>
        <w:t>sided Pearson correlation coefficient (</w:t>
      </w:r>
      <w:r w:rsidRPr="00DC3260">
        <w:rPr>
          <w:rFonts w:ascii="Arial" w:hAnsi="Arial" w:cs="Arial"/>
          <w:i/>
          <w:iCs/>
          <w:sz w:val="20"/>
          <w:szCs w:val="20"/>
        </w:rPr>
        <w:t>r</w:t>
      </w:r>
      <w:r w:rsidRPr="00DC3260">
        <w:rPr>
          <w:rFonts w:ascii="Arial" w:hAnsi="Arial" w:cs="Arial"/>
          <w:sz w:val="20"/>
          <w:szCs w:val="20"/>
        </w:rPr>
        <w:t xml:space="preserve">), and the resulting </w:t>
      </w:r>
      <w:r w:rsidRPr="00DC3260">
        <w:rPr>
          <w:rFonts w:ascii="Arial" w:hAnsi="Arial" w:cs="Arial"/>
          <w:i/>
          <w:iCs/>
          <w:sz w:val="20"/>
          <w:szCs w:val="20"/>
        </w:rPr>
        <w:t>P</w:t>
      </w:r>
      <w:r w:rsidRPr="00DC3260">
        <w:rPr>
          <w:rFonts w:ascii="Arial" w:hAnsi="Arial" w:cs="Arial"/>
          <w:sz w:val="20"/>
          <w:szCs w:val="20"/>
        </w:rPr>
        <w:t xml:space="preserve"> values across all twelve panels were strictly adjusted using the Benjamini</w:t>
      </w:r>
      <w:r w:rsidR="00496B63" w:rsidRPr="00496B63">
        <w:rPr>
          <w:rFonts w:ascii="Arial" w:hAnsi="Arial" w:cs="Arial"/>
          <w:sz w:val="20"/>
          <w:szCs w:val="20"/>
        </w:rPr>
        <w:t>–</w:t>
      </w:r>
      <w:r w:rsidRPr="00DC3260">
        <w:rPr>
          <w:rFonts w:ascii="Arial" w:hAnsi="Arial" w:cs="Arial"/>
          <w:sz w:val="20"/>
          <w:szCs w:val="20"/>
        </w:rPr>
        <w:t>Hochberg false discovery rate (FDR) correction (</w:t>
      </w:r>
      <w:r w:rsidRPr="00DC3260">
        <w:rPr>
          <w:rFonts w:ascii="Arial" w:hAnsi="Arial" w:cs="Arial"/>
          <w:i/>
          <w:iCs/>
          <w:sz w:val="20"/>
          <w:szCs w:val="20"/>
        </w:rPr>
        <w:t>q</w:t>
      </w:r>
      <w:r w:rsidRPr="00DC3260">
        <w:rPr>
          <w:rFonts w:ascii="Arial" w:hAnsi="Arial" w:cs="Arial"/>
          <w:sz w:val="20"/>
          <w:szCs w:val="20"/>
        </w:rPr>
        <w:t>-values).</w:t>
      </w:r>
    </w:p>
    <w:p w14:paraId="3F43C0AC" w14:textId="254351B7" w:rsidR="00DC3260" w:rsidRDefault="00DC3260" w:rsidP="00346B63">
      <w:pPr>
        <w:rPr>
          <w:rFonts w:ascii="Arial" w:hAnsi="Arial" w:cs="Arial"/>
          <w:sz w:val="20"/>
          <w:szCs w:val="20"/>
        </w:rPr>
      </w:pPr>
      <w:r>
        <w:rPr>
          <w:rFonts w:ascii="Arial" w:hAnsi="Arial" w:cs="Arial"/>
          <w:sz w:val="20"/>
          <w:szCs w:val="20"/>
        </w:rPr>
        <w:br w:type="page"/>
      </w:r>
    </w:p>
    <w:p w14:paraId="7C5B41A8" w14:textId="6D3D9B9A" w:rsidR="00C613A0" w:rsidRPr="004643A0" w:rsidRDefault="00C613A0" w:rsidP="00346B63">
      <w:pPr>
        <w:rPr>
          <w:rFonts w:ascii="Arial" w:hAnsi="Arial" w:cs="Arial"/>
          <w:b/>
          <w:bCs/>
        </w:rPr>
      </w:pPr>
    </w:p>
    <w:p w14:paraId="5352A540" w14:textId="04FE7686" w:rsidR="004643A0" w:rsidRPr="003F2EC3" w:rsidRDefault="003F2EC3" w:rsidP="00346B63">
      <w:pPr>
        <w:rPr>
          <w:rFonts w:ascii="Arial" w:hAnsi="Arial" w:cs="Arial"/>
        </w:rPr>
      </w:pPr>
      <w:r>
        <w:rPr>
          <w:rFonts w:ascii="Arial" w:hAnsi="Arial" w:cs="Arial"/>
          <w:noProof/>
        </w:rPr>
        <w:drawing>
          <wp:inline distT="0" distB="0" distL="0" distR="0" wp14:anchorId="3115A15C" wp14:editId="59A535BD">
            <wp:extent cx="5396230" cy="6104255"/>
            <wp:effectExtent l="0" t="0" r="0" b="4445"/>
            <wp:docPr id="16400090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09096" name="図 1640009096"/>
                    <pic:cNvPicPr/>
                  </pic:nvPicPr>
                  <pic:blipFill>
                    <a:blip r:embed="rId9"/>
                    <a:stretch>
                      <a:fillRect/>
                    </a:stretch>
                  </pic:blipFill>
                  <pic:spPr>
                    <a:xfrm>
                      <a:off x="0" y="0"/>
                      <a:ext cx="5396230" cy="6104255"/>
                    </a:xfrm>
                    <a:prstGeom prst="rect">
                      <a:avLst/>
                    </a:prstGeom>
                  </pic:spPr>
                </pic:pic>
              </a:graphicData>
            </a:graphic>
          </wp:inline>
        </w:drawing>
      </w:r>
    </w:p>
    <w:p w14:paraId="250E5908" w14:textId="77777777" w:rsidR="00900D03" w:rsidRDefault="00900D03" w:rsidP="00346B63">
      <w:pPr>
        <w:rPr>
          <w:rFonts w:ascii="Arial" w:hAnsi="Arial" w:cs="Arial"/>
        </w:rPr>
      </w:pPr>
    </w:p>
    <w:p w14:paraId="7B88B843" w14:textId="77777777" w:rsidR="003F2EC3" w:rsidRPr="004643A0" w:rsidRDefault="003F2EC3" w:rsidP="00346B63">
      <w:pPr>
        <w:rPr>
          <w:rFonts w:ascii="Arial" w:hAnsi="Arial" w:cs="Arial"/>
        </w:rPr>
      </w:pPr>
    </w:p>
    <w:p w14:paraId="536114E0" w14:textId="4E4FB02D" w:rsidR="00190549" w:rsidRDefault="006F7E66" w:rsidP="00346B63">
      <w:pPr>
        <w:rPr>
          <w:rFonts w:ascii="Arial" w:hAnsi="Arial" w:cs="Arial"/>
          <w:sz w:val="20"/>
          <w:szCs w:val="20"/>
        </w:rPr>
      </w:pPr>
      <w:r w:rsidRPr="004643A0">
        <w:rPr>
          <w:rFonts w:ascii="Arial" w:hAnsi="Arial" w:cs="Arial"/>
          <w:b/>
          <w:bCs/>
        </w:rPr>
        <w:t xml:space="preserve">Supplementary </w:t>
      </w:r>
      <w:r w:rsidR="001161A4" w:rsidRPr="004643A0">
        <w:rPr>
          <w:rFonts w:ascii="Arial" w:hAnsi="Arial" w:cs="Arial"/>
          <w:b/>
          <w:bCs/>
        </w:rPr>
        <w:t>Fig.</w:t>
      </w:r>
      <w:r w:rsidR="001161A4" w:rsidRPr="004643A0">
        <w:rPr>
          <w:rFonts w:ascii="Arial" w:hAnsi="Arial" w:cs="Arial" w:hint="eastAsia"/>
          <w:b/>
          <w:bCs/>
        </w:rPr>
        <w:t xml:space="preserve"> </w:t>
      </w:r>
      <w:r w:rsidRPr="004643A0">
        <w:rPr>
          <w:rFonts w:ascii="Arial" w:hAnsi="Arial" w:cs="Arial"/>
          <w:b/>
          <w:bCs/>
        </w:rPr>
        <w:t>5 | Universality of the acid-driven metabolic tipping point and capacity limits of bifidogenic cross-feeding.</w:t>
      </w:r>
      <w:r w:rsidRPr="00AF7883">
        <w:rPr>
          <w:rFonts w:ascii="Arial" w:hAnsi="Arial" w:cs="Arial"/>
          <w:sz w:val="20"/>
          <w:szCs w:val="20"/>
        </w:rPr>
        <w:t xml:space="preserve"> </w:t>
      </w:r>
      <w:r w:rsidRPr="00AF7883">
        <w:rPr>
          <w:rFonts w:ascii="Arial" w:hAnsi="Arial" w:cs="Arial"/>
          <w:b/>
          <w:bCs/>
          <w:sz w:val="20"/>
          <w:szCs w:val="20"/>
        </w:rPr>
        <w:t>a</w:t>
      </w:r>
      <w:r w:rsidRPr="00AF7883">
        <w:rPr>
          <w:rFonts w:ascii="Arial" w:hAnsi="Arial" w:cs="Arial"/>
          <w:sz w:val="20"/>
          <w:szCs w:val="20"/>
        </w:rPr>
        <w:t>, Segmented (piecewise) linear regression analysis mapping the shift in butyrate production (Δ</w:t>
      </w:r>
      <w:r w:rsidR="00753E09">
        <w:rPr>
          <w:rFonts w:ascii="Arial" w:hAnsi="Arial" w:cs="Arial"/>
          <w:sz w:val="20"/>
          <w:szCs w:val="20"/>
        </w:rPr>
        <w:t>b</w:t>
      </w:r>
      <w:r w:rsidRPr="00AF7883">
        <w:rPr>
          <w:rFonts w:ascii="Arial" w:hAnsi="Arial" w:cs="Arial"/>
          <w:sz w:val="20"/>
          <w:szCs w:val="20"/>
        </w:rPr>
        <w:t>utyrate) against the extent of luminal acidification (ΔpH). Data points rep</w:t>
      </w:r>
      <w:r w:rsidRPr="004643A0">
        <w:rPr>
          <w:rFonts w:ascii="Arial" w:hAnsi="Arial" w:cs="Arial"/>
          <w:color w:val="000000" w:themeColor="text1"/>
          <w:sz w:val="20"/>
          <w:szCs w:val="20"/>
        </w:rPr>
        <w:t xml:space="preserve">resent the response of individual donors to </w:t>
      </w:r>
      <w:r w:rsidR="00F110C7" w:rsidRPr="004643A0">
        <w:rPr>
          <w:rFonts w:ascii="Arial" w:hAnsi="Arial" w:cs="Arial"/>
          <w:color w:val="000000" w:themeColor="text1"/>
          <w:sz w:val="20"/>
          <w:szCs w:val="20"/>
        </w:rPr>
        <w:t>5</w:t>
      </w:r>
      <w:r w:rsidRPr="004643A0">
        <w:rPr>
          <w:rFonts w:ascii="Arial" w:hAnsi="Arial" w:cs="Arial"/>
          <w:color w:val="000000" w:themeColor="text1"/>
          <w:sz w:val="20"/>
          <w:szCs w:val="20"/>
        </w:rPr>
        <w:t xml:space="preserve"> distinct bifidogenic substrates (inulin, KULFFI-014, -015, -017, -019) evaluated using the S-KUHIMM screening. </w:t>
      </w:r>
      <w:r w:rsidR="00E75CB1" w:rsidRPr="004643A0">
        <w:rPr>
          <w:rFonts w:ascii="Arial" w:hAnsi="Arial" w:cs="Arial"/>
          <w:color w:val="000000" w:themeColor="text1"/>
          <w:sz w:val="20"/>
          <w:szCs w:val="20"/>
        </w:rPr>
        <w:t xml:space="preserve">Despite the inherent biological variation observed in </w:t>
      </w:r>
      <w:r w:rsidR="00E75CB1" w:rsidRPr="004643A0">
        <w:rPr>
          <w:rFonts w:ascii="Arial" w:hAnsi="Arial" w:cs="Arial"/>
          <w:color w:val="000000" w:themeColor="text1"/>
          <w:sz w:val="20"/>
          <w:szCs w:val="20"/>
        </w:rPr>
        <w:lastRenderedPageBreak/>
        <w:t xml:space="preserve">single-substrate analyses, the global mathematical minimum of the regression model converges consistently around ΔpH = </w:t>
      </w:r>
      <w:r w:rsidR="004643A0" w:rsidRPr="004643A0">
        <w:rPr>
          <w:rFonts w:ascii="Arial" w:hAnsi="Arial" w:cs="Arial"/>
          <w:color w:val="000000" w:themeColor="text1"/>
          <w:sz w:val="20"/>
          <w:szCs w:val="20"/>
        </w:rPr>
        <w:t>−</w:t>
      </w:r>
      <w:r w:rsidR="00E75CB1" w:rsidRPr="004643A0">
        <w:rPr>
          <w:rFonts w:ascii="Arial" w:hAnsi="Arial" w:cs="Arial"/>
          <w:color w:val="000000" w:themeColor="text1"/>
          <w:sz w:val="20"/>
          <w:szCs w:val="20"/>
        </w:rPr>
        <w:t>0.83 (dashed red line).</w:t>
      </w:r>
      <w:r w:rsidR="0080741C" w:rsidRPr="004643A0">
        <w:rPr>
          <w:rFonts w:ascii="Arial" w:hAnsi="Arial" w:cs="Arial"/>
          <w:color w:val="000000" w:themeColor="text1"/>
          <w:sz w:val="20"/>
          <w:szCs w:val="20"/>
        </w:rPr>
        <w:t xml:space="preserve"> This convergence point was rigorously validated as the true global optimum via comprehensive grid-search optimization, ensuring the threshold is strictly data-driven and independent of initial modeling assumptions</w:t>
      </w:r>
      <w:r w:rsidRPr="004643A0">
        <w:rPr>
          <w:rFonts w:ascii="Arial" w:hAnsi="Arial" w:cs="Arial"/>
          <w:color w:val="000000" w:themeColor="text1"/>
          <w:sz w:val="20"/>
          <w:szCs w:val="20"/>
        </w:rPr>
        <w:t xml:space="preserve">. Grey circles indicate donor responses to various bifidogenic carbohydrates excluding inulin, while purple circles highlight the inulin-specific responses. The thick red line represents the bounded segmented fit across all </w:t>
      </w:r>
      <w:r w:rsidR="001D278D" w:rsidRPr="004643A0">
        <w:rPr>
          <w:rFonts w:ascii="Arial" w:hAnsi="Arial" w:cs="Arial"/>
          <w:color w:val="000000" w:themeColor="text1"/>
          <w:sz w:val="20"/>
          <w:szCs w:val="20"/>
        </w:rPr>
        <w:t>260</w:t>
      </w:r>
      <w:r w:rsidRPr="004643A0">
        <w:rPr>
          <w:rFonts w:ascii="Arial" w:hAnsi="Arial" w:cs="Arial"/>
          <w:color w:val="000000" w:themeColor="text1"/>
          <w:sz w:val="20"/>
          <w:szCs w:val="20"/>
        </w:rPr>
        <w:t xml:space="preserve"> pairwise metabolic trajectories. This meta-analysis demonstrates that the acid-driven functional collapse is a </w:t>
      </w:r>
      <w:r w:rsidR="006C3D1D" w:rsidRPr="004643A0">
        <w:rPr>
          <w:rFonts w:ascii="Arial" w:hAnsi="Arial" w:cs="Arial"/>
          <w:color w:val="000000" w:themeColor="text1"/>
          <w:sz w:val="20"/>
          <w:szCs w:val="20"/>
        </w:rPr>
        <w:t>fundamental</w:t>
      </w:r>
      <w:r w:rsidRPr="004643A0">
        <w:rPr>
          <w:rFonts w:ascii="Arial" w:hAnsi="Arial" w:cs="Arial"/>
          <w:color w:val="000000" w:themeColor="text1"/>
          <w:sz w:val="20"/>
          <w:szCs w:val="20"/>
        </w:rPr>
        <w:t xml:space="preserve"> ecological constraint within the human gut microbiome. The convergence of this global </w:t>
      </w:r>
      <w:r w:rsidR="00AF7883" w:rsidRPr="004643A0">
        <w:rPr>
          <w:rFonts w:ascii="Arial" w:hAnsi="Arial" w:cs="Arial"/>
          <w:color w:val="000000" w:themeColor="text1"/>
          <w:sz w:val="20"/>
          <w:szCs w:val="20"/>
        </w:rPr>
        <w:t xml:space="preserve">ecological tipping point (ETP;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0.</w:t>
      </w:r>
      <w:r w:rsidR="001D278D" w:rsidRPr="004643A0">
        <w:rPr>
          <w:rFonts w:ascii="Arial" w:hAnsi="Arial" w:cs="Arial"/>
          <w:color w:val="000000" w:themeColor="text1"/>
          <w:sz w:val="20"/>
          <w:szCs w:val="20"/>
        </w:rPr>
        <w:t>8</w:t>
      </w:r>
      <w:r w:rsidR="008343F6" w:rsidRPr="004643A0">
        <w:rPr>
          <w:rFonts w:ascii="Arial" w:hAnsi="Arial" w:cs="Arial"/>
          <w:color w:val="000000" w:themeColor="text1"/>
          <w:sz w:val="20"/>
          <w:szCs w:val="20"/>
        </w:rPr>
        <w:t>3</w:t>
      </w:r>
      <w:r w:rsidRPr="004643A0">
        <w:rPr>
          <w:rFonts w:ascii="Arial" w:hAnsi="Arial" w:cs="Arial"/>
          <w:color w:val="000000" w:themeColor="text1"/>
          <w:sz w:val="20"/>
          <w:szCs w:val="20"/>
        </w:rPr>
        <w:t>) with the inulin-specific ETP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 xml:space="preserve">0.81, Fig. 7a) identifies a critical tipping zone, validating the adoption of a conservative </w:t>
      </w:r>
      <w:r w:rsidR="00A41E65" w:rsidRPr="004643A0">
        <w:rPr>
          <w:rFonts w:ascii="Arial" w:hAnsi="Arial" w:cs="Arial"/>
          <w:color w:val="000000" w:themeColor="text1"/>
          <w:sz w:val="20"/>
          <w:szCs w:val="20"/>
        </w:rPr>
        <w:t>global</w:t>
      </w:r>
      <w:r w:rsidRPr="004643A0">
        <w:rPr>
          <w:rFonts w:ascii="Arial" w:hAnsi="Arial" w:cs="Arial"/>
          <w:color w:val="000000" w:themeColor="text1"/>
          <w:sz w:val="20"/>
          <w:szCs w:val="20"/>
        </w:rPr>
        <w:t xml:space="preserve"> </w:t>
      </w:r>
      <w:r w:rsidR="000E6186" w:rsidRPr="004643A0">
        <w:rPr>
          <w:rFonts w:ascii="Arial" w:hAnsi="Arial" w:cs="Arial"/>
          <w:color w:val="000000" w:themeColor="text1"/>
          <w:sz w:val="20"/>
          <w:szCs w:val="20"/>
          <w:bdr w:val="none" w:sz="0" w:space="0" w:color="auto" w:frame="1"/>
        </w:rPr>
        <w:t>ecological stability</w:t>
      </w:r>
      <w:r w:rsidR="000E6186" w:rsidRPr="004643A0">
        <w:rPr>
          <w:rFonts w:ascii="Arial" w:hAnsi="Arial" w:cs="Arial"/>
          <w:color w:val="000000" w:themeColor="text1"/>
          <w:sz w:val="20"/>
          <w:szCs w:val="20"/>
        </w:rPr>
        <w:t xml:space="preserve"> </w:t>
      </w:r>
      <w:r w:rsidR="00E74B50" w:rsidRPr="004643A0">
        <w:rPr>
          <w:rFonts w:ascii="Arial" w:hAnsi="Arial" w:cs="Arial"/>
          <w:color w:val="000000" w:themeColor="text1"/>
          <w:sz w:val="20"/>
          <w:szCs w:val="20"/>
        </w:rPr>
        <w:t>margin</w:t>
      </w:r>
      <w:r w:rsidRPr="004643A0">
        <w:rPr>
          <w:rFonts w:ascii="Arial" w:hAnsi="Arial" w:cs="Arial"/>
          <w:color w:val="000000" w:themeColor="text1"/>
          <w:sz w:val="20"/>
          <w:szCs w:val="20"/>
        </w:rPr>
        <w:t xml:space="preserve"> (ΔpH =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 xml:space="preserve">0.80) applied in the precision stratification strategy. </w:t>
      </w:r>
      <w:r w:rsidRPr="004643A0">
        <w:rPr>
          <w:rFonts w:ascii="Arial" w:hAnsi="Arial" w:cs="Arial"/>
          <w:b/>
          <w:bCs/>
          <w:color w:val="000000" w:themeColor="text1"/>
          <w:sz w:val="20"/>
          <w:szCs w:val="20"/>
        </w:rPr>
        <w:t>b</w:t>
      </w:r>
      <w:r w:rsidRPr="004643A0">
        <w:rPr>
          <w:rFonts w:ascii="Arial" w:hAnsi="Arial" w:cs="Arial"/>
          <w:color w:val="000000" w:themeColor="text1"/>
          <w:sz w:val="20"/>
          <w:szCs w:val="20"/>
        </w:rPr>
        <w:t xml:space="preserve">, </w:t>
      </w:r>
      <w:r w:rsidR="000E6186" w:rsidRPr="004643A0">
        <w:rPr>
          <w:rFonts w:ascii="Arial" w:hAnsi="Arial" w:cs="Arial"/>
          <w:color w:val="000000" w:themeColor="text1"/>
          <w:sz w:val="20"/>
          <w:szCs w:val="20"/>
          <w:bdr w:val="none" w:sz="0" w:space="0" w:color="auto" w:frame="1"/>
        </w:rPr>
        <w:t>Stability</w:t>
      </w:r>
      <w:r w:rsidRPr="004643A0">
        <w:rPr>
          <w:rFonts w:ascii="Arial" w:hAnsi="Arial" w:cs="Arial"/>
          <w:color w:val="000000" w:themeColor="text1"/>
          <w:sz w:val="20"/>
          <w:szCs w:val="20"/>
        </w:rPr>
        <w:t>-efficacy quadrant plots illustrating the sequential stratification across the 13 bifidogenic substrates</w:t>
      </w:r>
      <w:r w:rsidR="00F110C7" w:rsidRPr="004643A0">
        <w:rPr>
          <w:rFonts w:ascii="Arial" w:hAnsi="Arial" w:cs="Arial"/>
          <w:color w:val="000000" w:themeColor="text1"/>
          <w:sz w:val="20"/>
          <w:szCs w:val="20"/>
        </w:rPr>
        <w:t xml:space="preserve"> (inulin, KULFFI-009, -014, -015, -017, -019, -020, -022, -027, -031, -035, -036, and -044)</w:t>
      </w:r>
      <w:r w:rsidRPr="004643A0">
        <w:rPr>
          <w:rFonts w:ascii="Arial" w:hAnsi="Arial" w:cs="Arial"/>
          <w:color w:val="000000" w:themeColor="text1"/>
          <w:sz w:val="20"/>
          <w:szCs w:val="20"/>
        </w:rPr>
        <w:t xml:space="preserve">. </w:t>
      </w:r>
      <w:r w:rsidR="005B0176" w:rsidRPr="004643A0">
        <w:rPr>
          <w:rFonts w:ascii="Arial" w:hAnsi="Arial" w:cs="Arial"/>
          <w:color w:val="000000" w:themeColor="text1"/>
          <w:sz w:val="20"/>
          <w:szCs w:val="20"/>
        </w:rPr>
        <w:t xml:space="preserve">The evaluation sequence of these substrates was mathematically determined by an optimization algorithm to maximize the cumulative responder rate at each step. </w:t>
      </w:r>
      <w:r w:rsidRPr="004643A0">
        <w:rPr>
          <w:rFonts w:ascii="Arial" w:hAnsi="Arial" w:cs="Arial"/>
          <w:color w:val="000000" w:themeColor="text1"/>
          <w:sz w:val="20"/>
          <w:szCs w:val="20"/>
        </w:rPr>
        <w:t xml:space="preserve">The vertical red dashed line indicates the </w:t>
      </w:r>
      <w:r w:rsidR="000E6186" w:rsidRPr="004643A0">
        <w:rPr>
          <w:rFonts w:ascii="Arial" w:hAnsi="Arial" w:cs="Arial"/>
          <w:color w:val="000000" w:themeColor="text1"/>
          <w:sz w:val="20"/>
          <w:szCs w:val="20"/>
          <w:bdr w:val="none" w:sz="0" w:space="0" w:color="auto" w:frame="1"/>
        </w:rPr>
        <w:t>ecological stability</w:t>
      </w:r>
      <w:r w:rsidR="000E6186" w:rsidRPr="004643A0">
        <w:rPr>
          <w:rFonts w:ascii="Arial" w:hAnsi="Arial" w:cs="Arial"/>
          <w:color w:val="000000" w:themeColor="text1"/>
          <w:sz w:val="20"/>
          <w:szCs w:val="20"/>
        </w:rPr>
        <w:t xml:space="preserve"> </w:t>
      </w:r>
      <w:r w:rsidRPr="004643A0">
        <w:rPr>
          <w:rFonts w:ascii="Arial" w:hAnsi="Arial" w:cs="Arial"/>
          <w:color w:val="000000" w:themeColor="text1"/>
          <w:sz w:val="20"/>
          <w:szCs w:val="20"/>
        </w:rPr>
        <w:t xml:space="preserve">margin defined by the ETP (ΔpH =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0.8</w:t>
      </w:r>
      <w:r w:rsidR="008F47B1" w:rsidRPr="004643A0">
        <w:rPr>
          <w:rFonts w:ascii="Arial" w:hAnsi="Arial" w:cs="Arial"/>
          <w:color w:val="000000" w:themeColor="text1"/>
          <w:sz w:val="20"/>
          <w:szCs w:val="20"/>
        </w:rPr>
        <w:t>0</w:t>
      </w:r>
      <w:r w:rsidRPr="004643A0">
        <w:rPr>
          <w:rFonts w:ascii="Arial" w:hAnsi="Arial" w:cs="Arial"/>
          <w:color w:val="000000" w:themeColor="text1"/>
          <w:sz w:val="20"/>
          <w:szCs w:val="20"/>
        </w:rPr>
        <w:t xml:space="preserve">), and the horizontal blue solid line represents the </w:t>
      </w:r>
      <w:r w:rsidR="000E6186" w:rsidRPr="004643A0">
        <w:rPr>
          <w:rFonts w:ascii="Arial" w:hAnsi="Arial" w:cs="Arial"/>
          <w:color w:val="000000" w:themeColor="text1"/>
          <w:sz w:val="20"/>
          <w:szCs w:val="20"/>
        </w:rPr>
        <w:t>functional</w:t>
      </w:r>
      <w:r w:rsidRPr="004643A0">
        <w:rPr>
          <w:rFonts w:ascii="Arial" w:hAnsi="Arial" w:cs="Arial"/>
          <w:color w:val="000000" w:themeColor="text1"/>
          <w:sz w:val="20"/>
          <w:szCs w:val="20"/>
        </w:rPr>
        <w:t xml:space="preserve"> efficacy threshold (Δ</w:t>
      </w:r>
      <w:r w:rsidR="00753E09" w:rsidRPr="004643A0">
        <w:rPr>
          <w:rFonts w:ascii="Arial" w:hAnsi="Arial" w:cs="Arial"/>
          <w:color w:val="000000" w:themeColor="text1"/>
          <w:sz w:val="20"/>
          <w:szCs w:val="20"/>
        </w:rPr>
        <w:t>b</w:t>
      </w:r>
      <w:r w:rsidRPr="004643A0">
        <w:rPr>
          <w:rFonts w:ascii="Arial" w:hAnsi="Arial" w:cs="Arial"/>
          <w:color w:val="000000" w:themeColor="text1"/>
          <w:sz w:val="20"/>
          <w:szCs w:val="20"/>
        </w:rPr>
        <w:t>utyrate = 5.0 m</w:t>
      </w:r>
      <w:r w:rsidRPr="00AF7883">
        <w:rPr>
          <w:rFonts w:ascii="Arial" w:hAnsi="Arial" w:cs="Arial"/>
          <w:sz w:val="20"/>
          <w:szCs w:val="20"/>
        </w:rPr>
        <w:t xml:space="preserve">M). Individual donors are dynamically categorized as </w:t>
      </w:r>
      <w:r w:rsidR="00AF7883" w:rsidRPr="00AF7883">
        <w:rPr>
          <w:rFonts w:ascii="Arial" w:hAnsi="Arial" w:cs="Arial"/>
          <w:sz w:val="20"/>
          <w:szCs w:val="20"/>
        </w:rPr>
        <w:t>current responders</w:t>
      </w:r>
      <w:r w:rsidRPr="00AF7883">
        <w:rPr>
          <w:rFonts w:ascii="Arial" w:hAnsi="Arial" w:cs="Arial"/>
          <w:sz w:val="20"/>
          <w:szCs w:val="20"/>
        </w:rPr>
        <w:t xml:space="preserve"> (colored circles, within the target zone), </w:t>
      </w:r>
      <w:r w:rsidR="00AF7883" w:rsidRPr="00AF7883">
        <w:rPr>
          <w:rFonts w:ascii="Arial" w:hAnsi="Arial" w:cs="Arial"/>
          <w:sz w:val="20"/>
          <w:szCs w:val="20"/>
        </w:rPr>
        <w:t>prior responders (grey circles, successfully compensated by preceding substrates in the sequence), or non-responders (</w:t>
      </w:r>
      <w:r w:rsidRPr="00AF7883">
        <w:rPr>
          <w:rFonts w:ascii="Arial" w:hAnsi="Arial" w:cs="Arial"/>
          <w:sz w:val="20"/>
          <w:szCs w:val="20"/>
        </w:rPr>
        <w:t xml:space="preserve">black crosses, failing to achieve </w:t>
      </w:r>
      <w:r w:rsidR="000E6186">
        <w:rPr>
          <w:rFonts w:ascii="Arial" w:hAnsi="Arial" w:cs="Arial"/>
          <w:sz w:val="20"/>
          <w:szCs w:val="20"/>
        </w:rPr>
        <w:t>stable functional</w:t>
      </w:r>
      <w:r w:rsidRPr="00AF7883">
        <w:rPr>
          <w:rFonts w:ascii="Arial" w:hAnsi="Arial" w:cs="Arial"/>
          <w:sz w:val="20"/>
          <w:szCs w:val="20"/>
        </w:rPr>
        <w:t xml:space="preserve"> efficacy). </w:t>
      </w:r>
      <w:r w:rsidRPr="00AF7883">
        <w:rPr>
          <w:rFonts w:ascii="Arial" w:hAnsi="Arial" w:cs="Arial"/>
          <w:b/>
          <w:bCs/>
          <w:sz w:val="20"/>
          <w:szCs w:val="20"/>
        </w:rPr>
        <w:t>c</w:t>
      </w:r>
      <w:r w:rsidRPr="00AF7883">
        <w:rPr>
          <w:rFonts w:ascii="Arial" w:hAnsi="Arial" w:cs="Arial"/>
          <w:sz w:val="20"/>
          <w:szCs w:val="20"/>
        </w:rPr>
        <w:t>, Stepwise precision stratification algorithm output restricted solely to the 13 bifidogenic substrates. Donors are grouped by their optimally assigned substrate to maximize individualized responder rates and ranked by their maximized Δ</w:t>
      </w:r>
      <w:r w:rsidR="00753E09">
        <w:rPr>
          <w:rFonts w:ascii="Arial" w:hAnsi="Arial" w:cs="Arial"/>
          <w:sz w:val="20"/>
          <w:szCs w:val="20"/>
        </w:rPr>
        <w:t>b</w:t>
      </w:r>
      <w:r w:rsidRPr="00AF7883">
        <w:rPr>
          <w:rFonts w:ascii="Arial" w:hAnsi="Arial" w:cs="Arial"/>
          <w:sz w:val="20"/>
          <w:szCs w:val="20"/>
        </w:rPr>
        <w:t>utyrate production. Bars are color-coded by the baseline inulin-induced ecotype (</w:t>
      </w:r>
      <w:r w:rsidR="00AF7883">
        <w:rPr>
          <w:rFonts w:ascii="Arial" w:hAnsi="Arial" w:cs="Arial"/>
          <w:sz w:val="20"/>
          <w:szCs w:val="20"/>
        </w:rPr>
        <w:t>m</w:t>
      </w:r>
      <w:r w:rsidRPr="00AF7883">
        <w:rPr>
          <w:rFonts w:ascii="Arial" w:hAnsi="Arial" w:cs="Arial"/>
          <w:sz w:val="20"/>
          <w:szCs w:val="20"/>
        </w:rPr>
        <w:t xml:space="preserve">ild, red; </w:t>
      </w:r>
      <w:r w:rsidR="00AF7883">
        <w:rPr>
          <w:rFonts w:ascii="Arial" w:hAnsi="Arial" w:cs="Arial"/>
          <w:sz w:val="20"/>
          <w:szCs w:val="20"/>
        </w:rPr>
        <w:t>m</w:t>
      </w:r>
      <w:r w:rsidRPr="00AF7883">
        <w:rPr>
          <w:rFonts w:ascii="Arial" w:hAnsi="Arial" w:cs="Arial"/>
          <w:sz w:val="20"/>
          <w:szCs w:val="20"/>
        </w:rPr>
        <w:t xml:space="preserve">oderate, grey; </w:t>
      </w:r>
      <w:r w:rsidR="00AF7883">
        <w:rPr>
          <w:rFonts w:ascii="Arial" w:hAnsi="Arial" w:cs="Arial"/>
          <w:sz w:val="20"/>
          <w:szCs w:val="20"/>
        </w:rPr>
        <w:t>s</w:t>
      </w:r>
      <w:r w:rsidRPr="00AF7883">
        <w:rPr>
          <w:rFonts w:ascii="Arial" w:hAnsi="Arial" w:cs="Arial"/>
          <w:sz w:val="20"/>
          <w:szCs w:val="20"/>
        </w:rPr>
        <w:t>evere, blue). Numbers in parentheses indicate the count and percentage of the total donor po</w:t>
      </w:r>
      <w:r w:rsidRPr="00C36983">
        <w:rPr>
          <w:rFonts w:ascii="Arial" w:hAnsi="Arial" w:cs="Arial"/>
          <w:sz w:val="20"/>
          <w:szCs w:val="20"/>
        </w:rPr>
        <w:t xml:space="preserve">pulation assigned to each category. This comprehensive evaluation visually demonstrates the absolute capacity limit of the bifidogenic cross-feeding network (plateauing at </w:t>
      </w:r>
      <w:r w:rsidR="00C36983" w:rsidRPr="00C36983">
        <w:rPr>
          <w:rFonts w:ascii="Arial" w:hAnsi="Arial" w:cs="Arial"/>
          <w:sz w:val="20"/>
          <w:szCs w:val="20"/>
        </w:rPr>
        <w:t xml:space="preserve">a responder rate of approximately </w:t>
      </w:r>
      <w:r w:rsidRPr="00C36983">
        <w:rPr>
          <w:rFonts w:ascii="Arial" w:hAnsi="Arial" w:cs="Arial"/>
          <w:sz w:val="20"/>
          <w:szCs w:val="20"/>
        </w:rPr>
        <w:t>46.2% responder rate), mathematically proving the necessity of switching to mechanistically distinct niche drivers (e.g., xylitol and erythritol, Fig. 7) to restore metabolic function in the</w:t>
      </w:r>
      <w:r w:rsidRPr="00AF7883">
        <w:rPr>
          <w:rFonts w:ascii="Arial" w:hAnsi="Arial" w:cs="Arial"/>
          <w:sz w:val="20"/>
          <w:szCs w:val="20"/>
        </w:rPr>
        <w:t xml:space="preserve"> remaining </w:t>
      </w:r>
      <w:r w:rsidR="00C36983">
        <w:rPr>
          <w:rFonts w:ascii="Arial" w:hAnsi="Arial" w:cs="Arial"/>
          <w:sz w:val="20"/>
          <w:szCs w:val="20"/>
        </w:rPr>
        <w:t>s</w:t>
      </w:r>
      <w:r w:rsidRPr="00AF7883">
        <w:rPr>
          <w:rFonts w:ascii="Arial" w:hAnsi="Arial" w:cs="Arial"/>
          <w:sz w:val="20"/>
          <w:szCs w:val="20"/>
        </w:rPr>
        <w:t xml:space="preserve">evere and </w:t>
      </w:r>
      <w:r w:rsidR="00C36983">
        <w:rPr>
          <w:rFonts w:ascii="Arial" w:hAnsi="Arial" w:cs="Arial"/>
          <w:sz w:val="20"/>
          <w:szCs w:val="20"/>
        </w:rPr>
        <w:t>m</w:t>
      </w:r>
      <w:r w:rsidRPr="00AF7883">
        <w:rPr>
          <w:rFonts w:ascii="Arial" w:hAnsi="Arial" w:cs="Arial"/>
          <w:sz w:val="20"/>
          <w:szCs w:val="20"/>
        </w:rPr>
        <w:t xml:space="preserve">oderate non-responders. For all panels, </w:t>
      </w:r>
      <w:r w:rsidRPr="00AF7883">
        <w:rPr>
          <w:rFonts w:ascii="Arial" w:hAnsi="Arial" w:cs="Arial"/>
          <w:i/>
          <w:iCs/>
          <w:sz w:val="20"/>
          <w:szCs w:val="20"/>
        </w:rPr>
        <w:t>n</w:t>
      </w:r>
      <w:r w:rsidRPr="00AF7883">
        <w:rPr>
          <w:rFonts w:ascii="Arial" w:hAnsi="Arial" w:cs="Arial"/>
          <w:sz w:val="20"/>
          <w:szCs w:val="20"/>
        </w:rPr>
        <w:t xml:space="preserve"> = 52 biologically independent human donors were analyzed, resulting in a total of 676 pairwise metabolic trajectories evaluated in </w:t>
      </w:r>
      <w:r w:rsidRPr="00AF7883">
        <w:rPr>
          <w:rFonts w:ascii="Arial" w:hAnsi="Arial" w:cs="Arial"/>
          <w:b/>
          <w:bCs/>
          <w:sz w:val="20"/>
          <w:szCs w:val="20"/>
        </w:rPr>
        <w:t>a</w:t>
      </w:r>
      <w:r w:rsidRPr="00AF7883">
        <w:rPr>
          <w:rFonts w:ascii="Arial" w:hAnsi="Arial" w:cs="Arial"/>
          <w:sz w:val="20"/>
          <w:szCs w:val="20"/>
        </w:rPr>
        <w:t>.</w:t>
      </w:r>
    </w:p>
    <w:p w14:paraId="7E64376C" w14:textId="03CFBBB7" w:rsidR="00700221" w:rsidRPr="00190549" w:rsidRDefault="00700221" w:rsidP="00346B63">
      <w:pPr>
        <w:rPr>
          <w:rFonts w:ascii="Arial" w:hAnsi="Arial" w:cs="Arial"/>
          <w:b/>
          <w:bCs/>
          <w:sz w:val="20"/>
          <w:szCs w:val="20"/>
        </w:rPr>
      </w:pPr>
      <w:r w:rsidRPr="00AF7883">
        <w:rPr>
          <w:rFonts w:ascii="Arial" w:hAnsi="Arial" w:cs="Arial"/>
          <w:b/>
          <w:bCs/>
          <w:sz w:val="20"/>
          <w:szCs w:val="20"/>
        </w:rPr>
        <w:br w:type="page"/>
      </w:r>
    </w:p>
    <w:p w14:paraId="2CB03DB1" w14:textId="77777777" w:rsidR="00665F54" w:rsidRPr="00665F54" w:rsidRDefault="00665F54" w:rsidP="00346B63">
      <w:pPr>
        <w:rPr>
          <w:rFonts w:ascii="Arial" w:hAnsi="Arial" w:cs="Arial"/>
        </w:rPr>
      </w:pPr>
    </w:p>
    <w:p w14:paraId="27407BD5" w14:textId="75C627DE" w:rsidR="00C613A0" w:rsidRDefault="00665F54" w:rsidP="00346B63">
      <w:pPr>
        <w:rPr>
          <w:rFonts w:ascii="Arial" w:hAnsi="Arial" w:cs="Arial"/>
          <w:b/>
          <w:bCs/>
        </w:rPr>
      </w:pPr>
      <w:r>
        <w:rPr>
          <w:rFonts w:ascii="Arial" w:hAnsi="Arial" w:cs="Arial"/>
          <w:b/>
          <w:bCs/>
          <w:noProof/>
        </w:rPr>
        <w:drawing>
          <wp:inline distT="0" distB="0" distL="0" distR="0" wp14:anchorId="4DF46702" wp14:editId="251D2CD3">
            <wp:extent cx="5396230" cy="5911850"/>
            <wp:effectExtent l="0" t="0" r="0" b="0"/>
            <wp:docPr id="101584705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47056" name="図 1015847056"/>
                    <pic:cNvPicPr/>
                  </pic:nvPicPr>
                  <pic:blipFill>
                    <a:blip r:embed="rId10"/>
                    <a:stretch>
                      <a:fillRect/>
                    </a:stretch>
                  </pic:blipFill>
                  <pic:spPr>
                    <a:xfrm>
                      <a:off x="0" y="0"/>
                      <a:ext cx="5396230" cy="5911850"/>
                    </a:xfrm>
                    <a:prstGeom prst="rect">
                      <a:avLst/>
                    </a:prstGeom>
                  </pic:spPr>
                </pic:pic>
              </a:graphicData>
            </a:graphic>
          </wp:inline>
        </w:drawing>
      </w:r>
    </w:p>
    <w:p w14:paraId="3AEE4214" w14:textId="77777777" w:rsidR="008F532B" w:rsidRDefault="008F532B" w:rsidP="00346B63">
      <w:pPr>
        <w:rPr>
          <w:rFonts w:ascii="Arial" w:hAnsi="Arial" w:cs="Arial"/>
          <w:b/>
          <w:bCs/>
        </w:rPr>
      </w:pPr>
    </w:p>
    <w:p w14:paraId="6DF53697" w14:textId="07D3D415" w:rsidR="006F7E66" w:rsidRPr="00C36983" w:rsidRDefault="006F7E66" w:rsidP="00346B63">
      <w:pPr>
        <w:rPr>
          <w:rFonts w:ascii="Arial" w:hAnsi="Arial" w:cs="Arial"/>
          <w:sz w:val="20"/>
          <w:szCs w:val="20"/>
        </w:rPr>
      </w:pPr>
      <w:r w:rsidRPr="008F532B">
        <w:rPr>
          <w:rFonts w:ascii="Arial" w:hAnsi="Arial" w:cs="Arial"/>
          <w:b/>
          <w:bCs/>
        </w:rPr>
        <w:t xml:space="preserve">Supplementary </w:t>
      </w:r>
      <w:r w:rsidR="001161A4" w:rsidRPr="008F532B">
        <w:rPr>
          <w:rFonts w:ascii="Arial" w:hAnsi="Arial" w:cs="Arial"/>
          <w:b/>
          <w:bCs/>
        </w:rPr>
        <w:t>Fig.</w:t>
      </w:r>
      <w:r w:rsidR="001161A4" w:rsidRPr="008F532B">
        <w:rPr>
          <w:rFonts w:ascii="Arial" w:hAnsi="Arial" w:cs="Arial" w:hint="eastAsia"/>
          <w:b/>
          <w:bCs/>
        </w:rPr>
        <w:t xml:space="preserve"> </w:t>
      </w:r>
      <w:r w:rsidRPr="008F532B">
        <w:rPr>
          <w:rFonts w:ascii="Arial" w:hAnsi="Arial" w:cs="Arial"/>
          <w:b/>
          <w:bCs/>
        </w:rPr>
        <w:t xml:space="preserve">6 | Ecological stratification of the baseline fecal microbiota and predictive limitation of static </w:t>
      </w:r>
      <w:proofErr w:type="spellStart"/>
      <w:r w:rsidRPr="008F532B">
        <w:rPr>
          <w:rFonts w:ascii="Arial" w:hAnsi="Arial" w:cs="Arial"/>
          <w:b/>
          <w:bCs/>
        </w:rPr>
        <w:t>enterotyping</w:t>
      </w:r>
      <w:proofErr w:type="spellEnd"/>
      <w:r w:rsidRPr="008F532B">
        <w:rPr>
          <w:rFonts w:ascii="Arial" w:hAnsi="Arial" w:cs="Arial"/>
          <w:b/>
          <w:bCs/>
        </w:rPr>
        <w:t>.</w:t>
      </w:r>
      <w:r w:rsidRPr="00C36983">
        <w:rPr>
          <w:rFonts w:ascii="Arial" w:hAnsi="Arial" w:cs="Arial"/>
          <w:sz w:val="20"/>
          <w:szCs w:val="20"/>
        </w:rPr>
        <w:t xml:space="preserve"> </w:t>
      </w:r>
      <w:r w:rsidRPr="00C36983">
        <w:rPr>
          <w:rFonts w:ascii="Arial" w:hAnsi="Arial" w:cs="Arial"/>
          <w:b/>
          <w:bCs/>
          <w:sz w:val="20"/>
          <w:szCs w:val="20"/>
        </w:rPr>
        <w:t>a</w:t>
      </w:r>
      <w:r w:rsidRPr="00C36983">
        <w:rPr>
          <w:rFonts w:ascii="Arial" w:hAnsi="Arial" w:cs="Arial"/>
          <w:sz w:val="20"/>
          <w:szCs w:val="20"/>
        </w:rPr>
        <w:t xml:space="preserve">, Principal </w:t>
      </w:r>
      <w:r w:rsidR="00C36983" w:rsidRPr="00C36983">
        <w:rPr>
          <w:rFonts w:ascii="Arial" w:hAnsi="Arial" w:cs="Arial"/>
          <w:sz w:val="20"/>
          <w:szCs w:val="20"/>
        </w:rPr>
        <w:t>c</w:t>
      </w:r>
      <w:r w:rsidRPr="00C36983">
        <w:rPr>
          <w:rFonts w:ascii="Arial" w:hAnsi="Arial" w:cs="Arial"/>
          <w:sz w:val="20"/>
          <w:szCs w:val="20"/>
        </w:rPr>
        <w:t xml:space="preserve">oordinate </w:t>
      </w:r>
      <w:r w:rsidR="00C36983" w:rsidRPr="00C36983">
        <w:rPr>
          <w:rFonts w:ascii="Arial" w:hAnsi="Arial" w:cs="Arial"/>
          <w:sz w:val="20"/>
          <w:szCs w:val="20"/>
        </w:rPr>
        <w:t>a</w:t>
      </w:r>
      <w:r w:rsidRPr="00C36983">
        <w:rPr>
          <w:rFonts w:ascii="Arial" w:hAnsi="Arial" w:cs="Arial"/>
          <w:sz w:val="20"/>
          <w:szCs w:val="20"/>
        </w:rPr>
        <w:t>nalysis (</w:t>
      </w:r>
      <w:proofErr w:type="spellStart"/>
      <w:r w:rsidRPr="00C36983">
        <w:rPr>
          <w:rFonts w:ascii="Arial" w:hAnsi="Arial" w:cs="Arial"/>
          <w:sz w:val="20"/>
          <w:szCs w:val="20"/>
        </w:rPr>
        <w:t>PCoA</w:t>
      </w:r>
      <w:proofErr w:type="spellEnd"/>
      <w:r w:rsidRPr="00C36983">
        <w:rPr>
          <w:rFonts w:ascii="Arial" w:hAnsi="Arial" w:cs="Arial"/>
          <w:sz w:val="20"/>
          <w:szCs w:val="20"/>
        </w:rPr>
        <w:t>) plot of the baseline fecal microbial communities based on genus-level Bray</w:t>
      </w:r>
      <w:r w:rsidR="009544C9" w:rsidRPr="00496B63">
        <w:rPr>
          <w:rFonts w:ascii="Arial" w:hAnsi="Arial" w:cs="Arial"/>
          <w:sz w:val="20"/>
          <w:szCs w:val="20"/>
        </w:rPr>
        <w:t>–</w:t>
      </w:r>
      <w:r w:rsidRPr="00C36983">
        <w:rPr>
          <w:rFonts w:ascii="Arial" w:hAnsi="Arial" w:cs="Arial"/>
          <w:sz w:val="20"/>
          <w:szCs w:val="20"/>
        </w:rPr>
        <w:t>Curtis dissimilarity. To robustly define baseline community architecture, samples were stratified into three distinct enterotypes (</w:t>
      </w:r>
      <w:r w:rsidRPr="00C36983">
        <w:rPr>
          <w:rFonts w:ascii="Arial" w:hAnsi="Arial" w:cs="Arial"/>
          <w:i/>
          <w:iCs/>
          <w:sz w:val="20"/>
          <w:szCs w:val="20"/>
        </w:rPr>
        <w:t>Bacteroides</w:t>
      </w:r>
      <w:r w:rsidRPr="00C36983">
        <w:rPr>
          <w:rFonts w:ascii="Arial" w:hAnsi="Arial" w:cs="Arial"/>
          <w:sz w:val="20"/>
          <w:szCs w:val="20"/>
        </w:rPr>
        <w:t xml:space="preserve"> type, red; </w:t>
      </w:r>
      <w:r w:rsidRPr="00C36983">
        <w:rPr>
          <w:rFonts w:ascii="Arial" w:hAnsi="Arial" w:cs="Arial"/>
          <w:i/>
          <w:iCs/>
          <w:sz w:val="20"/>
          <w:szCs w:val="20"/>
        </w:rPr>
        <w:t>Prevotella</w:t>
      </w:r>
      <w:r w:rsidRPr="00C36983">
        <w:rPr>
          <w:rFonts w:ascii="Arial" w:hAnsi="Arial" w:cs="Arial"/>
          <w:sz w:val="20"/>
          <w:szCs w:val="20"/>
        </w:rPr>
        <w:t xml:space="preserve"> type, yellow; </w:t>
      </w:r>
      <w:r w:rsidRPr="00C36983">
        <w:rPr>
          <w:rFonts w:ascii="Arial" w:hAnsi="Arial" w:cs="Arial"/>
          <w:i/>
          <w:iCs/>
          <w:sz w:val="20"/>
          <w:szCs w:val="20"/>
        </w:rPr>
        <w:t>Ruminococcus</w:t>
      </w:r>
      <w:r w:rsidRPr="00C36983">
        <w:rPr>
          <w:rFonts w:ascii="Arial" w:hAnsi="Arial" w:cs="Arial"/>
          <w:sz w:val="20"/>
          <w:szCs w:val="20"/>
        </w:rPr>
        <w:t xml:space="preserve"> type, blue) employing </w:t>
      </w:r>
      <w:r w:rsidR="00C36983">
        <w:rPr>
          <w:rFonts w:ascii="Arial" w:hAnsi="Arial" w:cs="Arial"/>
          <w:sz w:val="20"/>
          <w:szCs w:val="20"/>
        </w:rPr>
        <w:t>p</w:t>
      </w:r>
      <w:r w:rsidRPr="00C36983">
        <w:rPr>
          <w:rFonts w:ascii="Arial" w:hAnsi="Arial" w:cs="Arial"/>
          <w:sz w:val="20"/>
          <w:szCs w:val="20"/>
        </w:rPr>
        <w:t xml:space="preserve">artitioning </w:t>
      </w:r>
      <w:r w:rsidR="00C36983">
        <w:rPr>
          <w:rFonts w:ascii="Arial" w:hAnsi="Arial" w:cs="Arial"/>
          <w:sz w:val="20"/>
          <w:szCs w:val="20"/>
        </w:rPr>
        <w:t>a</w:t>
      </w:r>
      <w:r w:rsidRPr="00C36983">
        <w:rPr>
          <w:rFonts w:ascii="Arial" w:hAnsi="Arial" w:cs="Arial"/>
          <w:sz w:val="20"/>
          <w:szCs w:val="20"/>
        </w:rPr>
        <w:t xml:space="preserve">round </w:t>
      </w:r>
      <w:r w:rsidR="00C36983">
        <w:rPr>
          <w:rFonts w:ascii="Arial" w:hAnsi="Arial" w:cs="Arial"/>
          <w:sz w:val="20"/>
          <w:szCs w:val="20"/>
        </w:rPr>
        <w:t>m</w:t>
      </w:r>
      <w:r w:rsidRPr="00C36983">
        <w:rPr>
          <w:rFonts w:ascii="Arial" w:hAnsi="Arial" w:cs="Arial"/>
          <w:sz w:val="20"/>
          <w:szCs w:val="20"/>
        </w:rPr>
        <w:t>edoids (PAM) clustering based on Jensen</w:t>
      </w:r>
      <w:r w:rsidR="00CD1C70" w:rsidRPr="00496B63">
        <w:rPr>
          <w:rFonts w:ascii="Arial" w:hAnsi="Arial" w:cs="Arial"/>
          <w:sz w:val="20"/>
          <w:szCs w:val="20"/>
        </w:rPr>
        <w:t>–</w:t>
      </w:r>
      <w:r w:rsidRPr="00C36983">
        <w:rPr>
          <w:rFonts w:ascii="Arial" w:hAnsi="Arial" w:cs="Arial"/>
          <w:sz w:val="20"/>
          <w:szCs w:val="20"/>
        </w:rPr>
        <w:t xml:space="preserve">Shannon distance, in accordance with established human gut microbiome stratification protocols. Dashed ellipses represent the 95% confidence intervals for each enterotype cluster. </w:t>
      </w:r>
      <w:r w:rsidRPr="00C36983">
        <w:rPr>
          <w:rFonts w:ascii="Arial" w:hAnsi="Arial" w:cs="Arial"/>
          <w:sz w:val="20"/>
          <w:szCs w:val="20"/>
        </w:rPr>
        <w:lastRenderedPageBreak/>
        <w:t xml:space="preserve">The percentages on the axes indicate the proportion of total variance explained by the first two principal coordinates. </w:t>
      </w:r>
      <w:r w:rsidRPr="00C36983">
        <w:rPr>
          <w:rFonts w:ascii="Arial" w:hAnsi="Arial" w:cs="Arial"/>
          <w:b/>
          <w:bCs/>
          <w:sz w:val="20"/>
          <w:szCs w:val="20"/>
        </w:rPr>
        <w:t>b</w:t>
      </w:r>
      <w:r w:rsidRPr="00C36983">
        <w:rPr>
          <w:rFonts w:ascii="Arial" w:hAnsi="Arial" w:cs="Arial"/>
          <w:sz w:val="20"/>
          <w:szCs w:val="20"/>
        </w:rPr>
        <w:t xml:space="preserve">, Substrate-specific short-chain fatty acid (SCFA) production across the three baseline enterotypes. The absolute changes (Δ) in specific target SCFAs—propionate for resistant maltodextrin (RMD), resistant starch (RS), and </w:t>
      </w:r>
      <w:r w:rsidR="00496B63">
        <w:rPr>
          <w:rFonts w:ascii="Arial" w:hAnsi="Arial" w:cs="Arial"/>
          <w:sz w:val="20"/>
          <w:szCs w:val="20"/>
        </w:rPr>
        <w:t>D-</w:t>
      </w:r>
      <w:r w:rsidR="00496B63" w:rsidRPr="00DC3260">
        <w:rPr>
          <w:rFonts w:ascii="Arial" w:hAnsi="Arial" w:cs="Arial"/>
          <w:sz w:val="20"/>
          <w:szCs w:val="20"/>
        </w:rPr>
        <w:t>mannose</w:t>
      </w:r>
      <w:r w:rsidRPr="00C36983">
        <w:rPr>
          <w:rFonts w:ascii="Arial" w:hAnsi="Arial" w:cs="Arial"/>
          <w:sz w:val="20"/>
          <w:szCs w:val="20"/>
        </w:rPr>
        <w:t xml:space="preserve">; butyrate for inulin, xylitol, and erythritol—are shown. This complete lack of enterotype-driven metabolic divergence validates that static taxonomic profiling is insufficient to predict individual metabolic trajectories, underscoring the necessity of dynamic functional screening via S-KUHIMM. For both panels, </w:t>
      </w:r>
      <w:r w:rsidRPr="00C36983">
        <w:rPr>
          <w:rFonts w:ascii="Arial" w:hAnsi="Arial" w:cs="Arial"/>
          <w:i/>
          <w:iCs/>
          <w:sz w:val="20"/>
          <w:szCs w:val="20"/>
        </w:rPr>
        <w:t>n</w:t>
      </w:r>
      <w:r w:rsidRPr="00C36983">
        <w:rPr>
          <w:rFonts w:ascii="Arial" w:hAnsi="Arial" w:cs="Arial"/>
          <w:sz w:val="20"/>
          <w:szCs w:val="20"/>
        </w:rPr>
        <w:t xml:space="preserve"> = 48 biologically independent human donors were analyzed. Four donors (HS-07, HS-34, HS-51, and HS-52) were systematically excluded from this analysis due to the absence of baseline fecal 16S rRNA sequencing datasets. In the box plots (</w:t>
      </w:r>
      <w:r w:rsidRPr="00C36983">
        <w:rPr>
          <w:rFonts w:ascii="Arial" w:hAnsi="Arial" w:cs="Arial"/>
          <w:b/>
          <w:bCs/>
          <w:sz w:val="20"/>
          <w:szCs w:val="20"/>
        </w:rPr>
        <w:t>b</w:t>
      </w:r>
      <w:r w:rsidRPr="00C36983">
        <w:rPr>
          <w:rFonts w:ascii="Arial" w:hAnsi="Arial" w:cs="Arial"/>
          <w:sz w:val="20"/>
          <w:szCs w:val="20"/>
        </w:rPr>
        <w:t>), the central horizontal line indicates the median, box limits represent the upper and lower quartiles (25th and 75th percentiles), and whiskers extend to 1.5</w:t>
      </w:r>
      <w:r w:rsidR="00475B28">
        <w:rPr>
          <w:rFonts w:ascii="Arial" w:hAnsi="Arial" w:cs="Arial"/>
          <w:sz w:val="20"/>
          <w:szCs w:val="20"/>
        </w:rPr>
        <w:t xml:space="preserve"> </w:t>
      </w:r>
      <w:r w:rsidRPr="00C36983">
        <w:rPr>
          <w:rFonts w:ascii="Arial" w:hAnsi="Arial" w:cs="Arial"/>
          <w:sz w:val="20"/>
          <w:szCs w:val="20"/>
        </w:rPr>
        <w:t>× the interquartile range, with individual data points overlaid. Statistical significance was evaluated using the two-sided Kruskal</w:t>
      </w:r>
      <w:r w:rsidR="0000017D" w:rsidRPr="00496B63">
        <w:rPr>
          <w:rFonts w:ascii="Arial" w:hAnsi="Arial" w:cs="Arial"/>
          <w:sz w:val="20"/>
          <w:szCs w:val="20"/>
        </w:rPr>
        <w:t>–</w:t>
      </w:r>
      <w:r w:rsidRPr="00C36983">
        <w:rPr>
          <w:rFonts w:ascii="Arial" w:hAnsi="Arial" w:cs="Arial"/>
          <w:sz w:val="20"/>
          <w:szCs w:val="20"/>
        </w:rPr>
        <w:t xml:space="preserve">Wallis test, with exact unadjusted </w:t>
      </w:r>
      <w:r w:rsidRPr="00C36983">
        <w:rPr>
          <w:rFonts w:ascii="Arial" w:hAnsi="Arial" w:cs="Arial"/>
          <w:i/>
          <w:iCs/>
          <w:sz w:val="20"/>
          <w:szCs w:val="20"/>
        </w:rPr>
        <w:t>P</w:t>
      </w:r>
      <w:r w:rsidRPr="00C36983">
        <w:rPr>
          <w:rFonts w:ascii="Arial" w:hAnsi="Arial" w:cs="Arial"/>
          <w:sz w:val="20"/>
          <w:szCs w:val="20"/>
        </w:rPr>
        <w:t xml:space="preserve"> values indicated above each panel. All comparisons remained non-significant after adjusting for multiple testing using the Benjamini</w:t>
      </w:r>
      <w:r w:rsidR="00496B63" w:rsidRPr="00496B63">
        <w:rPr>
          <w:rFonts w:ascii="Arial" w:hAnsi="Arial" w:cs="Arial"/>
          <w:sz w:val="20"/>
          <w:szCs w:val="20"/>
        </w:rPr>
        <w:t>–</w:t>
      </w:r>
      <w:r w:rsidRPr="00C36983">
        <w:rPr>
          <w:rFonts w:ascii="Arial" w:hAnsi="Arial" w:cs="Arial"/>
          <w:sz w:val="20"/>
          <w:szCs w:val="20"/>
        </w:rPr>
        <w:t xml:space="preserve">Hochberg false discovery rate (all </w:t>
      </w:r>
      <w:r w:rsidRPr="00C36983">
        <w:rPr>
          <w:rFonts w:ascii="Arial" w:hAnsi="Arial" w:cs="Arial"/>
          <w:i/>
          <w:iCs/>
          <w:sz w:val="20"/>
          <w:szCs w:val="20"/>
        </w:rPr>
        <w:t>q</w:t>
      </w:r>
      <w:r w:rsidRPr="00C36983">
        <w:rPr>
          <w:rFonts w:ascii="Arial" w:hAnsi="Arial" w:cs="Arial"/>
          <w:sz w:val="20"/>
          <w:szCs w:val="20"/>
        </w:rPr>
        <w:t xml:space="preserve"> &gt; 0.05).</w:t>
      </w:r>
    </w:p>
    <w:p w14:paraId="552B24B7" w14:textId="733C43A0" w:rsidR="00C24C3D" w:rsidRPr="006F7E66" w:rsidRDefault="00C24C3D" w:rsidP="005620E3">
      <w:pPr>
        <w:rPr>
          <w:rFonts w:ascii="Arial" w:hAnsi="Arial" w:cs="Arial"/>
          <w:b/>
          <w:bCs/>
        </w:rPr>
      </w:pPr>
    </w:p>
    <w:p w14:paraId="68A85E0E" w14:textId="77777777" w:rsidR="006F7E66" w:rsidRDefault="006F7E66">
      <w:pPr>
        <w:jc w:val="both"/>
        <w:rPr>
          <w:rFonts w:ascii="Arial" w:hAnsi="Arial" w:cs="Arial"/>
          <w:b/>
          <w:bCs/>
        </w:rPr>
      </w:pPr>
      <w:r>
        <w:rPr>
          <w:rFonts w:ascii="Arial" w:hAnsi="Arial" w:cs="Arial"/>
          <w:b/>
          <w:bCs/>
        </w:rPr>
        <w:br w:type="page"/>
      </w:r>
    </w:p>
    <w:p w14:paraId="51E80507" w14:textId="517089BD" w:rsidR="00BC6C57" w:rsidRPr="009023E1" w:rsidRDefault="00572A93" w:rsidP="005620E3">
      <w:pPr>
        <w:rPr>
          <w:rFonts w:ascii="Arial" w:hAnsi="Arial" w:cs="Arial"/>
          <w:b/>
          <w:bCs/>
          <w:color w:val="000000" w:themeColor="text1"/>
        </w:rPr>
      </w:pPr>
      <w:r w:rsidRPr="009023E1">
        <w:rPr>
          <w:rFonts w:ascii="Arial" w:hAnsi="Arial" w:cs="Arial"/>
          <w:b/>
          <w:bCs/>
          <w:color w:val="000000" w:themeColor="text1"/>
        </w:rPr>
        <w:lastRenderedPageBreak/>
        <w:t xml:space="preserve">Supplementary Table </w:t>
      </w:r>
      <w:r w:rsidR="006F7E66" w:rsidRPr="009023E1">
        <w:rPr>
          <w:rFonts w:ascii="Arial" w:hAnsi="Arial" w:cs="Arial"/>
          <w:b/>
          <w:bCs/>
          <w:color w:val="000000" w:themeColor="text1"/>
        </w:rPr>
        <w:t>1</w:t>
      </w:r>
      <w:r w:rsidR="00B84B60" w:rsidRPr="009023E1">
        <w:rPr>
          <w:rFonts w:ascii="Arial" w:hAnsi="Arial" w:cs="Arial" w:hint="eastAsia"/>
          <w:b/>
          <w:bCs/>
          <w:color w:val="000000" w:themeColor="text1"/>
        </w:rPr>
        <w:t xml:space="preserve"> </w:t>
      </w:r>
      <w:r w:rsidR="00B84B60" w:rsidRPr="009023E1">
        <w:rPr>
          <w:rFonts w:ascii="Arial" w:hAnsi="Arial" w:cs="Arial"/>
          <w:b/>
          <w:bCs/>
          <w:color w:val="000000" w:themeColor="text1"/>
        </w:rPr>
        <w:t xml:space="preserve">| </w:t>
      </w:r>
      <w:r w:rsidRPr="009023E1">
        <w:rPr>
          <w:rFonts w:ascii="Arial" w:hAnsi="Arial" w:cs="Arial"/>
          <w:b/>
          <w:bCs/>
          <w:color w:val="000000" w:themeColor="text1"/>
        </w:rPr>
        <w:t xml:space="preserve">qPCR Primers and </w:t>
      </w:r>
      <w:r w:rsidR="009023E1">
        <w:rPr>
          <w:rFonts w:ascii="Arial" w:hAnsi="Arial" w:cs="Arial"/>
          <w:b/>
          <w:bCs/>
          <w:color w:val="000000" w:themeColor="text1"/>
        </w:rPr>
        <w:t>t</w:t>
      </w:r>
      <w:r w:rsidRPr="009023E1">
        <w:rPr>
          <w:rFonts w:ascii="Arial" w:hAnsi="Arial" w:cs="Arial"/>
          <w:b/>
          <w:bCs/>
          <w:color w:val="000000" w:themeColor="text1"/>
        </w:rPr>
        <w:t>argets</w:t>
      </w:r>
    </w:p>
    <w:p w14:paraId="6C26FE6B" w14:textId="77777777" w:rsidR="00930315" w:rsidRPr="00FA1D56" w:rsidRDefault="00930315" w:rsidP="005620E3">
      <w:pPr>
        <w:rPr>
          <w:rFonts w:ascii="Arial" w:hAnsi="Arial" w:cs="Arial"/>
          <w:b/>
          <w:bCs/>
          <w:color w:val="000000" w:themeColor="text1"/>
          <w:sz w:val="22"/>
          <w:szCs w:val="22"/>
        </w:rPr>
      </w:pPr>
    </w:p>
    <w:tbl>
      <w:tblPr>
        <w:tblStyle w:val="ac"/>
        <w:tblW w:w="9215" w:type="dxa"/>
        <w:jc w:val="center"/>
        <w:tblLayout w:type="fixed"/>
        <w:tblLook w:val="04A0" w:firstRow="1" w:lastRow="0" w:firstColumn="1" w:lastColumn="0" w:noHBand="0" w:noVBand="1"/>
      </w:tblPr>
      <w:tblGrid>
        <w:gridCol w:w="1844"/>
        <w:gridCol w:w="1134"/>
        <w:gridCol w:w="1276"/>
        <w:gridCol w:w="2835"/>
        <w:gridCol w:w="992"/>
        <w:gridCol w:w="1134"/>
      </w:tblGrid>
      <w:tr w:rsidR="00C136B3" w:rsidRPr="00FA1D56" w14:paraId="65530A6D" w14:textId="77777777" w:rsidTr="004E5759">
        <w:trPr>
          <w:jc w:val="center"/>
        </w:trPr>
        <w:tc>
          <w:tcPr>
            <w:tcW w:w="1844" w:type="dxa"/>
            <w:tcBorders>
              <w:top w:val="single" w:sz="4" w:space="0" w:color="auto"/>
              <w:bottom w:val="single" w:sz="4" w:space="0" w:color="auto"/>
            </w:tcBorders>
            <w:vAlign w:val="center"/>
            <w:hideMark/>
          </w:tcPr>
          <w:p w14:paraId="1CF4C47E" w14:textId="77777777" w:rsidR="00C136B3" w:rsidRPr="00FA1D56" w:rsidRDefault="00C136B3" w:rsidP="000C3426">
            <w:pPr>
              <w:jc w:val="center"/>
              <w:rPr>
                <w:rFonts w:ascii="Arial" w:hAnsi="Arial" w:cs="Arial"/>
                <w:color w:val="000000" w:themeColor="text1"/>
                <w:sz w:val="16"/>
                <w:szCs w:val="16"/>
              </w:rPr>
            </w:pPr>
            <w:r w:rsidRPr="00FA1D56">
              <w:rPr>
                <w:rStyle w:val="ab"/>
                <w:rFonts w:ascii="Arial" w:hAnsi="Arial" w:cs="Arial"/>
                <w:color w:val="000000" w:themeColor="text1"/>
                <w:sz w:val="16"/>
                <w:szCs w:val="16"/>
                <w:bdr w:val="none" w:sz="0" w:space="0" w:color="auto" w:frame="1"/>
              </w:rPr>
              <w:t>Target Taxon</w:t>
            </w:r>
          </w:p>
        </w:tc>
        <w:tc>
          <w:tcPr>
            <w:tcW w:w="1134" w:type="dxa"/>
            <w:tcBorders>
              <w:top w:val="single" w:sz="4" w:space="0" w:color="auto"/>
              <w:bottom w:val="single" w:sz="4" w:space="0" w:color="auto"/>
            </w:tcBorders>
            <w:vAlign w:val="center"/>
            <w:hideMark/>
          </w:tcPr>
          <w:p w14:paraId="7522DB87" w14:textId="77777777" w:rsidR="00C136B3" w:rsidRPr="00FA1D56" w:rsidRDefault="00C136B3" w:rsidP="000C3426">
            <w:pPr>
              <w:jc w:val="center"/>
              <w:rPr>
                <w:rFonts w:ascii="Arial" w:hAnsi="Arial" w:cs="Arial"/>
                <w:color w:val="000000" w:themeColor="text1"/>
                <w:sz w:val="16"/>
                <w:szCs w:val="16"/>
              </w:rPr>
            </w:pPr>
            <w:r w:rsidRPr="00FA1D56">
              <w:rPr>
                <w:rStyle w:val="ab"/>
                <w:rFonts w:ascii="Arial" w:hAnsi="Arial" w:cs="Arial"/>
                <w:color w:val="000000" w:themeColor="text1"/>
                <w:sz w:val="16"/>
                <w:szCs w:val="16"/>
                <w:bdr w:val="none" w:sz="0" w:space="0" w:color="auto" w:frame="1"/>
              </w:rPr>
              <w:t>Specificity</w:t>
            </w:r>
          </w:p>
        </w:tc>
        <w:tc>
          <w:tcPr>
            <w:tcW w:w="1276" w:type="dxa"/>
            <w:tcBorders>
              <w:top w:val="single" w:sz="4" w:space="0" w:color="auto"/>
              <w:bottom w:val="single" w:sz="4" w:space="0" w:color="auto"/>
            </w:tcBorders>
            <w:vAlign w:val="center"/>
            <w:hideMark/>
          </w:tcPr>
          <w:p w14:paraId="554CCE5E" w14:textId="77777777" w:rsidR="00C136B3" w:rsidRPr="00FA1D56" w:rsidRDefault="00C136B3" w:rsidP="000C3426">
            <w:pPr>
              <w:jc w:val="center"/>
              <w:rPr>
                <w:rFonts w:ascii="Arial" w:hAnsi="Arial" w:cs="Arial"/>
                <w:color w:val="000000" w:themeColor="text1"/>
                <w:sz w:val="16"/>
                <w:szCs w:val="16"/>
              </w:rPr>
            </w:pPr>
            <w:r w:rsidRPr="00FA1D56">
              <w:rPr>
                <w:rStyle w:val="ab"/>
                <w:rFonts w:ascii="Arial" w:hAnsi="Arial" w:cs="Arial"/>
                <w:color w:val="000000" w:themeColor="text1"/>
                <w:sz w:val="16"/>
                <w:szCs w:val="16"/>
                <w:bdr w:val="none" w:sz="0" w:space="0" w:color="auto" w:frame="1"/>
              </w:rPr>
              <w:t>Primer Name</w:t>
            </w:r>
          </w:p>
        </w:tc>
        <w:tc>
          <w:tcPr>
            <w:tcW w:w="2835" w:type="dxa"/>
            <w:tcBorders>
              <w:top w:val="single" w:sz="4" w:space="0" w:color="auto"/>
              <w:bottom w:val="single" w:sz="4" w:space="0" w:color="auto"/>
            </w:tcBorders>
            <w:vAlign w:val="center"/>
            <w:hideMark/>
          </w:tcPr>
          <w:p w14:paraId="7E95BD71" w14:textId="77777777" w:rsidR="00C136B3" w:rsidRPr="00FA1D56" w:rsidRDefault="00C136B3" w:rsidP="000C3426">
            <w:pPr>
              <w:jc w:val="center"/>
              <w:rPr>
                <w:rFonts w:ascii="Arial" w:hAnsi="Arial" w:cs="Arial"/>
                <w:color w:val="000000" w:themeColor="text1"/>
                <w:sz w:val="16"/>
                <w:szCs w:val="16"/>
              </w:rPr>
            </w:pPr>
            <w:r w:rsidRPr="00FA1D56">
              <w:rPr>
                <w:rStyle w:val="ab"/>
                <w:rFonts w:ascii="Arial" w:hAnsi="Arial" w:cs="Arial"/>
                <w:color w:val="000000" w:themeColor="text1"/>
                <w:sz w:val="16"/>
                <w:szCs w:val="16"/>
                <w:bdr w:val="none" w:sz="0" w:space="0" w:color="auto" w:frame="1"/>
              </w:rPr>
              <w:t>Sequence (5' -&gt; 3')</w:t>
            </w:r>
          </w:p>
        </w:tc>
        <w:tc>
          <w:tcPr>
            <w:tcW w:w="992" w:type="dxa"/>
            <w:tcBorders>
              <w:top w:val="single" w:sz="4" w:space="0" w:color="auto"/>
              <w:bottom w:val="single" w:sz="4" w:space="0" w:color="auto"/>
            </w:tcBorders>
            <w:vAlign w:val="center"/>
            <w:hideMark/>
          </w:tcPr>
          <w:p w14:paraId="51919B53" w14:textId="6B07E6C5" w:rsidR="00C136B3" w:rsidRPr="00FA1D56" w:rsidRDefault="00C136B3" w:rsidP="000C3426">
            <w:pPr>
              <w:jc w:val="center"/>
              <w:rPr>
                <w:rFonts w:ascii="Arial" w:hAnsi="Arial" w:cs="Arial"/>
                <w:b/>
                <w:bCs/>
                <w:color w:val="000000" w:themeColor="text1"/>
                <w:sz w:val="16"/>
                <w:szCs w:val="16"/>
              </w:rPr>
            </w:pPr>
            <w:r w:rsidRPr="00FA1D56">
              <w:rPr>
                <w:rStyle w:val="ab"/>
                <w:rFonts w:ascii="Arial" w:hAnsi="Arial" w:cs="Arial"/>
                <w:color w:val="000000" w:themeColor="text1"/>
                <w:sz w:val="16"/>
                <w:szCs w:val="16"/>
                <w:bdr w:val="none" w:sz="0" w:space="0" w:color="auto" w:frame="1"/>
              </w:rPr>
              <w:t xml:space="preserve">Annealing </w:t>
            </w:r>
            <w:r w:rsidRPr="00FA1D56">
              <w:rPr>
                <w:rFonts w:ascii="Arial" w:hAnsi="Arial" w:cs="Arial"/>
                <w:b/>
                <w:bCs/>
                <w:color w:val="000000" w:themeColor="text1"/>
                <w:sz w:val="16"/>
                <w:szCs w:val="16"/>
              </w:rPr>
              <w:t>Temp (ºC)</w:t>
            </w:r>
          </w:p>
        </w:tc>
        <w:tc>
          <w:tcPr>
            <w:tcW w:w="1134" w:type="dxa"/>
            <w:tcBorders>
              <w:top w:val="single" w:sz="4" w:space="0" w:color="auto"/>
              <w:bottom w:val="single" w:sz="4" w:space="0" w:color="auto"/>
            </w:tcBorders>
            <w:vAlign w:val="center"/>
          </w:tcPr>
          <w:p w14:paraId="642DFF93" w14:textId="620F664F" w:rsidR="00C136B3" w:rsidRPr="00FA1D56" w:rsidRDefault="00C136B3" w:rsidP="000C3426">
            <w:pPr>
              <w:jc w:val="center"/>
              <w:rPr>
                <w:rStyle w:val="ab"/>
                <w:rFonts w:ascii="Arial" w:hAnsi="Arial" w:cs="Arial"/>
                <w:color w:val="000000" w:themeColor="text1"/>
                <w:sz w:val="16"/>
                <w:szCs w:val="16"/>
                <w:bdr w:val="none" w:sz="0" w:space="0" w:color="auto" w:frame="1"/>
              </w:rPr>
            </w:pPr>
            <w:r w:rsidRPr="00FA1D56">
              <w:rPr>
                <w:rStyle w:val="ab"/>
                <w:rFonts w:ascii="Arial" w:hAnsi="Arial" w:cs="Arial"/>
                <w:color w:val="000000" w:themeColor="text1"/>
                <w:sz w:val="16"/>
                <w:szCs w:val="16"/>
                <w:bdr w:val="none" w:sz="0" w:space="0" w:color="auto" w:frame="1"/>
              </w:rPr>
              <w:t>Reference</w:t>
            </w:r>
            <w:r w:rsidR="004E5759" w:rsidRPr="00FA1D56">
              <w:rPr>
                <w:rFonts w:ascii="Arial" w:hAnsi="Arial" w:cs="Arial"/>
                <w:color w:val="000000" w:themeColor="text1"/>
                <w:sz w:val="22"/>
                <w:szCs w:val="22"/>
                <w:vertAlign w:val="superscript"/>
              </w:rPr>
              <w:t>†</w:t>
            </w:r>
          </w:p>
        </w:tc>
      </w:tr>
      <w:tr w:rsidR="00C136B3" w:rsidRPr="00FA1D56" w14:paraId="37FBA3EA" w14:textId="77777777" w:rsidTr="004E5759">
        <w:trPr>
          <w:jc w:val="center"/>
        </w:trPr>
        <w:tc>
          <w:tcPr>
            <w:tcW w:w="1844" w:type="dxa"/>
            <w:tcBorders>
              <w:top w:val="single" w:sz="4" w:space="0" w:color="auto"/>
            </w:tcBorders>
            <w:vAlign w:val="center"/>
            <w:hideMark/>
          </w:tcPr>
          <w:p w14:paraId="3DC3D52F" w14:textId="5B6DB5D3" w:rsidR="00C136B3" w:rsidRPr="00FA1D56" w:rsidRDefault="00C136B3" w:rsidP="005620E3">
            <w:pPr>
              <w:rPr>
                <w:rFonts w:ascii="Arial" w:hAnsi="Arial" w:cs="Arial"/>
                <w:b/>
                <w:bCs/>
                <w:color w:val="000000" w:themeColor="text1"/>
                <w:sz w:val="16"/>
                <w:szCs w:val="16"/>
              </w:rPr>
            </w:pPr>
            <w:r w:rsidRPr="00FA1D56">
              <w:rPr>
                <w:rFonts w:ascii="Arial" w:hAnsi="Arial" w:cs="Arial"/>
                <w:b/>
                <w:bCs/>
                <w:color w:val="000000" w:themeColor="text1"/>
                <w:sz w:val="16"/>
                <w:szCs w:val="16"/>
                <w:bdr w:val="none" w:sz="0" w:space="0" w:color="auto" w:frame="1"/>
              </w:rPr>
              <w:t xml:space="preserve">Total </w:t>
            </w:r>
            <w:r w:rsidR="00E95BB0" w:rsidRPr="00FA1D56">
              <w:rPr>
                <w:rFonts w:ascii="Arial" w:hAnsi="Arial" w:cs="Arial"/>
                <w:b/>
                <w:bCs/>
                <w:color w:val="000000" w:themeColor="text1"/>
                <w:sz w:val="16"/>
                <w:szCs w:val="16"/>
                <w:bdr w:val="none" w:sz="0" w:space="0" w:color="auto" w:frame="1"/>
              </w:rPr>
              <w:t>B</w:t>
            </w:r>
            <w:r w:rsidRPr="00FA1D56">
              <w:rPr>
                <w:rFonts w:ascii="Arial" w:hAnsi="Arial" w:cs="Arial"/>
                <w:b/>
                <w:bCs/>
                <w:color w:val="000000" w:themeColor="text1"/>
                <w:sz w:val="16"/>
                <w:szCs w:val="16"/>
                <w:bdr w:val="none" w:sz="0" w:space="0" w:color="auto" w:frame="1"/>
              </w:rPr>
              <w:t>acteria</w:t>
            </w:r>
          </w:p>
        </w:tc>
        <w:tc>
          <w:tcPr>
            <w:tcW w:w="1134" w:type="dxa"/>
            <w:tcBorders>
              <w:top w:val="single" w:sz="4" w:space="0" w:color="auto"/>
            </w:tcBorders>
            <w:vAlign w:val="center"/>
            <w:hideMark/>
          </w:tcPr>
          <w:p w14:paraId="1CD640E5"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Kingdom</w:t>
            </w:r>
          </w:p>
        </w:tc>
        <w:tc>
          <w:tcPr>
            <w:tcW w:w="1276" w:type="dxa"/>
            <w:tcBorders>
              <w:top w:val="single" w:sz="4" w:space="0" w:color="auto"/>
            </w:tcBorders>
            <w:vAlign w:val="center"/>
            <w:hideMark/>
          </w:tcPr>
          <w:p w14:paraId="33C4F95B" w14:textId="77777777" w:rsidR="00C136B3" w:rsidRPr="00FA1D56" w:rsidRDefault="00C136B3" w:rsidP="006B797A">
            <w:pPr>
              <w:pStyle w:val="Web"/>
              <w:spacing w:before="0" w:beforeAutospacing="0" w:after="0" w:afterAutospacing="0"/>
              <w:rPr>
                <w:rFonts w:ascii="Arial" w:hAnsi="Arial" w:cs="Arial"/>
                <w:color w:val="000000" w:themeColor="text1"/>
                <w:sz w:val="16"/>
                <w:szCs w:val="16"/>
              </w:rPr>
            </w:pPr>
          </w:p>
          <w:p w14:paraId="07E06B97" w14:textId="2CC73723" w:rsidR="006B797A" w:rsidRPr="00FA1D56" w:rsidRDefault="006B797A" w:rsidP="006B797A">
            <w:pPr>
              <w:pStyle w:val="Web"/>
              <w:spacing w:before="0" w:beforeAutospacing="0" w:after="0" w:afterAutospacing="0"/>
              <w:rPr>
                <w:rFonts w:ascii="Arial" w:hAnsi="Arial" w:cs="Arial"/>
                <w:color w:val="000000" w:themeColor="text1"/>
                <w:sz w:val="16"/>
                <w:szCs w:val="16"/>
              </w:rPr>
            </w:pPr>
          </w:p>
        </w:tc>
        <w:tc>
          <w:tcPr>
            <w:tcW w:w="2835" w:type="dxa"/>
            <w:tcBorders>
              <w:top w:val="single" w:sz="4" w:space="0" w:color="auto"/>
            </w:tcBorders>
            <w:vAlign w:val="center"/>
            <w:hideMark/>
          </w:tcPr>
          <w:p w14:paraId="245075B2" w14:textId="77777777" w:rsidR="00541771" w:rsidRPr="00FA1D56" w:rsidRDefault="00541771"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ACTCCTACGGGAGGCAGCAGT</w:t>
            </w:r>
          </w:p>
          <w:p w14:paraId="29B1B1C0" w14:textId="55490869" w:rsidR="00541771" w:rsidRPr="00FA1D56" w:rsidRDefault="00541771"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GTATTACCGCGGCTGCTGGCAC</w:t>
            </w:r>
          </w:p>
        </w:tc>
        <w:tc>
          <w:tcPr>
            <w:tcW w:w="992" w:type="dxa"/>
            <w:tcBorders>
              <w:top w:val="single" w:sz="4" w:space="0" w:color="auto"/>
            </w:tcBorders>
            <w:vAlign w:val="center"/>
            <w:hideMark/>
          </w:tcPr>
          <w:p w14:paraId="20FCDDC1" w14:textId="2531484B" w:rsidR="006B6392" w:rsidRPr="00FA1D56" w:rsidRDefault="006B6392" w:rsidP="000C3426">
            <w:pPr>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54.0</w:t>
            </w:r>
          </w:p>
        </w:tc>
        <w:tc>
          <w:tcPr>
            <w:tcW w:w="1134" w:type="dxa"/>
            <w:tcBorders>
              <w:top w:val="single" w:sz="4" w:space="0" w:color="auto"/>
            </w:tcBorders>
            <w:vAlign w:val="center"/>
          </w:tcPr>
          <w:p w14:paraId="0778D74C" w14:textId="4808DA91" w:rsidR="00C136B3" w:rsidRPr="00FA1D56" w:rsidRDefault="00754EFB"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5</w:t>
            </w:r>
            <w:r w:rsidR="00E50646" w:rsidRPr="00FA1D56">
              <w:rPr>
                <w:rFonts w:ascii="Arial" w:hAnsi="Arial" w:cs="Arial"/>
                <w:color w:val="000000" w:themeColor="text1"/>
                <w:sz w:val="16"/>
                <w:szCs w:val="16"/>
                <w:bdr w:val="none" w:sz="0" w:space="0" w:color="auto" w:frame="1"/>
              </w:rPr>
              <w:t>8</w:t>
            </w:r>
          </w:p>
        </w:tc>
      </w:tr>
      <w:tr w:rsidR="00C136B3" w:rsidRPr="00FA1D56" w14:paraId="65090988" w14:textId="77777777" w:rsidTr="004E5759">
        <w:trPr>
          <w:jc w:val="center"/>
        </w:trPr>
        <w:tc>
          <w:tcPr>
            <w:tcW w:w="1844" w:type="dxa"/>
            <w:vAlign w:val="center"/>
            <w:hideMark/>
          </w:tcPr>
          <w:p w14:paraId="4BCC2152" w14:textId="77777777" w:rsidR="00C136B3" w:rsidRPr="00FA1D56" w:rsidRDefault="00C136B3" w:rsidP="005620E3">
            <w:pPr>
              <w:rPr>
                <w:rFonts w:ascii="Arial" w:hAnsi="Arial" w:cs="Arial"/>
                <w:b/>
                <w:bCs/>
                <w:color w:val="000000" w:themeColor="text1"/>
                <w:sz w:val="16"/>
                <w:szCs w:val="16"/>
              </w:rPr>
            </w:pPr>
            <w:r w:rsidRPr="00FA1D56">
              <w:rPr>
                <w:rFonts w:ascii="Arial" w:hAnsi="Arial" w:cs="Arial"/>
                <w:b/>
                <w:bCs/>
                <w:i/>
                <w:iCs/>
                <w:color w:val="000000" w:themeColor="text1"/>
                <w:sz w:val="16"/>
                <w:szCs w:val="16"/>
                <w:bdr w:val="none" w:sz="0" w:space="0" w:color="auto" w:frame="1"/>
              </w:rPr>
              <w:t>Bifidobacterium</w:t>
            </w:r>
            <w:r w:rsidRPr="00FA1D56">
              <w:rPr>
                <w:rFonts w:ascii="Arial" w:hAnsi="Arial" w:cs="Arial"/>
                <w:b/>
                <w:bCs/>
                <w:color w:val="000000" w:themeColor="text1"/>
                <w:sz w:val="16"/>
                <w:szCs w:val="16"/>
                <w:bdr w:val="none" w:sz="0" w:space="0" w:color="auto" w:frame="1"/>
              </w:rPr>
              <w:t xml:space="preserve"> spp.</w:t>
            </w:r>
          </w:p>
        </w:tc>
        <w:tc>
          <w:tcPr>
            <w:tcW w:w="1134" w:type="dxa"/>
            <w:vAlign w:val="center"/>
            <w:hideMark/>
          </w:tcPr>
          <w:p w14:paraId="71273468"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Genus</w:t>
            </w:r>
          </w:p>
        </w:tc>
        <w:tc>
          <w:tcPr>
            <w:tcW w:w="1276" w:type="dxa"/>
            <w:vAlign w:val="center"/>
            <w:hideMark/>
          </w:tcPr>
          <w:p w14:paraId="2EA94DF6" w14:textId="6B0ED8E3" w:rsidR="00C136B3" w:rsidRPr="00FA1D56" w:rsidRDefault="00836B97" w:rsidP="00292991">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rPr>
              <w:t>g-Bifid-F</w:t>
            </w:r>
          </w:p>
          <w:p w14:paraId="74D45C46" w14:textId="715A01F3" w:rsidR="00292991" w:rsidRPr="00FA1D56" w:rsidRDefault="00836B97" w:rsidP="00292991">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g-Bifid-R</w:t>
            </w:r>
          </w:p>
        </w:tc>
        <w:tc>
          <w:tcPr>
            <w:tcW w:w="2835" w:type="dxa"/>
            <w:vAlign w:val="center"/>
            <w:hideMark/>
          </w:tcPr>
          <w:p w14:paraId="126E656F" w14:textId="674EE3F1" w:rsidR="00C136B3" w:rsidRPr="00FA1D56" w:rsidRDefault="00C136B3" w:rsidP="000C3426">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CTCCTGGAAACGGGTGG</w:t>
            </w:r>
          </w:p>
          <w:p w14:paraId="3036109E" w14:textId="77777777" w:rsidR="00C136B3" w:rsidRPr="00FA1D56" w:rsidRDefault="00C136B3"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GGTGTTCTTCCCGATATCTACA</w:t>
            </w:r>
          </w:p>
        </w:tc>
        <w:tc>
          <w:tcPr>
            <w:tcW w:w="992" w:type="dxa"/>
            <w:vAlign w:val="center"/>
            <w:hideMark/>
          </w:tcPr>
          <w:p w14:paraId="25284734" w14:textId="0FA32D82"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60.0</w:t>
            </w:r>
          </w:p>
        </w:tc>
        <w:tc>
          <w:tcPr>
            <w:tcW w:w="1134" w:type="dxa"/>
            <w:vAlign w:val="center"/>
          </w:tcPr>
          <w:p w14:paraId="023E1A08" w14:textId="5573D44C" w:rsidR="00C136B3" w:rsidRPr="00FA1D56" w:rsidRDefault="00754EFB"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5</w:t>
            </w:r>
            <w:r w:rsidR="00E50646" w:rsidRPr="00FA1D56">
              <w:rPr>
                <w:rFonts w:ascii="Arial" w:hAnsi="Arial" w:cs="Arial"/>
                <w:color w:val="000000" w:themeColor="text1"/>
                <w:sz w:val="16"/>
                <w:szCs w:val="16"/>
                <w:bdr w:val="none" w:sz="0" w:space="0" w:color="auto" w:frame="1"/>
              </w:rPr>
              <w:t>9</w:t>
            </w:r>
          </w:p>
        </w:tc>
      </w:tr>
      <w:tr w:rsidR="00C136B3" w:rsidRPr="00FA1D56" w14:paraId="4B2445C7" w14:textId="77777777" w:rsidTr="004E5759">
        <w:trPr>
          <w:jc w:val="center"/>
        </w:trPr>
        <w:tc>
          <w:tcPr>
            <w:tcW w:w="1844" w:type="dxa"/>
            <w:vAlign w:val="center"/>
            <w:hideMark/>
          </w:tcPr>
          <w:p w14:paraId="26BF9680" w14:textId="77777777" w:rsidR="00C136B3" w:rsidRPr="00FA1D56" w:rsidRDefault="00C136B3" w:rsidP="005620E3">
            <w:pPr>
              <w:rPr>
                <w:rFonts w:ascii="Arial" w:hAnsi="Arial" w:cs="Arial"/>
                <w:b/>
                <w:bCs/>
                <w:i/>
                <w:iCs/>
                <w:color w:val="000000" w:themeColor="text1"/>
                <w:sz w:val="16"/>
                <w:szCs w:val="16"/>
              </w:rPr>
            </w:pPr>
            <w:r w:rsidRPr="00FA1D56">
              <w:rPr>
                <w:rFonts w:ascii="Arial" w:hAnsi="Arial" w:cs="Arial"/>
                <w:b/>
                <w:bCs/>
                <w:i/>
                <w:iCs/>
                <w:color w:val="000000" w:themeColor="text1"/>
                <w:sz w:val="16"/>
                <w:szCs w:val="16"/>
                <w:bdr w:val="none" w:sz="0" w:space="0" w:color="auto" w:frame="1"/>
              </w:rPr>
              <w:t xml:space="preserve">Bacteroides </w:t>
            </w:r>
            <w:r w:rsidRPr="00FA1D56">
              <w:rPr>
                <w:rFonts w:ascii="Arial" w:hAnsi="Arial" w:cs="Arial"/>
                <w:b/>
                <w:bCs/>
                <w:color w:val="000000" w:themeColor="text1"/>
                <w:sz w:val="16"/>
                <w:szCs w:val="16"/>
                <w:bdr w:val="none" w:sz="0" w:space="0" w:color="auto" w:frame="1"/>
              </w:rPr>
              <w:t>spp</w:t>
            </w:r>
            <w:r w:rsidRPr="00FA1D56">
              <w:rPr>
                <w:rFonts w:ascii="Arial" w:hAnsi="Arial" w:cs="Arial"/>
                <w:b/>
                <w:bCs/>
                <w:i/>
                <w:iCs/>
                <w:color w:val="000000" w:themeColor="text1"/>
                <w:sz w:val="16"/>
                <w:szCs w:val="16"/>
                <w:bdr w:val="none" w:sz="0" w:space="0" w:color="auto" w:frame="1"/>
              </w:rPr>
              <w:t>.</w:t>
            </w:r>
          </w:p>
        </w:tc>
        <w:tc>
          <w:tcPr>
            <w:tcW w:w="1134" w:type="dxa"/>
            <w:vAlign w:val="center"/>
            <w:hideMark/>
          </w:tcPr>
          <w:p w14:paraId="1EFD7C27"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Genus</w:t>
            </w:r>
          </w:p>
        </w:tc>
        <w:tc>
          <w:tcPr>
            <w:tcW w:w="1276" w:type="dxa"/>
            <w:vAlign w:val="center"/>
            <w:hideMark/>
          </w:tcPr>
          <w:p w14:paraId="2F92010E" w14:textId="5C6E1A94" w:rsidR="00C136B3" w:rsidRPr="00FA1D56" w:rsidRDefault="00C136B3" w:rsidP="000C3426">
            <w:pPr>
              <w:pStyle w:val="Web"/>
              <w:spacing w:before="0" w:beforeAutospacing="0" w:after="0" w:afterAutospacing="0"/>
              <w:rPr>
                <w:rFonts w:ascii="Arial" w:hAnsi="Arial" w:cs="Arial"/>
                <w:color w:val="000000" w:themeColor="text1"/>
                <w:sz w:val="16"/>
                <w:szCs w:val="16"/>
              </w:rPr>
            </w:pPr>
          </w:p>
          <w:p w14:paraId="0F3F37CD" w14:textId="7204D7C6" w:rsidR="00C136B3" w:rsidRPr="00FA1D56" w:rsidRDefault="00C136B3" w:rsidP="005620E3">
            <w:pPr>
              <w:pStyle w:val="Web"/>
              <w:spacing w:before="0" w:beforeAutospacing="0" w:after="0" w:afterAutospacing="0"/>
              <w:rPr>
                <w:rFonts w:ascii="Arial" w:hAnsi="Arial" w:cs="Arial"/>
                <w:color w:val="000000" w:themeColor="text1"/>
                <w:sz w:val="16"/>
                <w:szCs w:val="16"/>
              </w:rPr>
            </w:pPr>
          </w:p>
        </w:tc>
        <w:tc>
          <w:tcPr>
            <w:tcW w:w="2835" w:type="dxa"/>
            <w:vAlign w:val="center"/>
            <w:hideMark/>
          </w:tcPr>
          <w:p w14:paraId="3CACC51E" w14:textId="77777777" w:rsidR="00D0325B" w:rsidRPr="00FA1D56" w:rsidRDefault="00D0325B" w:rsidP="005620E3">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GGTGTCGGCTTAAGTGCCAT</w:t>
            </w:r>
          </w:p>
          <w:p w14:paraId="6F3511F0" w14:textId="6803013F" w:rsidR="00C136B3" w:rsidRPr="00FA1D56" w:rsidRDefault="00D0325B"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CGGAYGTAAGGGCCGTGC</w:t>
            </w:r>
          </w:p>
        </w:tc>
        <w:tc>
          <w:tcPr>
            <w:tcW w:w="992" w:type="dxa"/>
            <w:vAlign w:val="center"/>
            <w:hideMark/>
          </w:tcPr>
          <w:p w14:paraId="61FE055E" w14:textId="7289A7C1" w:rsidR="00C136B3" w:rsidRPr="00FA1D56" w:rsidRDefault="00D57E6A" w:rsidP="000C3426">
            <w:pPr>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55.0</w:t>
            </w:r>
          </w:p>
        </w:tc>
        <w:tc>
          <w:tcPr>
            <w:tcW w:w="1134" w:type="dxa"/>
            <w:vAlign w:val="center"/>
          </w:tcPr>
          <w:p w14:paraId="02A4E93E" w14:textId="36880A4E" w:rsidR="00C136B3" w:rsidRPr="00FA1D56" w:rsidRDefault="00E50646"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60</w:t>
            </w:r>
          </w:p>
        </w:tc>
      </w:tr>
      <w:tr w:rsidR="00C136B3" w:rsidRPr="00FA1D56" w14:paraId="147DFBCA" w14:textId="77777777" w:rsidTr="004E5759">
        <w:trPr>
          <w:jc w:val="center"/>
        </w:trPr>
        <w:tc>
          <w:tcPr>
            <w:tcW w:w="1844" w:type="dxa"/>
            <w:vAlign w:val="center"/>
            <w:hideMark/>
          </w:tcPr>
          <w:p w14:paraId="4995B9AF" w14:textId="4C22CAB2" w:rsidR="00C136B3" w:rsidRPr="00FA1D56" w:rsidRDefault="0068403B" w:rsidP="005620E3">
            <w:pPr>
              <w:rPr>
                <w:rFonts w:ascii="Arial" w:hAnsi="Arial" w:cs="Arial"/>
                <w:b/>
                <w:bCs/>
                <w:i/>
                <w:iCs/>
                <w:color w:val="000000" w:themeColor="text1"/>
                <w:sz w:val="16"/>
                <w:szCs w:val="16"/>
              </w:rPr>
            </w:pPr>
            <w:r w:rsidRPr="00FA1D56">
              <w:rPr>
                <w:rFonts w:ascii="Arial" w:hAnsi="Arial" w:cs="Arial"/>
                <w:b/>
                <w:bCs/>
                <w:i/>
                <w:iCs/>
                <w:color w:val="000000" w:themeColor="text1"/>
                <w:sz w:val="16"/>
                <w:szCs w:val="16"/>
              </w:rPr>
              <w:t>Faecalibacterium prausnitzii</w:t>
            </w:r>
          </w:p>
        </w:tc>
        <w:tc>
          <w:tcPr>
            <w:tcW w:w="1134" w:type="dxa"/>
            <w:vAlign w:val="center"/>
            <w:hideMark/>
          </w:tcPr>
          <w:p w14:paraId="100158FA" w14:textId="0E27AD79" w:rsidR="00C136B3" w:rsidRPr="00FA1D56" w:rsidRDefault="0068403B"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Species</w:t>
            </w:r>
          </w:p>
        </w:tc>
        <w:tc>
          <w:tcPr>
            <w:tcW w:w="1276" w:type="dxa"/>
            <w:vAlign w:val="center"/>
            <w:hideMark/>
          </w:tcPr>
          <w:p w14:paraId="252C13F0" w14:textId="7E50C0E4" w:rsidR="00C136B3" w:rsidRPr="00FA1D56" w:rsidRDefault="00D72FF8" w:rsidP="000C3426">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FPR-2F</w:t>
            </w:r>
          </w:p>
          <w:p w14:paraId="07070017" w14:textId="50258915" w:rsidR="00D72FF8" w:rsidRPr="00FA1D56" w:rsidRDefault="00D72FF8" w:rsidP="000C3426">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Fprau645R</w:t>
            </w:r>
          </w:p>
          <w:p w14:paraId="2705B27C" w14:textId="3F679494" w:rsidR="00C136B3" w:rsidRPr="00FA1D56" w:rsidRDefault="00C136B3" w:rsidP="005620E3">
            <w:pPr>
              <w:pStyle w:val="Web"/>
              <w:spacing w:before="0" w:beforeAutospacing="0" w:after="0" w:afterAutospacing="0"/>
              <w:rPr>
                <w:rFonts w:ascii="Arial" w:hAnsi="Arial" w:cs="Arial"/>
                <w:color w:val="000000" w:themeColor="text1"/>
                <w:sz w:val="16"/>
                <w:szCs w:val="16"/>
              </w:rPr>
            </w:pPr>
          </w:p>
        </w:tc>
        <w:tc>
          <w:tcPr>
            <w:tcW w:w="2835" w:type="dxa"/>
            <w:vAlign w:val="center"/>
            <w:hideMark/>
          </w:tcPr>
          <w:p w14:paraId="60FFB16A" w14:textId="77777777" w:rsidR="00D0325B" w:rsidRPr="00FA1D56" w:rsidRDefault="00D0325B" w:rsidP="005620E3">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GGAGGAAGAAGGTCTTCGG</w:t>
            </w:r>
          </w:p>
          <w:p w14:paraId="1EC51CBC" w14:textId="5DBC8961" w:rsidR="00C136B3" w:rsidRPr="00FA1D56" w:rsidRDefault="00D0325B"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AATTCCGCCTACCTCTGCACT</w:t>
            </w:r>
          </w:p>
        </w:tc>
        <w:tc>
          <w:tcPr>
            <w:tcW w:w="992" w:type="dxa"/>
            <w:vAlign w:val="center"/>
            <w:hideMark/>
          </w:tcPr>
          <w:p w14:paraId="0AEC1C1C" w14:textId="3B8C7DC4"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55.0</w:t>
            </w:r>
          </w:p>
        </w:tc>
        <w:tc>
          <w:tcPr>
            <w:tcW w:w="1134" w:type="dxa"/>
            <w:vAlign w:val="center"/>
          </w:tcPr>
          <w:p w14:paraId="61C7D6F4" w14:textId="49811C00" w:rsidR="00C136B3" w:rsidRPr="00FA1D56" w:rsidRDefault="0083072B"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1</w:t>
            </w:r>
          </w:p>
        </w:tc>
      </w:tr>
      <w:tr w:rsidR="00C136B3" w:rsidRPr="00FA1D56" w14:paraId="1FD4DCB3" w14:textId="77777777" w:rsidTr="004E5759">
        <w:trPr>
          <w:jc w:val="center"/>
        </w:trPr>
        <w:tc>
          <w:tcPr>
            <w:tcW w:w="1844" w:type="dxa"/>
            <w:vAlign w:val="center"/>
            <w:hideMark/>
          </w:tcPr>
          <w:p w14:paraId="40313CEA" w14:textId="129EDE49" w:rsidR="00BB18E3" w:rsidRPr="00FA1D56" w:rsidRDefault="005D5EDB" w:rsidP="005620E3">
            <w:pPr>
              <w:rPr>
                <w:rFonts w:ascii="Arial" w:hAnsi="Arial" w:cs="Arial"/>
                <w:b/>
                <w:bCs/>
                <w:i/>
                <w:iCs/>
                <w:color w:val="000000" w:themeColor="text1"/>
                <w:sz w:val="16"/>
                <w:szCs w:val="16"/>
              </w:rPr>
            </w:pPr>
            <w:r w:rsidRPr="00FA1D56">
              <w:rPr>
                <w:rFonts w:ascii="Arial" w:hAnsi="Arial" w:cs="Arial"/>
                <w:b/>
                <w:bCs/>
                <w:i/>
                <w:iCs/>
                <w:color w:val="000000" w:themeColor="text1"/>
                <w:sz w:val="16"/>
                <w:szCs w:val="16"/>
              </w:rPr>
              <w:t>Akkermansia muciniphila</w:t>
            </w:r>
          </w:p>
        </w:tc>
        <w:tc>
          <w:tcPr>
            <w:tcW w:w="1134" w:type="dxa"/>
            <w:vAlign w:val="center"/>
            <w:hideMark/>
          </w:tcPr>
          <w:p w14:paraId="3BFAB041" w14:textId="3CA29EB0" w:rsidR="00C136B3" w:rsidRPr="00FA1D56" w:rsidRDefault="005D5EDB"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Species</w:t>
            </w:r>
          </w:p>
        </w:tc>
        <w:tc>
          <w:tcPr>
            <w:tcW w:w="1276" w:type="dxa"/>
            <w:vAlign w:val="center"/>
            <w:hideMark/>
          </w:tcPr>
          <w:p w14:paraId="475EEBE0" w14:textId="5423F803" w:rsidR="00C136B3" w:rsidRPr="00FA1D56" w:rsidRDefault="00C136B3" w:rsidP="000C3426">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AM1</w:t>
            </w:r>
          </w:p>
          <w:p w14:paraId="1F8BC3FF" w14:textId="77777777" w:rsidR="00C136B3" w:rsidRPr="00FA1D56" w:rsidRDefault="00C136B3"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AM2</w:t>
            </w:r>
          </w:p>
        </w:tc>
        <w:tc>
          <w:tcPr>
            <w:tcW w:w="2835" w:type="dxa"/>
            <w:vAlign w:val="center"/>
            <w:hideMark/>
          </w:tcPr>
          <w:p w14:paraId="0DC9F541" w14:textId="42E5665C" w:rsidR="00BB18E3" w:rsidRPr="00FA1D56" w:rsidRDefault="00BB18E3"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CAGCACGTGAAGGTGGGGAC</w:t>
            </w:r>
          </w:p>
          <w:p w14:paraId="577A25D8" w14:textId="15A4E77F" w:rsidR="00C136B3" w:rsidRPr="00FA1D56" w:rsidRDefault="00BB18E3"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CCTTGCGGTTGGCTTCAGAT</w:t>
            </w:r>
          </w:p>
        </w:tc>
        <w:tc>
          <w:tcPr>
            <w:tcW w:w="992" w:type="dxa"/>
            <w:vAlign w:val="center"/>
            <w:hideMark/>
          </w:tcPr>
          <w:p w14:paraId="040AB2FB" w14:textId="170A6AEB" w:rsidR="00C136B3" w:rsidRPr="00FA1D56" w:rsidRDefault="003C7F85" w:rsidP="000C3426">
            <w:pPr>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50.0</w:t>
            </w:r>
          </w:p>
        </w:tc>
        <w:tc>
          <w:tcPr>
            <w:tcW w:w="1134" w:type="dxa"/>
            <w:vAlign w:val="center"/>
          </w:tcPr>
          <w:p w14:paraId="4FB572AA" w14:textId="42300541" w:rsidR="00C136B3" w:rsidRPr="00FA1D56" w:rsidRDefault="003F25F6"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2</w:t>
            </w:r>
          </w:p>
        </w:tc>
      </w:tr>
      <w:tr w:rsidR="00C136B3" w:rsidRPr="00FA1D56" w14:paraId="6CB5B85D" w14:textId="77777777" w:rsidTr="004E5759">
        <w:trPr>
          <w:jc w:val="center"/>
        </w:trPr>
        <w:tc>
          <w:tcPr>
            <w:tcW w:w="1844" w:type="dxa"/>
            <w:tcBorders>
              <w:bottom w:val="single" w:sz="4" w:space="0" w:color="BFBFBF" w:themeColor="background1" w:themeShade="BF"/>
            </w:tcBorders>
            <w:vAlign w:val="center"/>
            <w:hideMark/>
          </w:tcPr>
          <w:p w14:paraId="44238B3B" w14:textId="5B6B0B52" w:rsidR="00C136B3" w:rsidRPr="00FA1D56" w:rsidRDefault="005A60B8" w:rsidP="005620E3">
            <w:pPr>
              <w:rPr>
                <w:rFonts w:ascii="Arial" w:hAnsi="Arial" w:cs="Arial"/>
                <w:b/>
                <w:bCs/>
                <w:color w:val="000000" w:themeColor="text1"/>
                <w:sz w:val="16"/>
                <w:szCs w:val="16"/>
              </w:rPr>
            </w:pPr>
            <w:r w:rsidRPr="00FA1D56">
              <w:rPr>
                <w:rFonts w:ascii="Arial" w:hAnsi="Arial" w:cs="Arial"/>
                <w:b/>
                <w:bCs/>
                <w:i/>
                <w:iCs/>
                <w:color w:val="000000" w:themeColor="text1"/>
                <w:sz w:val="16"/>
                <w:szCs w:val="16"/>
              </w:rPr>
              <w:t>Blautia wexlerae</w:t>
            </w:r>
            <w:r w:rsidRPr="00FA1D56">
              <w:rPr>
                <w:rFonts w:ascii="Arial" w:hAnsi="Arial" w:cs="Arial"/>
                <w:b/>
                <w:bCs/>
                <w:color w:val="000000" w:themeColor="text1"/>
                <w:sz w:val="16"/>
                <w:szCs w:val="16"/>
              </w:rPr>
              <w:t xml:space="preserve"> and </w:t>
            </w:r>
            <w:r w:rsidRPr="00FA1D56">
              <w:rPr>
                <w:rFonts w:ascii="Arial" w:hAnsi="Arial" w:cs="Arial"/>
                <w:b/>
                <w:bCs/>
                <w:i/>
                <w:iCs/>
                <w:color w:val="000000" w:themeColor="text1"/>
                <w:sz w:val="16"/>
                <w:szCs w:val="16"/>
              </w:rPr>
              <w:t>Blautia luti</w:t>
            </w:r>
          </w:p>
        </w:tc>
        <w:tc>
          <w:tcPr>
            <w:tcW w:w="1134" w:type="dxa"/>
            <w:tcBorders>
              <w:bottom w:val="single" w:sz="4" w:space="0" w:color="BFBFBF" w:themeColor="background1" w:themeShade="BF"/>
            </w:tcBorders>
            <w:vAlign w:val="center"/>
            <w:hideMark/>
          </w:tcPr>
          <w:p w14:paraId="22A125DC" w14:textId="650FF546" w:rsidR="00C136B3" w:rsidRPr="00FA1D56" w:rsidRDefault="0068403B"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Species</w:t>
            </w:r>
          </w:p>
        </w:tc>
        <w:tc>
          <w:tcPr>
            <w:tcW w:w="1276" w:type="dxa"/>
            <w:tcBorders>
              <w:bottom w:val="single" w:sz="4" w:space="0" w:color="BFBFBF" w:themeColor="background1" w:themeShade="BF"/>
            </w:tcBorders>
            <w:vAlign w:val="center"/>
            <w:hideMark/>
          </w:tcPr>
          <w:p w14:paraId="0905A309" w14:textId="72749553" w:rsidR="00C136B3" w:rsidRPr="00FA1D56" w:rsidRDefault="00C136B3" w:rsidP="000C3426">
            <w:pPr>
              <w:pStyle w:val="Web"/>
              <w:spacing w:before="0" w:beforeAutospacing="0" w:after="0" w:afterAutospacing="0"/>
              <w:rPr>
                <w:rFonts w:ascii="Arial" w:hAnsi="Arial" w:cs="Arial"/>
                <w:color w:val="000000" w:themeColor="text1"/>
                <w:sz w:val="16"/>
                <w:szCs w:val="16"/>
              </w:rPr>
            </w:pPr>
          </w:p>
          <w:p w14:paraId="384C50C9" w14:textId="4A2AFA0A" w:rsidR="00C136B3" w:rsidRPr="00FA1D56" w:rsidRDefault="00C136B3" w:rsidP="005620E3">
            <w:pPr>
              <w:pStyle w:val="Web"/>
              <w:spacing w:before="0" w:beforeAutospacing="0" w:after="0" w:afterAutospacing="0"/>
              <w:rPr>
                <w:rFonts w:ascii="Arial" w:hAnsi="Arial" w:cs="Arial"/>
                <w:color w:val="000000" w:themeColor="text1"/>
                <w:sz w:val="16"/>
                <w:szCs w:val="16"/>
              </w:rPr>
            </w:pPr>
          </w:p>
        </w:tc>
        <w:tc>
          <w:tcPr>
            <w:tcW w:w="2835" w:type="dxa"/>
            <w:tcBorders>
              <w:bottom w:val="single" w:sz="4" w:space="0" w:color="BFBFBF" w:themeColor="background1" w:themeShade="BF"/>
            </w:tcBorders>
            <w:vAlign w:val="center"/>
            <w:hideMark/>
          </w:tcPr>
          <w:p w14:paraId="6F0F747C" w14:textId="52F0EAA0" w:rsidR="005A60B8" w:rsidRPr="00FA1D56" w:rsidRDefault="005A60B8" w:rsidP="005620E3">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GCATAAGCGCACAGAGCT</w:t>
            </w:r>
          </w:p>
          <w:p w14:paraId="0CE3499E" w14:textId="554CC8A6" w:rsidR="00C136B3" w:rsidRPr="00FA1D56" w:rsidRDefault="005A60B8"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CACATCAGACTTGCCACA</w:t>
            </w:r>
          </w:p>
        </w:tc>
        <w:tc>
          <w:tcPr>
            <w:tcW w:w="992" w:type="dxa"/>
            <w:tcBorders>
              <w:bottom w:val="single" w:sz="4" w:space="0" w:color="BFBFBF" w:themeColor="background1" w:themeShade="BF"/>
            </w:tcBorders>
            <w:vAlign w:val="center"/>
            <w:hideMark/>
          </w:tcPr>
          <w:p w14:paraId="068BD8D7" w14:textId="376E68A0"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61.0</w:t>
            </w:r>
          </w:p>
        </w:tc>
        <w:tc>
          <w:tcPr>
            <w:tcW w:w="1134" w:type="dxa"/>
            <w:tcBorders>
              <w:bottom w:val="single" w:sz="4" w:space="0" w:color="BFBFBF" w:themeColor="background1" w:themeShade="BF"/>
            </w:tcBorders>
            <w:vAlign w:val="center"/>
          </w:tcPr>
          <w:p w14:paraId="4124E6B4" w14:textId="715BD03E" w:rsidR="00C136B3" w:rsidRPr="00FA1D56" w:rsidRDefault="00CC434A"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3</w:t>
            </w:r>
          </w:p>
        </w:tc>
      </w:tr>
      <w:tr w:rsidR="00C136B3" w:rsidRPr="00FA1D56" w14:paraId="7BF492D5" w14:textId="77777777" w:rsidTr="004E5759">
        <w:trPr>
          <w:jc w:val="center"/>
        </w:trPr>
        <w:tc>
          <w:tcPr>
            <w:tcW w:w="1844" w:type="dxa"/>
            <w:vAlign w:val="center"/>
            <w:hideMark/>
          </w:tcPr>
          <w:p w14:paraId="126ECBBD" w14:textId="77777777" w:rsidR="00C136B3" w:rsidRPr="00FA1D56" w:rsidRDefault="00C136B3" w:rsidP="005620E3">
            <w:pPr>
              <w:rPr>
                <w:rFonts w:ascii="Arial" w:hAnsi="Arial" w:cs="Arial"/>
                <w:b/>
                <w:bCs/>
                <w:color w:val="000000" w:themeColor="text1"/>
                <w:sz w:val="16"/>
                <w:szCs w:val="16"/>
              </w:rPr>
            </w:pPr>
            <w:r w:rsidRPr="00FA1D56">
              <w:rPr>
                <w:rFonts w:ascii="Arial" w:hAnsi="Arial" w:cs="Arial"/>
                <w:b/>
                <w:bCs/>
                <w:i/>
                <w:iCs/>
                <w:color w:val="000000" w:themeColor="text1"/>
                <w:sz w:val="16"/>
                <w:szCs w:val="16"/>
                <w:bdr w:val="none" w:sz="0" w:space="0" w:color="auto" w:frame="1"/>
              </w:rPr>
              <w:t>Butyricicoccus</w:t>
            </w:r>
            <w:r w:rsidRPr="00FA1D56">
              <w:rPr>
                <w:rFonts w:ascii="Arial" w:hAnsi="Arial" w:cs="Arial"/>
                <w:b/>
                <w:bCs/>
                <w:color w:val="000000" w:themeColor="text1"/>
                <w:sz w:val="16"/>
                <w:szCs w:val="16"/>
                <w:bdr w:val="none" w:sz="0" w:space="0" w:color="auto" w:frame="1"/>
              </w:rPr>
              <w:t xml:space="preserve"> spp.</w:t>
            </w:r>
          </w:p>
        </w:tc>
        <w:tc>
          <w:tcPr>
            <w:tcW w:w="1134" w:type="dxa"/>
            <w:vAlign w:val="center"/>
            <w:hideMark/>
          </w:tcPr>
          <w:p w14:paraId="3F8AC031"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Genus</w:t>
            </w:r>
          </w:p>
        </w:tc>
        <w:tc>
          <w:tcPr>
            <w:tcW w:w="1276" w:type="dxa"/>
            <w:vAlign w:val="center"/>
            <w:hideMark/>
          </w:tcPr>
          <w:p w14:paraId="13ED3868" w14:textId="0A175DA0" w:rsidR="000C3426" w:rsidRPr="00FA1D56" w:rsidRDefault="000C3426" w:rsidP="000C3426">
            <w:pPr>
              <w:pStyle w:val="Web"/>
              <w:spacing w:before="0" w:beforeAutospacing="0" w:after="0" w:afterAutospacing="0"/>
              <w:rPr>
                <w:rFonts w:ascii="Arial" w:hAnsi="Arial" w:cs="Arial"/>
                <w:color w:val="000000" w:themeColor="text1"/>
                <w:sz w:val="16"/>
                <w:szCs w:val="16"/>
              </w:rPr>
            </w:pPr>
          </w:p>
          <w:p w14:paraId="4412BFE7" w14:textId="6D45D4E1" w:rsidR="00C136B3" w:rsidRPr="00FA1D56" w:rsidRDefault="00C136B3" w:rsidP="005620E3">
            <w:pPr>
              <w:pStyle w:val="Web"/>
              <w:spacing w:before="0" w:beforeAutospacing="0" w:after="0" w:afterAutospacing="0"/>
              <w:rPr>
                <w:rFonts w:ascii="Arial" w:hAnsi="Arial" w:cs="Arial"/>
                <w:color w:val="000000" w:themeColor="text1"/>
                <w:sz w:val="16"/>
                <w:szCs w:val="16"/>
              </w:rPr>
            </w:pPr>
          </w:p>
        </w:tc>
        <w:tc>
          <w:tcPr>
            <w:tcW w:w="2835" w:type="dxa"/>
            <w:vAlign w:val="center"/>
            <w:hideMark/>
          </w:tcPr>
          <w:p w14:paraId="2A8582A8" w14:textId="77777777" w:rsidR="00DB6E88" w:rsidRPr="00FA1D56" w:rsidRDefault="00DB6E88" w:rsidP="005620E3">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ACCTGAAGAATAAGCTCC</w:t>
            </w:r>
          </w:p>
          <w:p w14:paraId="37D4A6C4" w14:textId="73F4ADCF" w:rsidR="00C136B3" w:rsidRPr="00FA1D56" w:rsidRDefault="00DB6E88"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GATAACGCTTGCTCCCTACGT</w:t>
            </w:r>
          </w:p>
        </w:tc>
        <w:tc>
          <w:tcPr>
            <w:tcW w:w="992" w:type="dxa"/>
            <w:vAlign w:val="center"/>
            <w:hideMark/>
          </w:tcPr>
          <w:p w14:paraId="740E8DC8" w14:textId="0EB44F93"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60.0</w:t>
            </w:r>
          </w:p>
        </w:tc>
        <w:tc>
          <w:tcPr>
            <w:tcW w:w="1134" w:type="dxa"/>
            <w:vAlign w:val="center"/>
          </w:tcPr>
          <w:p w14:paraId="5DEB3A05" w14:textId="3AAA65E7" w:rsidR="00C136B3" w:rsidRPr="00FA1D56" w:rsidRDefault="003F25F6" w:rsidP="000C3426">
            <w:pPr>
              <w:pStyle w:v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4</w:t>
            </w:r>
          </w:p>
        </w:tc>
      </w:tr>
      <w:tr w:rsidR="00E71A74" w:rsidRPr="00FA1D56" w14:paraId="38E7EEDC" w14:textId="77777777" w:rsidTr="004E5759">
        <w:trPr>
          <w:jc w:val="center"/>
        </w:trPr>
        <w:tc>
          <w:tcPr>
            <w:tcW w:w="1844" w:type="dxa"/>
            <w:tcBorders>
              <w:bottom w:val="single" w:sz="4" w:space="0" w:color="auto"/>
            </w:tcBorders>
            <w:vAlign w:val="center"/>
          </w:tcPr>
          <w:p w14:paraId="3949C339" w14:textId="62D76BE3" w:rsidR="00E71A74" w:rsidRPr="00FA1D56" w:rsidRDefault="00E71A74" w:rsidP="005620E3">
            <w:pPr>
              <w:rPr>
                <w:rFonts w:ascii="Arial" w:hAnsi="Arial" w:cs="Arial"/>
                <w:b/>
                <w:bCs/>
                <w:i/>
                <w:iCs/>
                <w:color w:val="000000" w:themeColor="text1"/>
                <w:sz w:val="16"/>
                <w:szCs w:val="16"/>
                <w:bdr w:val="none" w:sz="0" w:space="0" w:color="auto" w:frame="1"/>
              </w:rPr>
            </w:pPr>
            <w:r w:rsidRPr="00FA1D56">
              <w:rPr>
                <w:rFonts w:ascii="Arial" w:hAnsi="Arial" w:cs="Arial"/>
                <w:b/>
                <w:bCs/>
                <w:i/>
                <w:iCs/>
                <w:color w:val="000000" w:themeColor="text1"/>
                <w:sz w:val="16"/>
                <w:szCs w:val="16"/>
                <w:bdr w:val="none" w:sz="0" w:space="0" w:color="auto" w:frame="1"/>
              </w:rPr>
              <w:t>Anaerostipes caccae</w:t>
            </w:r>
          </w:p>
        </w:tc>
        <w:tc>
          <w:tcPr>
            <w:tcW w:w="1134" w:type="dxa"/>
            <w:tcBorders>
              <w:bottom w:val="single" w:sz="4" w:space="0" w:color="auto"/>
            </w:tcBorders>
            <w:vAlign w:val="center"/>
          </w:tcPr>
          <w:p w14:paraId="5DD32CEF" w14:textId="0CBF9CE0" w:rsidR="00E71A74" w:rsidRPr="00FA1D56" w:rsidRDefault="00E71A74" w:rsidP="005620E3">
            <w:pP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Species</w:t>
            </w:r>
          </w:p>
        </w:tc>
        <w:tc>
          <w:tcPr>
            <w:tcW w:w="1276" w:type="dxa"/>
            <w:tcBorders>
              <w:bottom w:val="single" w:sz="4" w:space="0" w:color="auto"/>
            </w:tcBorders>
            <w:vAlign w:val="center"/>
          </w:tcPr>
          <w:p w14:paraId="689DA623" w14:textId="2F0FB3BA" w:rsidR="000C3426" w:rsidRPr="00FA1D56" w:rsidRDefault="00D72FF8"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s-</w:t>
            </w:r>
            <w:proofErr w:type="spellStart"/>
            <w:r w:rsidRPr="00FA1D56">
              <w:rPr>
                <w:rFonts w:ascii="Arial" w:hAnsi="Arial" w:cs="Arial"/>
                <w:color w:val="000000" w:themeColor="text1"/>
                <w:sz w:val="16"/>
                <w:szCs w:val="16"/>
              </w:rPr>
              <w:t>Acac</w:t>
            </w:r>
            <w:proofErr w:type="spellEnd"/>
            <w:r w:rsidRPr="00FA1D56">
              <w:rPr>
                <w:rFonts w:ascii="Arial" w:hAnsi="Arial" w:cs="Arial"/>
                <w:color w:val="000000" w:themeColor="text1"/>
                <w:sz w:val="16"/>
                <w:szCs w:val="16"/>
              </w:rPr>
              <w:t>-F</w:t>
            </w:r>
          </w:p>
          <w:p w14:paraId="096FB4C1" w14:textId="4069CB50" w:rsidR="00E71A74" w:rsidRPr="00FA1D56" w:rsidRDefault="00D72FF8" w:rsidP="005620E3">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s-</w:t>
            </w:r>
            <w:proofErr w:type="spellStart"/>
            <w:r w:rsidRPr="00FA1D56">
              <w:rPr>
                <w:rFonts w:ascii="Arial" w:hAnsi="Arial" w:cs="Arial"/>
                <w:color w:val="000000" w:themeColor="text1"/>
                <w:sz w:val="16"/>
                <w:szCs w:val="16"/>
                <w:bdr w:val="none" w:sz="0" w:space="0" w:color="auto" w:frame="1"/>
              </w:rPr>
              <w:t>Acac</w:t>
            </w:r>
            <w:proofErr w:type="spellEnd"/>
            <w:r w:rsidRPr="00FA1D56">
              <w:rPr>
                <w:rFonts w:ascii="Arial" w:hAnsi="Arial" w:cs="Arial"/>
                <w:color w:val="000000" w:themeColor="text1"/>
                <w:sz w:val="16"/>
                <w:szCs w:val="16"/>
                <w:bdr w:val="none" w:sz="0" w:space="0" w:color="auto" w:frame="1"/>
              </w:rPr>
              <w:t>-R</w:t>
            </w:r>
          </w:p>
        </w:tc>
        <w:tc>
          <w:tcPr>
            <w:tcW w:w="2835" w:type="dxa"/>
            <w:tcBorders>
              <w:bottom w:val="single" w:sz="4" w:space="0" w:color="auto"/>
            </w:tcBorders>
            <w:vAlign w:val="center"/>
          </w:tcPr>
          <w:p w14:paraId="3886E582" w14:textId="73CEE51A" w:rsidR="000C3426" w:rsidRPr="00FA1D56" w:rsidRDefault="00E71A74" w:rsidP="005620E3">
            <w:pPr>
              <w:pStyle w:v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GTTTTCGGATGGATTTCCTATAT</w:t>
            </w:r>
          </w:p>
          <w:p w14:paraId="1D76011E" w14:textId="0F011B74" w:rsidR="00E71A74" w:rsidRPr="00FA1D56" w:rsidRDefault="00E71A74" w:rsidP="005620E3">
            <w:pPr>
              <w:pStyle w:v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rPr>
              <w:t>CTTTTCACACTGAATCATGCGATT</w:t>
            </w:r>
          </w:p>
        </w:tc>
        <w:tc>
          <w:tcPr>
            <w:tcW w:w="992" w:type="dxa"/>
            <w:tcBorders>
              <w:bottom w:val="single" w:sz="4" w:space="0" w:color="auto"/>
            </w:tcBorders>
            <w:vAlign w:val="center"/>
          </w:tcPr>
          <w:p w14:paraId="5315ADCB" w14:textId="06A4EE00" w:rsidR="00E71A74" w:rsidRPr="00FA1D56" w:rsidRDefault="00E71A74" w:rsidP="000C3426">
            <w:pPr>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55.0</w:t>
            </w:r>
          </w:p>
        </w:tc>
        <w:tc>
          <w:tcPr>
            <w:tcW w:w="1134" w:type="dxa"/>
            <w:tcBorders>
              <w:bottom w:val="single" w:sz="4" w:space="0" w:color="auto"/>
            </w:tcBorders>
            <w:vAlign w:val="center"/>
          </w:tcPr>
          <w:p w14:paraId="01B9330B" w14:textId="4040F712" w:rsidR="00E71A74" w:rsidRPr="00FA1D56" w:rsidRDefault="00CC434A" w:rsidP="000C3426">
            <w:pPr>
              <w:pStyle w:val="Web"/>
              <w:spacing w:before="0" w:beforeAutospacing="0" w:after="0" w:afterAutospacing="0"/>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5</w:t>
            </w:r>
          </w:p>
        </w:tc>
      </w:tr>
    </w:tbl>
    <w:p w14:paraId="3EE88421" w14:textId="15BA34D6" w:rsidR="003F59D5" w:rsidRPr="00ED1D2A" w:rsidRDefault="004E5759" w:rsidP="005620E3">
      <w:pPr>
        <w:rPr>
          <w:rFonts w:ascii="Arial" w:hAnsi="Arial" w:cs="Arial"/>
          <w:sz w:val="20"/>
          <w:szCs w:val="20"/>
        </w:rPr>
      </w:pPr>
      <w:r w:rsidRPr="00ED1D2A">
        <w:rPr>
          <w:rFonts w:ascii="Arial" w:hAnsi="Arial" w:cs="Arial"/>
          <w:sz w:val="20"/>
          <w:szCs w:val="20"/>
          <w:vertAlign w:val="superscript"/>
        </w:rPr>
        <w:t>†</w:t>
      </w:r>
      <w:r w:rsidRPr="00ED1D2A">
        <w:rPr>
          <w:rFonts w:ascii="Arial" w:hAnsi="Arial" w:cs="Arial"/>
          <w:sz w:val="20"/>
          <w:szCs w:val="20"/>
        </w:rPr>
        <w:t xml:space="preserve"> Please see the reference list in the article.</w:t>
      </w:r>
    </w:p>
    <w:p w14:paraId="41E9437A" w14:textId="77777777" w:rsidR="003F59D5" w:rsidRPr="00ED1D2A" w:rsidRDefault="003F59D5">
      <w:pPr>
        <w:jc w:val="both"/>
        <w:rPr>
          <w:rFonts w:ascii="Arial" w:hAnsi="Arial" w:cs="Arial"/>
          <w:sz w:val="20"/>
          <w:szCs w:val="20"/>
        </w:rPr>
      </w:pPr>
      <w:r w:rsidRPr="00ED1D2A">
        <w:rPr>
          <w:rFonts w:ascii="Arial" w:hAnsi="Arial" w:cs="Arial"/>
          <w:sz w:val="20"/>
          <w:szCs w:val="20"/>
        </w:rPr>
        <w:br w:type="page"/>
      </w:r>
    </w:p>
    <w:p w14:paraId="17432E38" w14:textId="5E2EFA98" w:rsidR="00BC6C57" w:rsidRDefault="003F59D5" w:rsidP="003F59D5">
      <w:pPr>
        <w:rPr>
          <w:rFonts w:ascii="Arial" w:hAnsi="Arial" w:cs="Arial"/>
          <w:b/>
          <w:bCs/>
        </w:rPr>
      </w:pPr>
      <w:r w:rsidRPr="009023E1">
        <w:rPr>
          <w:rFonts w:ascii="Arial" w:hAnsi="Arial" w:cs="Arial"/>
          <w:b/>
          <w:bCs/>
        </w:rPr>
        <w:lastRenderedPageBreak/>
        <w:t>Description of Additional Supplementary Data</w:t>
      </w:r>
    </w:p>
    <w:p w14:paraId="09B8CE12" w14:textId="0EB6C94E" w:rsidR="009023E1" w:rsidRDefault="009023E1" w:rsidP="003F59D5">
      <w:pPr>
        <w:rPr>
          <w:rFonts w:ascii="Arial" w:hAnsi="Arial" w:cs="Arial"/>
          <w:b/>
          <w:bCs/>
        </w:rPr>
      </w:pPr>
      <w:r w:rsidRPr="009023E1">
        <w:rPr>
          <w:rFonts w:ascii="Arial" w:hAnsi="Arial" w:cs="Arial"/>
          <w:b/>
          <w:bCs/>
        </w:rPr>
        <w:t>Data are provided in separate CSV files</w:t>
      </w:r>
    </w:p>
    <w:p w14:paraId="7C2480B1" w14:textId="77777777" w:rsidR="009023E1" w:rsidRPr="009023E1" w:rsidRDefault="009023E1" w:rsidP="003F59D5">
      <w:pPr>
        <w:rPr>
          <w:rFonts w:ascii="Arial" w:hAnsi="Arial" w:cs="Arial"/>
          <w:b/>
          <w:bCs/>
        </w:rPr>
      </w:pPr>
    </w:p>
    <w:p w14:paraId="1D5AAF65" w14:textId="78BDFD07" w:rsidR="003F59D5" w:rsidRPr="009023E1" w:rsidRDefault="003F59D5" w:rsidP="003F59D5">
      <w:pPr>
        <w:rPr>
          <w:rFonts w:ascii="Arial" w:hAnsi="Arial" w:cs="Arial"/>
          <w:b/>
          <w:bCs/>
        </w:rPr>
      </w:pPr>
      <w:r w:rsidRPr="009023E1">
        <w:rPr>
          <w:rFonts w:ascii="Arial" w:hAnsi="Arial" w:cs="Arial"/>
          <w:b/>
          <w:bCs/>
        </w:rPr>
        <w:t xml:space="preserve">Supplementary Data 1 | List of bacterial genera responding to </w:t>
      </w:r>
      <w:r w:rsidR="008218E6" w:rsidRPr="009023E1">
        <w:rPr>
          <w:rFonts w:ascii="Arial" w:hAnsi="Arial" w:cs="Arial"/>
          <w:b/>
          <w:bCs/>
        </w:rPr>
        <w:t>i</w:t>
      </w:r>
      <w:r w:rsidRPr="009023E1">
        <w:rPr>
          <w:rFonts w:ascii="Arial" w:hAnsi="Arial" w:cs="Arial"/>
          <w:b/>
          <w:bCs/>
        </w:rPr>
        <w:t>nulin fermentation.</w:t>
      </w:r>
    </w:p>
    <w:p w14:paraId="677BCBCE" w14:textId="694A70E4" w:rsidR="00C25251" w:rsidRDefault="003F59D5" w:rsidP="003F59D5">
      <w:pPr>
        <w:rPr>
          <w:rFonts w:ascii="Arial" w:hAnsi="Arial" w:cs="Arial"/>
          <w:sz w:val="20"/>
          <w:szCs w:val="20"/>
        </w:rPr>
      </w:pPr>
      <w:r w:rsidRPr="00ED1D2A">
        <w:rPr>
          <w:rFonts w:ascii="Arial" w:hAnsi="Arial" w:cs="Arial"/>
          <w:sz w:val="20"/>
          <w:szCs w:val="20"/>
        </w:rPr>
        <w:t>Statistical identification of bacterial taxa showing</w:t>
      </w:r>
      <w:r w:rsidR="00BC1AA2" w:rsidRPr="00ED1D2A">
        <w:rPr>
          <w:rFonts w:ascii="Arial" w:hAnsi="Arial" w:cs="Arial"/>
          <w:sz w:val="20"/>
          <w:szCs w:val="20"/>
        </w:rPr>
        <w:t xml:space="preserve"> nominally</w:t>
      </w:r>
      <w:r w:rsidRPr="00ED1D2A">
        <w:rPr>
          <w:rFonts w:ascii="Arial" w:hAnsi="Arial" w:cs="Arial"/>
          <w:sz w:val="20"/>
          <w:szCs w:val="20"/>
        </w:rPr>
        <w:t xml:space="preserve"> significant changes in relative abundance following 48-hour </w:t>
      </w:r>
      <w:r w:rsidR="008218E6">
        <w:rPr>
          <w:rFonts w:ascii="Arial" w:hAnsi="Arial" w:cs="Arial"/>
          <w:sz w:val="20"/>
          <w:szCs w:val="20"/>
        </w:rPr>
        <w:t>i</w:t>
      </w:r>
      <w:r w:rsidRPr="00ED1D2A">
        <w:rPr>
          <w:rFonts w:ascii="Arial" w:hAnsi="Arial" w:cs="Arial"/>
          <w:sz w:val="20"/>
          <w:szCs w:val="20"/>
        </w:rPr>
        <w:t>nulin fermentation compared to the control (</w:t>
      </w:r>
      <w:r w:rsidR="00C25251" w:rsidRPr="00C25251">
        <w:rPr>
          <w:rFonts w:ascii="Arial" w:hAnsi="Arial" w:cs="Arial"/>
          <w:i/>
          <w:iCs/>
          <w:sz w:val="20"/>
          <w:szCs w:val="20"/>
        </w:rPr>
        <w:t>n</w:t>
      </w:r>
      <w:r w:rsidR="00C25251">
        <w:rPr>
          <w:rFonts w:ascii="Arial" w:hAnsi="Arial" w:cs="Arial"/>
          <w:sz w:val="20"/>
          <w:szCs w:val="20"/>
        </w:rPr>
        <w:t xml:space="preserve"> </w:t>
      </w:r>
      <w:r w:rsidR="00C25251" w:rsidRPr="008218E6">
        <w:rPr>
          <w:rFonts w:ascii="Arial" w:hAnsi="Arial" w:cs="Arial"/>
          <w:sz w:val="20"/>
          <w:szCs w:val="20"/>
        </w:rPr>
        <w:t>=</w:t>
      </w:r>
      <w:r w:rsidR="00C25251">
        <w:rPr>
          <w:rFonts w:ascii="Arial" w:hAnsi="Arial" w:cs="Arial"/>
          <w:sz w:val="20"/>
          <w:szCs w:val="20"/>
        </w:rPr>
        <w:t xml:space="preserve"> </w:t>
      </w:r>
      <w:r w:rsidR="00C25251" w:rsidRPr="008218E6">
        <w:rPr>
          <w:rFonts w:ascii="Arial" w:hAnsi="Arial" w:cs="Arial"/>
          <w:sz w:val="20"/>
          <w:szCs w:val="20"/>
        </w:rPr>
        <w:t>48</w:t>
      </w:r>
      <w:r w:rsidRPr="00ED1D2A">
        <w:rPr>
          <w:rFonts w:ascii="Arial" w:hAnsi="Arial" w:cs="Arial"/>
          <w:sz w:val="20"/>
          <w:szCs w:val="20"/>
        </w:rPr>
        <w:t xml:space="preserve">). Taxa are sorted in descending order based on the </w:t>
      </w:r>
      <w:r w:rsidR="008218E6">
        <w:rPr>
          <w:rFonts w:ascii="Arial" w:hAnsi="Arial" w:cs="Arial"/>
          <w:sz w:val="20"/>
          <w:szCs w:val="20"/>
        </w:rPr>
        <w:t>Log2</w:t>
      </w:r>
      <w:r w:rsidRPr="00ED1D2A">
        <w:rPr>
          <w:rFonts w:ascii="Arial" w:hAnsi="Arial" w:cs="Arial"/>
          <w:sz w:val="20"/>
          <w:szCs w:val="20"/>
        </w:rPr>
        <w:t xml:space="preserve"> </w:t>
      </w:r>
      <w:r w:rsidR="00ED1D2A" w:rsidRPr="00ED1D2A">
        <w:rPr>
          <w:rFonts w:ascii="Arial" w:hAnsi="Arial" w:cs="Arial"/>
          <w:sz w:val="20"/>
          <w:szCs w:val="20"/>
        </w:rPr>
        <w:t>f</w:t>
      </w:r>
      <w:r w:rsidRPr="00ED1D2A">
        <w:rPr>
          <w:rFonts w:ascii="Arial" w:hAnsi="Arial" w:cs="Arial"/>
          <w:sz w:val="20"/>
          <w:szCs w:val="20"/>
        </w:rPr>
        <w:t xml:space="preserve">old </w:t>
      </w:r>
      <w:r w:rsidR="00ED1D2A" w:rsidRPr="00ED1D2A">
        <w:rPr>
          <w:rFonts w:ascii="Arial" w:hAnsi="Arial" w:cs="Arial"/>
          <w:sz w:val="20"/>
          <w:szCs w:val="20"/>
        </w:rPr>
        <w:t>c</w:t>
      </w:r>
      <w:r w:rsidRPr="00ED1D2A">
        <w:rPr>
          <w:rFonts w:ascii="Arial" w:hAnsi="Arial" w:cs="Arial"/>
          <w:sz w:val="20"/>
          <w:szCs w:val="20"/>
        </w:rPr>
        <w:t>hange (</w:t>
      </w:r>
      <w:r w:rsidR="008218E6">
        <w:rPr>
          <w:rFonts w:ascii="Arial" w:hAnsi="Arial" w:cs="Arial"/>
          <w:sz w:val="20"/>
          <w:szCs w:val="20"/>
        </w:rPr>
        <w:t>Log2</w:t>
      </w:r>
      <w:r w:rsidRPr="00ED1D2A">
        <w:rPr>
          <w:rFonts w:ascii="Arial" w:hAnsi="Arial" w:cs="Arial"/>
          <w:sz w:val="20"/>
          <w:szCs w:val="20"/>
        </w:rPr>
        <w:t xml:space="preserve">FC). Ambiguous genera (e.g., unclassified at the genus level) are labeled with the lowest identified taxonomic rank (e.g., </w:t>
      </w:r>
      <w:r w:rsidR="00ED1D2A" w:rsidRPr="00ED1D2A">
        <w:rPr>
          <w:rFonts w:ascii="Arial" w:hAnsi="Arial" w:cs="Arial"/>
          <w:sz w:val="20"/>
          <w:szCs w:val="20"/>
        </w:rPr>
        <w:t>Unclassified Ruminococcaceae</w:t>
      </w:r>
      <w:r w:rsidRPr="00ED1D2A">
        <w:rPr>
          <w:rFonts w:ascii="Arial" w:hAnsi="Arial" w:cs="Arial"/>
          <w:sz w:val="20"/>
          <w:szCs w:val="20"/>
        </w:rPr>
        <w:t>). Significance was determined using the two</w:t>
      </w:r>
      <w:r w:rsidR="00E839E3">
        <w:rPr>
          <w:rFonts w:ascii="Arial" w:hAnsi="Arial" w:cs="Arial"/>
        </w:rPr>
        <w:t>-</w:t>
      </w:r>
      <w:r w:rsidRPr="00ED1D2A">
        <w:rPr>
          <w:rFonts w:ascii="Arial" w:hAnsi="Arial" w:cs="Arial"/>
          <w:sz w:val="20"/>
          <w:szCs w:val="20"/>
        </w:rPr>
        <w:t xml:space="preserve">sided Wilcoxon signed-rank test. </w:t>
      </w:r>
      <w:r w:rsidR="0028678B" w:rsidRPr="0028678B">
        <w:rPr>
          <w:rFonts w:ascii="Arial" w:hAnsi="Arial" w:cs="Arial"/>
          <w:i/>
          <w:iCs/>
          <w:sz w:val="20"/>
          <w:szCs w:val="20"/>
        </w:rPr>
        <w:t>P</w:t>
      </w:r>
      <w:r w:rsidR="0028678B">
        <w:rPr>
          <w:rFonts w:ascii="Arial" w:hAnsi="Arial" w:cs="Arial"/>
          <w:sz w:val="20"/>
          <w:szCs w:val="20"/>
        </w:rPr>
        <w:t xml:space="preserve"> </w:t>
      </w:r>
      <w:r w:rsidRPr="00ED1D2A">
        <w:rPr>
          <w:rFonts w:ascii="Arial" w:hAnsi="Arial" w:cs="Arial"/>
          <w:sz w:val="20"/>
          <w:szCs w:val="20"/>
        </w:rPr>
        <w:t>values were adjusted using the Benjamini</w:t>
      </w:r>
      <w:r w:rsidR="00496B63" w:rsidRPr="00496B63">
        <w:rPr>
          <w:rFonts w:ascii="Arial" w:hAnsi="Arial" w:cs="Arial"/>
          <w:sz w:val="20"/>
          <w:szCs w:val="20"/>
        </w:rPr>
        <w:t>–</w:t>
      </w:r>
      <w:r w:rsidRPr="00ED1D2A">
        <w:rPr>
          <w:rFonts w:ascii="Arial" w:hAnsi="Arial" w:cs="Arial"/>
          <w:sz w:val="20"/>
          <w:szCs w:val="20"/>
        </w:rPr>
        <w:t>Hochberg FDR method (q</w:t>
      </w:r>
      <w:r w:rsidR="00ED1D2A">
        <w:rPr>
          <w:rFonts w:ascii="Arial" w:hAnsi="Arial" w:cs="Arial"/>
        </w:rPr>
        <w:t>-</w:t>
      </w:r>
      <w:r w:rsidRPr="00ED1D2A">
        <w:rPr>
          <w:rFonts w:ascii="Arial" w:hAnsi="Arial" w:cs="Arial"/>
          <w:sz w:val="20"/>
          <w:szCs w:val="20"/>
        </w:rPr>
        <w:t xml:space="preserve">value). </w:t>
      </w:r>
      <w:r w:rsidR="00BC1AA2" w:rsidRPr="00ED1D2A">
        <w:rPr>
          <w:rFonts w:ascii="Arial" w:hAnsi="Arial" w:cs="Arial"/>
          <w:sz w:val="20"/>
          <w:szCs w:val="20"/>
        </w:rPr>
        <w:t>To capture potential ecologically relevant responders, t</w:t>
      </w:r>
      <w:r w:rsidRPr="00ED1D2A">
        <w:rPr>
          <w:rFonts w:ascii="Arial" w:hAnsi="Arial" w:cs="Arial"/>
          <w:sz w:val="20"/>
          <w:szCs w:val="20"/>
        </w:rPr>
        <w:t xml:space="preserve">axa with </w:t>
      </w:r>
      <w:r w:rsidR="00A27518" w:rsidRPr="00ED1D2A">
        <w:rPr>
          <w:rFonts w:ascii="Arial" w:hAnsi="Arial" w:cs="Arial"/>
          <w:sz w:val="20"/>
          <w:szCs w:val="20"/>
        </w:rPr>
        <w:t xml:space="preserve">raw </w:t>
      </w:r>
      <w:r w:rsidRPr="00ED1D2A">
        <w:rPr>
          <w:rFonts w:ascii="Arial" w:hAnsi="Arial" w:cs="Arial"/>
          <w:i/>
          <w:iCs/>
          <w:sz w:val="20"/>
          <w:szCs w:val="20"/>
        </w:rPr>
        <w:t>P</w:t>
      </w:r>
      <w:r w:rsidRPr="00ED1D2A">
        <w:rPr>
          <w:rFonts w:ascii="Arial" w:hAnsi="Arial" w:cs="Arial"/>
          <w:sz w:val="20"/>
          <w:szCs w:val="20"/>
        </w:rPr>
        <w:t xml:space="preserve"> &lt; 0.05 are listed.</w:t>
      </w:r>
    </w:p>
    <w:p w14:paraId="2A6AF97B" w14:textId="77777777" w:rsidR="003F59D5" w:rsidRPr="003F59D5" w:rsidRDefault="003F59D5" w:rsidP="003F59D5">
      <w:pPr>
        <w:rPr>
          <w:rFonts w:ascii="Arial" w:hAnsi="Arial" w:cs="Arial"/>
          <w:sz w:val="22"/>
          <w:szCs w:val="22"/>
        </w:rPr>
      </w:pPr>
    </w:p>
    <w:p w14:paraId="64F19B0E" w14:textId="5816B8CB" w:rsidR="003F59D5" w:rsidRPr="009A1A8E" w:rsidRDefault="003F59D5" w:rsidP="003F59D5">
      <w:pPr>
        <w:rPr>
          <w:rFonts w:ascii="Arial" w:hAnsi="Arial" w:cs="Arial"/>
          <w:b/>
          <w:bCs/>
        </w:rPr>
      </w:pPr>
      <w:r w:rsidRPr="009A1A8E">
        <w:rPr>
          <w:rFonts w:ascii="Arial" w:hAnsi="Arial" w:cs="Arial"/>
          <w:b/>
          <w:bCs/>
        </w:rPr>
        <w:t xml:space="preserve">Supplementary Data 2 | List of bacterial genera responding to </w:t>
      </w:r>
      <w:r w:rsidR="00ED1D2A" w:rsidRPr="009A1A8E">
        <w:rPr>
          <w:rFonts w:ascii="Arial" w:hAnsi="Arial" w:cs="Arial"/>
          <w:b/>
          <w:bCs/>
        </w:rPr>
        <w:t>r</w:t>
      </w:r>
      <w:r w:rsidRPr="009A1A8E">
        <w:rPr>
          <w:rFonts w:ascii="Arial" w:hAnsi="Arial" w:cs="Arial"/>
          <w:b/>
          <w:bCs/>
        </w:rPr>
        <w:t>esistant starch (RS) fermentation.</w:t>
      </w:r>
    </w:p>
    <w:p w14:paraId="47AB7E73" w14:textId="77027BFD" w:rsidR="00C25251" w:rsidRDefault="003F59D5" w:rsidP="003F59D5">
      <w:pPr>
        <w:rPr>
          <w:rFonts w:ascii="Arial" w:hAnsi="Arial" w:cs="Arial"/>
          <w:sz w:val="22"/>
          <w:szCs w:val="22"/>
        </w:rPr>
      </w:pPr>
      <w:r w:rsidRPr="008218E6">
        <w:rPr>
          <w:rFonts w:ascii="Arial" w:hAnsi="Arial" w:cs="Arial"/>
          <w:sz w:val="20"/>
          <w:szCs w:val="20"/>
        </w:rPr>
        <w:t>Statistical identification of bacterial taxa showing</w:t>
      </w:r>
      <w:r w:rsidR="00BC1AA2" w:rsidRPr="008218E6">
        <w:rPr>
          <w:rFonts w:ascii="Arial" w:hAnsi="Arial" w:cs="Arial"/>
          <w:sz w:val="20"/>
          <w:szCs w:val="20"/>
        </w:rPr>
        <w:t xml:space="preserve"> nominally</w:t>
      </w:r>
      <w:r w:rsidRPr="008218E6">
        <w:rPr>
          <w:rFonts w:ascii="Arial" w:hAnsi="Arial" w:cs="Arial"/>
          <w:sz w:val="20"/>
          <w:szCs w:val="20"/>
        </w:rPr>
        <w:t xml:space="preserve"> significant changes in relative abundance following 48-hour RS fermentation compared to the control (</w:t>
      </w:r>
      <w:r w:rsidRPr="00C25251">
        <w:rPr>
          <w:rFonts w:ascii="Arial" w:hAnsi="Arial" w:cs="Arial"/>
          <w:i/>
          <w:iCs/>
          <w:sz w:val="20"/>
          <w:szCs w:val="20"/>
        </w:rPr>
        <w:t>n</w:t>
      </w:r>
      <w:r w:rsidR="00C25251">
        <w:rPr>
          <w:rFonts w:ascii="Arial" w:hAnsi="Arial" w:cs="Arial"/>
          <w:sz w:val="20"/>
          <w:szCs w:val="20"/>
        </w:rPr>
        <w:t xml:space="preserve"> </w:t>
      </w:r>
      <w:r w:rsidRPr="008218E6">
        <w:rPr>
          <w:rFonts w:ascii="Arial" w:hAnsi="Arial" w:cs="Arial"/>
          <w:sz w:val="20"/>
          <w:szCs w:val="20"/>
        </w:rPr>
        <w:t>=</w:t>
      </w:r>
      <w:r w:rsidR="00C25251">
        <w:rPr>
          <w:rFonts w:ascii="Arial" w:hAnsi="Arial" w:cs="Arial"/>
          <w:sz w:val="20"/>
          <w:szCs w:val="20"/>
        </w:rPr>
        <w:t xml:space="preserve"> </w:t>
      </w:r>
      <w:r w:rsidRPr="008218E6">
        <w:rPr>
          <w:rFonts w:ascii="Arial" w:hAnsi="Arial" w:cs="Arial"/>
          <w:sz w:val="20"/>
          <w:szCs w:val="20"/>
        </w:rPr>
        <w:t xml:space="preserve">48). Taxa are sorted in descending order based on the </w:t>
      </w:r>
      <w:r w:rsidR="008218E6">
        <w:rPr>
          <w:rFonts w:ascii="Arial" w:hAnsi="Arial" w:cs="Arial"/>
          <w:sz w:val="20"/>
          <w:szCs w:val="20"/>
        </w:rPr>
        <w:t>Log2</w:t>
      </w:r>
      <w:r w:rsidR="00ED1D2A" w:rsidRPr="008218E6">
        <w:rPr>
          <w:rFonts w:ascii="Arial" w:hAnsi="Arial" w:cs="Arial"/>
          <w:sz w:val="20"/>
          <w:szCs w:val="20"/>
        </w:rPr>
        <w:t xml:space="preserve"> fold change (</w:t>
      </w:r>
      <w:r w:rsidR="008218E6">
        <w:rPr>
          <w:rFonts w:ascii="Arial" w:hAnsi="Arial" w:cs="Arial"/>
          <w:sz w:val="20"/>
          <w:szCs w:val="20"/>
        </w:rPr>
        <w:t>Log2</w:t>
      </w:r>
      <w:r w:rsidR="00ED1D2A" w:rsidRPr="008218E6">
        <w:rPr>
          <w:rFonts w:ascii="Arial" w:hAnsi="Arial" w:cs="Arial"/>
          <w:sz w:val="20"/>
          <w:szCs w:val="20"/>
        </w:rPr>
        <w:t>FC)</w:t>
      </w:r>
      <w:r w:rsidRPr="008218E6">
        <w:rPr>
          <w:rFonts w:ascii="Arial" w:hAnsi="Arial" w:cs="Arial"/>
          <w:sz w:val="20"/>
          <w:szCs w:val="20"/>
        </w:rPr>
        <w:t xml:space="preserve">. Ambiguous genera (e.g., unclassified at the genus level) are labeled with the lowest identified taxonomic rank (e.g., </w:t>
      </w:r>
      <w:r w:rsidR="00ED1D2A" w:rsidRPr="008218E6">
        <w:rPr>
          <w:rFonts w:ascii="Arial" w:hAnsi="Arial" w:cs="Arial"/>
          <w:sz w:val="20"/>
          <w:szCs w:val="20"/>
        </w:rPr>
        <w:t>Unclassified Ruminococcaceae</w:t>
      </w:r>
      <w:r w:rsidRPr="008218E6">
        <w:rPr>
          <w:rFonts w:ascii="Arial" w:hAnsi="Arial" w:cs="Arial"/>
          <w:sz w:val="20"/>
          <w:szCs w:val="20"/>
        </w:rPr>
        <w:t>).</w:t>
      </w:r>
      <w:r w:rsidRPr="008218E6">
        <w:rPr>
          <w:rFonts w:ascii="Arial" w:hAnsi="Arial" w:cs="Arial"/>
          <w:b/>
          <w:bCs/>
          <w:sz w:val="20"/>
          <w:szCs w:val="20"/>
        </w:rPr>
        <w:t xml:space="preserve"> </w:t>
      </w:r>
      <w:r w:rsidRPr="008218E6">
        <w:rPr>
          <w:rFonts w:ascii="Arial" w:hAnsi="Arial" w:cs="Arial"/>
          <w:sz w:val="20"/>
          <w:szCs w:val="20"/>
        </w:rPr>
        <w:t>Significance was determined using the two</w:t>
      </w:r>
      <w:r w:rsidR="00E839E3">
        <w:rPr>
          <w:rFonts w:ascii="Arial" w:hAnsi="Arial" w:cs="Arial"/>
          <w:sz w:val="20"/>
          <w:szCs w:val="20"/>
        </w:rPr>
        <w:t>-</w:t>
      </w:r>
      <w:r w:rsidRPr="008218E6">
        <w:rPr>
          <w:rFonts w:ascii="Arial" w:hAnsi="Arial" w:cs="Arial"/>
          <w:sz w:val="20"/>
          <w:szCs w:val="20"/>
        </w:rPr>
        <w:t>sided Wilcoxon signed</w:t>
      </w:r>
      <w:r w:rsidR="00E839E3">
        <w:rPr>
          <w:rFonts w:ascii="Arial" w:hAnsi="Arial" w:cs="Arial"/>
          <w:sz w:val="20"/>
          <w:szCs w:val="20"/>
        </w:rPr>
        <w:t>-</w:t>
      </w:r>
      <w:r w:rsidRPr="008218E6">
        <w:rPr>
          <w:rFonts w:ascii="Arial" w:hAnsi="Arial" w:cs="Arial"/>
          <w:sz w:val="20"/>
          <w:szCs w:val="20"/>
        </w:rPr>
        <w:t xml:space="preserve">rank test. </w:t>
      </w:r>
      <w:r w:rsidRPr="0028678B">
        <w:rPr>
          <w:rFonts w:ascii="Arial" w:hAnsi="Arial" w:cs="Arial"/>
          <w:i/>
          <w:iCs/>
          <w:sz w:val="20"/>
          <w:szCs w:val="20"/>
        </w:rPr>
        <w:t>P</w:t>
      </w:r>
      <w:r w:rsidR="0028678B">
        <w:rPr>
          <w:rFonts w:ascii="Arial" w:hAnsi="Arial" w:cs="Arial"/>
          <w:sz w:val="20"/>
          <w:szCs w:val="20"/>
        </w:rPr>
        <w:t xml:space="preserve"> </w:t>
      </w:r>
      <w:r w:rsidRPr="008218E6">
        <w:rPr>
          <w:rFonts w:ascii="Arial" w:hAnsi="Arial" w:cs="Arial"/>
          <w:sz w:val="20"/>
          <w:szCs w:val="20"/>
        </w:rPr>
        <w:t>values were adjusted using the Benjamini</w:t>
      </w:r>
      <w:r w:rsidR="00496B63" w:rsidRPr="00496B63">
        <w:rPr>
          <w:rFonts w:ascii="Arial" w:hAnsi="Arial" w:cs="Arial"/>
          <w:sz w:val="20"/>
          <w:szCs w:val="20"/>
        </w:rPr>
        <w:t>–</w:t>
      </w:r>
      <w:r w:rsidRPr="008218E6">
        <w:rPr>
          <w:rFonts w:ascii="Arial" w:hAnsi="Arial" w:cs="Arial"/>
          <w:sz w:val="20"/>
          <w:szCs w:val="20"/>
        </w:rPr>
        <w:t xml:space="preserve">Hochberg FDR method (q-value). </w:t>
      </w:r>
      <w:r w:rsidR="00BC1AA2" w:rsidRPr="008218E6">
        <w:rPr>
          <w:rFonts w:ascii="Arial" w:hAnsi="Arial" w:cs="Arial"/>
          <w:sz w:val="20"/>
          <w:szCs w:val="20"/>
        </w:rPr>
        <w:t>To capture potential ecologically relevant responders, t</w:t>
      </w:r>
      <w:r w:rsidRPr="008218E6">
        <w:rPr>
          <w:rFonts w:ascii="Arial" w:hAnsi="Arial" w:cs="Arial"/>
          <w:sz w:val="20"/>
          <w:szCs w:val="20"/>
        </w:rPr>
        <w:t xml:space="preserve">axa with </w:t>
      </w:r>
      <w:r w:rsidR="00A27518" w:rsidRPr="008218E6">
        <w:rPr>
          <w:rFonts w:ascii="Arial" w:hAnsi="Arial" w:cs="Arial"/>
          <w:sz w:val="20"/>
          <w:szCs w:val="20"/>
        </w:rPr>
        <w:t xml:space="preserve">raw </w:t>
      </w:r>
      <w:r w:rsidRPr="008218E6">
        <w:rPr>
          <w:rFonts w:ascii="Arial" w:hAnsi="Arial" w:cs="Arial"/>
          <w:i/>
          <w:iCs/>
          <w:sz w:val="20"/>
          <w:szCs w:val="20"/>
        </w:rPr>
        <w:t xml:space="preserve">P </w:t>
      </w:r>
      <w:r w:rsidRPr="008218E6">
        <w:rPr>
          <w:rFonts w:ascii="Arial" w:hAnsi="Arial" w:cs="Arial"/>
          <w:sz w:val="20"/>
          <w:szCs w:val="20"/>
        </w:rPr>
        <w:t>&lt; 0.05 are listed.</w:t>
      </w:r>
    </w:p>
    <w:p w14:paraId="6F020361" w14:textId="77777777" w:rsidR="003F59D5" w:rsidRPr="003F59D5" w:rsidRDefault="003F59D5" w:rsidP="003F59D5">
      <w:pPr>
        <w:rPr>
          <w:rFonts w:ascii="Arial" w:hAnsi="Arial" w:cs="Arial"/>
          <w:sz w:val="22"/>
          <w:szCs w:val="22"/>
        </w:rPr>
      </w:pPr>
    </w:p>
    <w:p w14:paraId="3B4881F2" w14:textId="5D929705" w:rsidR="003F59D5" w:rsidRPr="009A1A8E" w:rsidRDefault="003F59D5" w:rsidP="003F59D5">
      <w:pPr>
        <w:rPr>
          <w:rFonts w:ascii="Arial" w:hAnsi="Arial" w:cs="Arial"/>
          <w:b/>
          <w:bCs/>
        </w:rPr>
      </w:pPr>
      <w:r w:rsidRPr="009A1A8E">
        <w:rPr>
          <w:rFonts w:ascii="Arial" w:hAnsi="Arial" w:cs="Arial"/>
          <w:b/>
          <w:bCs/>
        </w:rPr>
        <w:t xml:space="preserve">Supplementary Data 3 | List of bacterial genera responding to </w:t>
      </w:r>
      <w:r w:rsidR="008218E6" w:rsidRPr="009A1A8E">
        <w:rPr>
          <w:rFonts w:ascii="Arial" w:hAnsi="Arial" w:cs="Arial"/>
          <w:b/>
          <w:bCs/>
        </w:rPr>
        <w:t>x</w:t>
      </w:r>
      <w:r w:rsidRPr="009A1A8E">
        <w:rPr>
          <w:rFonts w:ascii="Arial" w:hAnsi="Arial" w:cs="Arial"/>
          <w:b/>
          <w:bCs/>
        </w:rPr>
        <w:t>ylitol fermentation.</w:t>
      </w:r>
    </w:p>
    <w:p w14:paraId="3488CF18" w14:textId="337A04CD" w:rsidR="00C25251" w:rsidRDefault="003F59D5" w:rsidP="003F59D5">
      <w:pPr>
        <w:rPr>
          <w:rFonts w:ascii="Arial" w:hAnsi="Arial" w:cs="Arial"/>
          <w:sz w:val="20"/>
          <w:szCs w:val="20"/>
        </w:rPr>
      </w:pPr>
      <w:r w:rsidRPr="008218E6">
        <w:rPr>
          <w:rFonts w:ascii="Arial" w:hAnsi="Arial" w:cs="Arial"/>
          <w:sz w:val="20"/>
          <w:szCs w:val="20"/>
        </w:rPr>
        <w:t>Statistical identification of bacterial taxa showing</w:t>
      </w:r>
      <w:r w:rsidR="00BC1AA2" w:rsidRPr="008218E6">
        <w:rPr>
          <w:rFonts w:ascii="Arial" w:hAnsi="Arial" w:cs="Arial"/>
          <w:sz w:val="20"/>
          <w:szCs w:val="20"/>
        </w:rPr>
        <w:t xml:space="preserve"> nominally</w:t>
      </w:r>
      <w:r w:rsidRPr="008218E6">
        <w:rPr>
          <w:rFonts w:ascii="Arial" w:hAnsi="Arial" w:cs="Arial"/>
          <w:sz w:val="20"/>
          <w:szCs w:val="20"/>
        </w:rPr>
        <w:t xml:space="preserve"> significant changes in relative abundance following 48-hour </w:t>
      </w:r>
      <w:r w:rsidR="008218E6">
        <w:rPr>
          <w:rFonts w:ascii="Arial" w:hAnsi="Arial" w:cs="Arial"/>
          <w:sz w:val="20"/>
          <w:szCs w:val="20"/>
        </w:rPr>
        <w:t>x</w:t>
      </w:r>
      <w:r w:rsidRPr="008218E6">
        <w:rPr>
          <w:rFonts w:ascii="Arial" w:hAnsi="Arial" w:cs="Arial"/>
          <w:sz w:val="20"/>
          <w:szCs w:val="20"/>
        </w:rPr>
        <w:t>ylitol fermentation compared to the control (</w:t>
      </w:r>
      <w:r w:rsidR="00C25251" w:rsidRPr="00C25251">
        <w:rPr>
          <w:rFonts w:ascii="Arial" w:hAnsi="Arial" w:cs="Arial"/>
          <w:i/>
          <w:iCs/>
          <w:sz w:val="20"/>
          <w:szCs w:val="20"/>
        </w:rPr>
        <w:t>n</w:t>
      </w:r>
      <w:r w:rsidR="00C25251">
        <w:rPr>
          <w:rFonts w:ascii="Arial" w:hAnsi="Arial" w:cs="Arial"/>
          <w:sz w:val="20"/>
          <w:szCs w:val="20"/>
        </w:rPr>
        <w:t xml:space="preserve"> </w:t>
      </w:r>
      <w:r w:rsidR="00C25251" w:rsidRPr="008218E6">
        <w:rPr>
          <w:rFonts w:ascii="Arial" w:hAnsi="Arial" w:cs="Arial"/>
          <w:sz w:val="20"/>
          <w:szCs w:val="20"/>
        </w:rPr>
        <w:t>=</w:t>
      </w:r>
      <w:r w:rsidR="00C25251">
        <w:rPr>
          <w:rFonts w:ascii="Arial" w:hAnsi="Arial" w:cs="Arial"/>
          <w:sz w:val="20"/>
          <w:szCs w:val="20"/>
        </w:rPr>
        <w:t xml:space="preserve"> </w:t>
      </w:r>
      <w:r w:rsidR="00C25251" w:rsidRPr="008218E6">
        <w:rPr>
          <w:rFonts w:ascii="Arial" w:hAnsi="Arial" w:cs="Arial"/>
          <w:sz w:val="20"/>
          <w:szCs w:val="20"/>
        </w:rPr>
        <w:t>48</w:t>
      </w:r>
      <w:r w:rsidRPr="008218E6">
        <w:rPr>
          <w:rFonts w:ascii="Arial" w:hAnsi="Arial" w:cs="Arial"/>
          <w:sz w:val="20"/>
          <w:szCs w:val="20"/>
        </w:rPr>
        <w:t xml:space="preserve">). Taxa are sorted in descending order based on the </w:t>
      </w:r>
      <w:r w:rsidR="008218E6">
        <w:rPr>
          <w:rFonts w:ascii="Arial" w:hAnsi="Arial" w:cs="Arial"/>
          <w:sz w:val="20"/>
          <w:szCs w:val="20"/>
        </w:rPr>
        <w:t>Log2</w:t>
      </w:r>
      <w:r w:rsidR="00ED1D2A" w:rsidRPr="008218E6">
        <w:rPr>
          <w:rFonts w:ascii="Arial" w:hAnsi="Arial" w:cs="Arial"/>
          <w:sz w:val="20"/>
          <w:szCs w:val="20"/>
        </w:rPr>
        <w:t xml:space="preserve"> fold change (</w:t>
      </w:r>
      <w:r w:rsidR="008218E6">
        <w:rPr>
          <w:rFonts w:ascii="Arial" w:hAnsi="Arial" w:cs="Arial"/>
          <w:sz w:val="20"/>
          <w:szCs w:val="20"/>
        </w:rPr>
        <w:t>Log2</w:t>
      </w:r>
      <w:r w:rsidR="00ED1D2A" w:rsidRPr="008218E6">
        <w:rPr>
          <w:rFonts w:ascii="Arial" w:hAnsi="Arial" w:cs="Arial"/>
          <w:sz w:val="20"/>
          <w:szCs w:val="20"/>
        </w:rPr>
        <w:t>FC)</w:t>
      </w:r>
      <w:r w:rsidRPr="008218E6">
        <w:rPr>
          <w:rFonts w:ascii="Arial" w:hAnsi="Arial" w:cs="Arial"/>
          <w:sz w:val="20"/>
          <w:szCs w:val="20"/>
        </w:rPr>
        <w:t xml:space="preserve">. </w:t>
      </w:r>
      <w:r w:rsidR="001D0937" w:rsidRPr="008218E6">
        <w:rPr>
          <w:rFonts w:ascii="Arial" w:hAnsi="Arial" w:cs="Arial"/>
          <w:sz w:val="20"/>
          <w:szCs w:val="20"/>
        </w:rPr>
        <w:t xml:space="preserve">Ambiguous genera (e.g., unclassified at the genus level) are labeled with the lowest identified taxonomic rank (e.g., </w:t>
      </w:r>
      <w:r w:rsidR="00ED1D2A" w:rsidRPr="008218E6">
        <w:rPr>
          <w:rFonts w:ascii="Arial" w:hAnsi="Arial" w:cs="Arial"/>
          <w:sz w:val="20"/>
          <w:szCs w:val="20"/>
        </w:rPr>
        <w:t>Unclassified Ruminococcaceae</w:t>
      </w:r>
      <w:r w:rsidR="001D0937" w:rsidRPr="008218E6">
        <w:rPr>
          <w:rFonts w:ascii="Arial" w:hAnsi="Arial" w:cs="Arial"/>
          <w:sz w:val="20"/>
          <w:szCs w:val="20"/>
        </w:rPr>
        <w:t xml:space="preserve">). </w:t>
      </w:r>
      <w:r w:rsidRPr="008218E6">
        <w:rPr>
          <w:rFonts w:ascii="Arial" w:hAnsi="Arial" w:cs="Arial"/>
          <w:sz w:val="20"/>
          <w:szCs w:val="20"/>
        </w:rPr>
        <w:t>Significance was determined using the two</w:t>
      </w:r>
      <w:r w:rsidR="00E839E3">
        <w:rPr>
          <w:rFonts w:ascii="Arial" w:hAnsi="Arial" w:cs="Arial"/>
          <w:sz w:val="20"/>
          <w:szCs w:val="20"/>
        </w:rPr>
        <w:t>-</w:t>
      </w:r>
      <w:r w:rsidRPr="008218E6">
        <w:rPr>
          <w:rFonts w:ascii="Arial" w:hAnsi="Arial" w:cs="Arial"/>
          <w:sz w:val="20"/>
          <w:szCs w:val="20"/>
        </w:rPr>
        <w:t>sided Wilcoxon signed</w:t>
      </w:r>
      <w:r w:rsidR="00E839E3">
        <w:rPr>
          <w:rFonts w:ascii="Arial" w:hAnsi="Arial" w:cs="Arial"/>
          <w:sz w:val="20"/>
          <w:szCs w:val="20"/>
        </w:rPr>
        <w:t>-</w:t>
      </w:r>
      <w:r w:rsidRPr="008218E6">
        <w:rPr>
          <w:rFonts w:ascii="Arial" w:hAnsi="Arial" w:cs="Arial"/>
          <w:sz w:val="20"/>
          <w:szCs w:val="20"/>
        </w:rPr>
        <w:t xml:space="preserve">rank test. </w:t>
      </w:r>
      <w:r w:rsidRPr="0028678B">
        <w:rPr>
          <w:rFonts w:ascii="Arial" w:hAnsi="Arial" w:cs="Arial"/>
          <w:i/>
          <w:iCs/>
          <w:sz w:val="20"/>
          <w:szCs w:val="20"/>
        </w:rPr>
        <w:t>P</w:t>
      </w:r>
      <w:r w:rsidR="0028678B">
        <w:rPr>
          <w:rFonts w:ascii="Arial" w:hAnsi="Arial" w:cs="Arial"/>
          <w:sz w:val="20"/>
          <w:szCs w:val="20"/>
        </w:rPr>
        <w:t xml:space="preserve"> </w:t>
      </w:r>
      <w:r w:rsidRPr="008218E6">
        <w:rPr>
          <w:rFonts w:ascii="Arial" w:hAnsi="Arial" w:cs="Arial"/>
          <w:sz w:val="20"/>
          <w:szCs w:val="20"/>
        </w:rPr>
        <w:t>values were adjusted using the Benjamini</w:t>
      </w:r>
      <w:r w:rsidR="00496B63" w:rsidRPr="00496B63">
        <w:rPr>
          <w:rFonts w:ascii="Arial" w:hAnsi="Arial" w:cs="Arial"/>
          <w:sz w:val="20"/>
          <w:szCs w:val="20"/>
        </w:rPr>
        <w:t>–</w:t>
      </w:r>
      <w:r w:rsidRPr="008218E6">
        <w:rPr>
          <w:rFonts w:ascii="Arial" w:hAnsi="Arial" w:cs="Arial"/>
          <w:sz w:val="20"/>
          <w:szCs w:val="20"/>
        </w:rPr>
        <w:t xml:space="preserve">Hochberg FDR method (q-value). </w:t>
      </w:r>
      <w:r w:rsidR="00BC1AA2" w:rsidRPr="008218E6">
        <w:rPr>
          <w:rFonts w:ascii="Arial" w:hAnsi="Arial" w:cs="Arial"/>
          <w:sz w:val="20"/>
          <w:szCs w:val="20"/>
        </w:rPr>
        <w:t>To capture potential ecologically relevant responders, t</w:t>
      </w:r>
      <w:r w:rsidRPr="008218E6">
        <w:rPr>
          <w:rFonts w:ascii="Arial" w:hAnsi="Arial" w:cs="Arial"/>
          <w:sz w:val="20"/>
          <w:szCs w:val="20"/>
        </w:rPr>
        <w:t xml:space="preserve">axa with </w:t>
      </w:r>
      <w:r w:rsidR="00A27518" w:rsidRPr="008218E6">
        <w:rPr>
          <w:rFonts w:ascii="Arial" w:hAnsi="Arial" w:cs="Arial"/>
          <w:sz w:val="20"/>
          <w:szCs w:val="20"/>
        </w:rPr>
        <w:t xml:space="preserve">raw </w:t>
      </w:r>
      <w:r w:rsidRPr="008218E6">
        <w:rPr>
          <w:rFonts w:ascii="Arial" w:hAnsi="Arial" w:cs="Arial"/>
          <w:i/>
          <w:iCs/>
          <w:sz w:val="20"/>
          <w:szCs w:val="20"/>
        </w:rPr>
        <w:t>P</w:t>
      </w:r>
      <w:r w:rsidRPr="008218E6">
        <w:rPr>
          <w:rFonts w:ascii="Arial" w:hAnsi="Arial" w:cs="Arial"/>
          <w:sz w:val="20"/>
          <w:szCs w:val="20"/>
        </w:rPr>
        <w:t xml:space="preserve"> &lt; 0.05 are listed.</w:t>
      </w:r>
    </w:p>
    <w:p w14:paraId="17AA9919" w14:textId="77777777" w:rsidR="003F59D5" w:rsidRPr="003F59D5" w:rsidRDefault="003F59D5" w:rsidP="003F59D5">
      <w:pPr>
        <w:rPr>
          <w:rFonts w:ascii="Arial" w:hAnsi="Arial" w:cs="Arial"/>
          <w:sz w:val="22"/>
          <w:szCs w:val="22"/>
        </w:rPr>
      </w:pPr>
    </w:p>
    <w:p w14:paraId="06C02349" w14:textId="3D7F9189" w:rsidR="003F59D5" w:rsidRPr="009A1A8E" w:rsidRDefault="003F59D5" w:rsidP="003F59D5">
      <w:pPr>
        <w:rPr>
          <w:rFonts w:ascii="Arial" w:hAnsi="Arial" w:cs="Arial"/>
          <w:b/>
          <w:bCs/>
        </w:rPr>
      </w:pPr>
      <w:r w:rsidRPr="009A1A8E">
        <w:rPr>
          <w:rFonts w:ascii="Arial" w:hAnsi="Arial" w:cs="Arial"/>
          <w:b/>
          <w:bCs/>
        </w:rPr>
        <w:t xml:space="preserve">Supplementary Data 4 | List of bacterial genera responding to </w:t>
      </w:r>
      <w:r w:rsidR="008218E6" w:rsidRPr="009A1A8E">
        <w:rPr>
          <w:rFonts w:ascii="Arial" w:hAnsi="Arial" w:cs="Arial"/>
          <w:b/>
          <w:bCs/>
        </w:rPr>
        <w:t>e</w:t>
      </w:r>
      <w:r w:rsidRPr="009A1A8E">
        <w:rPr>
          <w:rFonts w:ascii="Arial" w:hAnsi="Arial" w:cs="Arial"/>
          <w:b/>
          <w:bCs/>
        </w:rPr>
        <w:t>rythritol fermentation.</w:t>
      </w:r>
    </w:p>
    <w:p w14:paraId="5E4A8937" w14:textId="432ED199" w:rsidR="00C25251" w:rsidRDefault="003F59D5" w:rsidP="00BE0175">
      <w:pPr>
        <w:rPr>
          <w:rFonts w:ascii="Arial" w:hAnsi="Arial" w:cs="Arial"/>
          <w:sz w:val="20"/>
          <w:szCs w:val="20"/>
        </w:rPr>
      </w:pPr>
      <w:r w:rsidRPr="008218E6">
        <w:rPr>
          <w:rFonts w:ascii="Arial" w:hAnsi="Arial" w:cs="Arial"/>
          <w:sz w:val="20"/>
          <w:szCs w:val="20"/>
        </w:rPr>
        <w:lastRenderedPageBreak/>
        <w:t>Statistical identification of bacterial taxa showing</w:t>
      </w:r>
      <w:r w:rsidR="00BC1AA2" w:rsidRPr="008218E6">
        <w:rPr>
          <w:rFonts w:ascii="Arial" w:hAnsi="Arial" w:cs="Arial"/>
          <w:sz w:val="20"/>
          <w:szCs w:val="20"/>
        </w:rPr>
        <w:t xml:space="preserve"> nominally</w:t>
      </w:r>
      <w:r w:rsidRPr="008218E6">
        <w:rPr>
          <w:rFonts w:ascii="Arial" w:hAnsi="Arial" w:cs="Arial"/>
          <w:sz w:val="20"/>
          <w:szCs w:val="20"/>
        </w:rPr>
        <w:t xml:space="preserve"> significant changes in relative abundance following 48-hour </w:t>
      </w:r>
      <w:r w:rsidR="008218E6">
        <w:rPr>
          <w:rFonts w:ascii="Arial" w:hAnsi="Arial" w:cs="Arial"/>
          <w:sz w:val="20"/>
          <w:szCs w:val="20"/>
        </w:rPr>
        <w:t>e</w:t>
      </w:r>
      <w:r w:rsidRPr="008218E6">
        <w:rPr>
          <w:rFonts w:ascii="Arial" w:hAnsi="Arial" w:cs="Arial"/>
          <w:sz w:val="20"/>
          <w:szCs w:val="20"/>
        </w:rPr>
        <w:t>rythritol fermentation compared to the control (</w:t>
      </w:r>
      <w:r w:rsidR="00C25251" w:rsidRPr="00C25251">
        <w:rPr>
          <w:rFonts w:ascii="Arial" w:hAnsi="Arial" w:cs="Arial"/>
          <w:i/>
          <w:iCs/>
          <w:sz w:val="20"/>
          <w:szCs w:val="20"/>
        </w:rPr>
        <w:t>n</w:t>
      </w:r>
      <w:r w:rsidR="00C25251">
        <w:rPr>
          <w:rFonts w:ascii="Arial" w:hAnsi="Arial" w:cs="Arial"/>
          <w:sz w:val="20"/>
          <w:szCs w:val="20"/>
        </w:rPr>
        <w:t xml:space="preserve"> </w:t>
      </w:r>
      <w:r w:rsidR="00C25251" w:rsidRPr="008218E6">
        <w:rPr>
          <w:rFonts w:ascii="Arial" w:hAnsi="Arial" w:cs="Arial"/>
          <w:sz w:val="20"/>
          <w:szCs w:val="20"/>
        </w:rPr>
        <w:t>=</w:t>
      </w:r>
      <w:r w:rsidR="00C25251">
        <w:rPr>
          <w:rFonts w:ascii="Arial" w:hAnsi="Arial" w:cs="Arial"/>
          <w:sz w:val="20"/>
          <w:szCs w:val="20"/>
        </w:rPr>
        <w:t xml:space="preserve"> </w:t>
      </w:r>
      <w:r w:rsidR="00C25251" w:rsidRPr="008218E6">
        <w:rPr>
          <w:rFonts w:ascii="Arial" w:hAnsi="Arial" w:cs="Arial"/>
          <w:sz w:val="20"/>
          <w:szCs w:val="20"/>
        </w:rPr>
        <w:t>48</w:t>
      </w:r>
      <w:r w:rsidRPr="008218E6">
        <w:rPr>
          <w:rFonts w:ascii="Arial" w:hAnsi="Arial" w:cs="Arial"/>
          <w:sz w:val="20"/>
          <w:szCs w:val="20"/>
        </w:rPr>
        <w:t xml:space="preserve">). Taxa are sorted in descending order based on the </w:t>
      </w:r>
      <w:r w:rsidR="008218E6">
        <w:rPr>
          <w:rFonts w:ascii="Arial" w:hAnsi="Arial" w:cs="Arial"/>
          <w:sz w:val="20"/>
          <w:szCs w:val="20"/>
        </w:rPr>
        <w:t>Log2</w:t>
      </w:r>
      <w:r w:rsidR="00ED1D2A" w:rsidRPr="008218E6">
        <w:rPr>
          <w:rFonts w:ascii="Arial" w:hAnsi="Arial" w:cs="Arial"/>
          <w:sz w:val="20"/>
          <w:szCs w:val="20"/>
        </w:rPr>
        <w:t xml:space="preserve"> fold change (</w:t>
      </w:r>
      <w:r w:rsidR="008218E6">
        <w:rPr>
          <w:rFonts w:ascii="Arial" w:hAnsi="Arial" w:cs="Arial"/>
          <w:sz w:val="20"/>
          <w:szCs w:val="20"/>
        </w:rPr>
        <w:t>Log2</w:t>
      </w:r>
      <w:r w:rsidR="00ED1D2A" w:rsidRPr="008218E6">
        <w:rPr>
          <w:rFonts w:ascii="Arial" w:hAnsi="Arial" w:cs="Arial"/>
          <w:sz w:val="20"/>
          <w:szCs w:val="20"/>
        </w:rPr>
        <w:t>FC)</w:t>
      </w:r>
      <w:r w:rsidRPr="008218E6">
        <w:rPr>
          <w:rFonts w:ascii="Arial" w:hAnsi="Arial" w:cs="Arial"/>
          <w:sz w:val="20"/>
          <w:szCs w:val="20"/>
        </w:rPr>
        <w:t xml:space="preserve">. </w:t>
      </w:r>
      <w:r w:rsidR="001D0937" w:rsidRPr="008218E6">
        <w:rPr>
          <w:rFonts w:ascii="Arial" w:hAnsi="Arial" w:cs="Arial"/>
          <w:sz w:val="20"/>
          <w:szCs w:val="20"/>
        </w:rPr>
        <w:t xml:space="preserve">Ambiguous genera (e.g., unclassified at the genus level) are labeled with the lowest identified taxonomic rank (e.g., </w:t>
      </w:r>
      <w:r w:rsidR="00ED1D2A" w:rsidRPr="008218E6">
        <w:rPr>
          <w:rFonts w:ascii="Arial" w:hAnsi="Arial" w:cs="Arial"/>
          <w:sz w:val="20"/>
          <w:szCs w:val="20"/>
        </w:rPr>
        <w:t>Unclassified Ruminococcaceae</w:t>
      </w:r>
      <w:r w:rsidR="001D0937" w:rsidRPr="008218E6">
        <w:rPr>
          <w:rFonts w:ascii="Arial" w:hAnsi="Arial" w:cs="Arial"/>
          <w:sz w:val="20"/>
          <w:szCs w:val="20"/>
        </w:rPr>
        <w:t xml:space="preserve">). </w:t>
      </w:r>
      <w:r w:rsidRPr="008218E6">
        <w:rPr>
          <w:rFonts w:ascii="Arial" w:hAnsi="Arial" w:cs="Arial"/>
          <w:sz w:val="20"/>
          <w:szCs w:val="20"/>
        </w:rPr>
        <w:t>Significance was determined using the two</w:t>
      </w:r>
      <w:r w:rsidR="00E839E3">
        <w:rPr>
          <w:rFonts w:ascii="Arial" w:hAnsi="Arial" w:cs="Arial"/>
          <w:sz w:val="20"/>
          <w:szCs w:val="20"/>
        </w:rPr>
        <w:t>-</w:t>
      </w:r>
      <w:r w:rsidRPr="008218E6">
        <w:rPr>
          <w:rFonts w:ascii="Arial" w:hAnsi="Arial" w:cs="Arial"/>
          <w:sz w:val="20"/>
          <w:szCs w:val="20"/>
        </w:rPr>
        <w:t>sided Wilcoxon signed</w:t>
      </w:r>
      <w:r w:rsidR="00E839E3">
        <w:rPr>
          <w:rFonts w:ascii="Arial" w:hAnsi="Arial" w:cs="Arial"/>
          <w:sz w:val="20"/>
          <w:szCs w:val="20"/>
        </w:rPr>
        <w:t>-</w:t>
      </w:r>
      <w:r w:rsidRPr="008218E6">
        <w:rPr>
          <w:rFonts w:ascii="Arial" w:hAnsi="Arial" w:cs="Arial"/>
          <w:sz w:val="20"/>
          <w:szCs w:val="20"/>
        </w:rPr>
        <w:t xml:space="preserve">rank test. </w:t>
      </w:r>
      <w:r w:rsidRPr="0028678B">
        <w:rPr>
          <w:rFonts w:ascii="Arial" w:hAnsi="Arial" w:cs="Arial"/>
          <w:i/>
          <w:iCs/>
          <w:sz w:val="20"/>
          <w:szCs w:val="20"/>
        </w:rPr>
        <w:t>P</w:t>
      </w:r>
      <w:r w:rsidR="0028678B">
        <w:rPr>
          <w:rFonts w:ascii="Arial" w:hAnsi="Arial" w:cs="Arial"/>
          <w:sz w:val="20"/>
          <w:szCs w:val="20"/>
        </w:rPr>
        <w:t xml:space="preserve"> </w:t>
      </w:r>
      <w:r w:rsidRPr="008218E6">
        <w:rPr>
          <w:rFonts w:ascii="Arial" w:hAnsi="Arial" w:cs="Arial"/>
          <w:sz w:val="20"/>
          <w:szCs w:val="20"/>
        </w:rPr>
        <w:t>values were adjusted using the Benjamini</w:t>
      </w:r>
      <w:r w:rsidR="00496B63" w:rsidRPr="00496B63">
        <w:rPr>
          <w:rFonts w:ascii="Arial" w:hAnsi="Arial" w:cs="Arial"/>
          <w:sz w:val="20"/>
          <w:szCs w:val="20"/>
        </w:rPr>
        <w:t>–</w:t>
      </w:r>
      <w:r w:rsidRPr="008218E6">
        <w:rPr>
          <w:rFonts w:ascii="Arial" w:hAnsi="Arial" w:cs="Arial"/>
          <w:sz w:val="20"/>
          <w:szCs w:val="20"/>
        </w:rPr>
        <w:t xml:space="preserve">Hochberg FDR method (q-value). </w:t>
      </w:r>
      <w:r w:rsidR="00BC1AA2" w:rsidRPr="008218E6">
        <w:rPr>
          <w:rFonts w:ascii="Arial" w:hAnsi="Arial" w:cs="Arial"/>
          <w:sz w:val="20"/>
          <w:szCs w:val="20"/>
        </w:rPr>
        <w:t>To capture potential ecologically relevant responders, t</w:t>
      </w:r>
      <w:r w:rsidRPr="008218E6">
        <w:rPr>
          <w:rFonts w:ascii="Arial" w:hAnsi="Arial" w:cs="Arial"/>
          <w:sz w:val="20"/>
          <w:szCs w:val="20"/>
        </w:rPr>
        <w:t xml:space="preserve">axa with raw </w:t>
      </w:r>
      <w:r w:rsidRPr="008218E6">
        <w:rPr>
          <w:rFonts w:ascii="Arial" w:hAnsi="Arial" w:cs="Arial"/>
          <w:i/>
          <w:iCs/>
          <w:sz w:val="20"/>
          <w:szCs w:val="20"/>
        </w:rPr>
        <w:t xml:space="preserve">P </w:t>
      </w:r>
      <w:r w:rsidRPr="008218E6">
        <w:rPr>
          <w:rFonts w:ascii="Arial" w:hAnsi="Arial" w:cs="Arial"/>
          <w:sz w:val="20"/>
          <w:szCs w:val="20"/>
        </w:rPr>
        <w:t>&lt; 0.05 are listed.</w:t>
      </w:r>
    </w:p>
    <w:p w14:paraId="334769C2" w14:textId="77777777" w:rsidR="00BE0175" w:rsidRPr="003F59D5" w:rsidRDefault="00BE0175" w:rsidP="003F59D5">
      <w:pPr>
        <w:rPr>
          <w:rFonts w:ascii="Arial" w:hAnsi="Arial" w:cs="Arial"/>
          <w:sz w:val="22"/>
          <w:szCs w:val="22"/>
        </w:rPr>
      </w:pPr>
    </w:p>
    <w:p w14:paraId="30FE046B" w14:textId="77777777" w:rsidR="003F59D5" w:rsidRPr="009A1A8E" w:rsidRDefault="003F59D5" w:rsidP="003F59D5">
      <w:pPr>
        <w:rPr>
          <w:rFonts w:ascii="Arial" w:hAnsi="Arial" w:cs="Arial"/>
          <w:b/>
          <w:bCs/>
        </w:rPr>
      </w:pPr>
      <w:r w:rsidRPr="009A1A8E">
        <w:rPr>
          <w:rFonts w:ascii="Arial" w:hAnsi="Arial" w:cs="Arial"/>
          <w:b/>
          <w:bCs/>
        </w:rPr>
        <w:t>Supplementary Data 5 | Physicochemical and categorical metadata of the KULFFI library substrates.</w:t>
      </w:r>
    </w:p>
    <w:p w14:paraId="04002283" w14:textId="32FF5104" w:rsidR="00C25251" w:rsidRPr="007E36A8" w:rsidRDefault="003F59D5" w:rsidP="003F59D5">
      <w:pPr>
        <w:rPr>
          <w:rFonts w:ascii="Arial" w:hAnsi="Arial" w:cs="Arial"/>
          <w:sz w:val="20"/>
          <w:szCs w:val="20"/>
        </w:rPr>
      </w:pPr>
      <w:r w:rsidRPr="00C25251">
        <w:rPr>
          <w:rFonts w:ascii="Arial" w:hAnsi="Arial" w:cs="Arial"/>
          <w:sz w:val="20"/>
          <w:szCs w:val="20"/>
        </w:rPr>
        <w:t>The target phenotypes were strictly classified based on physiological thresholds established from in vitro SCFA production and pH dynamics across 52 independent donors. In this study, the baseline inulin-induced ecotypes (</w:t>
      </w:r>
      <w:r w:rsidR="00C25251" w:rsidRPr="00C25251">
        <w:rPr>
          <w:rFonts w:ascii="Arial" w:hAnsi="Arial" w:cs="Arial"/>
          <w:sz w:val="20"/>
          <w:szCs w:val="20"/>
        </w:rPr>
        <w:t>s</w:t>
      </w:r>
      <w:r w:rsidRPr="00C25251">
        <w:rPr>
          <w:rFonts w:ascii="Arial" w:hAnsi="Arial" w:cs="Arial"/>
          <w:sz w:val="20"/>
          <w:szCs w:val="20"/>
        </w:rPr>
        <w:t xml:space="preserve">evere, </w:t>
      </w:r>
      <w:r w:rsidR="00C25251" w:rsidRPr="00C25251">
        <w:rPr>
          <w:rFonts w:ascii="Arial" w:hAnsi="Arial" w:cs="Arial"/>
          <w:sz w:val="20"/>
          <w:szCs w:val="20"/>
        </w:rPr>
        <w:t>m</w:t>
      </w:r>
      <w:r w:rsidRPr="00C25251">
        <w:rPr>
          <w:rFonts w:ascii="Arial" w:hAnsi="Arial" w:cs="Arial"/>
          <w:sz w:val="20"/>
          <w:szCs w:val="20"/>
        </w:rPr>
        <w:t xml:space="preserve">oderate, and </w:t>
      </w:r>
      <w:r w:rsidR="00C25251" w:rsidRPr="00C25251">
        <w:rPr>
          <w:rFonts w:ascii="Arial" w:hAnsi="Arial" w:cs="Arial"/>
          <w:sz w:val="20"/>
          <w:szCs w:val="20"/>
        </w:rPr>
        <w:t>m</w:t>
      </w:r>
      <w:r w:rsidRPr="00C25251">
        <w:rPr>
          <w:rFonts w:ascii="Arial" w:hAnsi="Arial" w:cs="Arial"/>
          <w:sz w:val="20"/>
          <w:szCs w:val="20"/>
        </w:rPr>
        <w:t>ild) were distributed approximately in thirds (~33% each) across the cohort. Consequently, applying a conventional majority threshold (≥</w:t>
      </w:r>
      <w:r w:rsidR="00475B28">
        <w:rPr>
          <w:rFonts w:ascii="Arial" w:hAnsi="Arial" w:cs="Arial"/>
          <w:sz w:val="20"/>
          <w:szCs w:val="20"/>
        </w:rPr>
        <w:t xml:space="preserve"> </w:t>
      </w:r>
      <w:r w:rsidRPr="00C25251">
        <w:rPr>
          <w:rFonts w:ascii="Arial" w:hAnsi="Arial" w:cs="Arial"/>
          <w:sz w:val="20"/>
          <w:szCs w:val="20"/>
        </w:rPr>
        <w:t xml:space="preserve">50%) would systematically mask niche-specific metabolic potentials or vulnerabilities (e.g., severe acidification restricted specifically to the </w:t>
      </w:r>
      <w:r w:rsidR="00C25251" w:rsidRPr="00C25251">
        <w:rPr>
          <w:rFonts w:ascii="Arial" w:hAnsi="Arial" w:cs="Arial"/>
          <w:sz w:val="20"/>
          <w:szCs w:val="20"/>
        </w:rPr>
        <w:t>s</w:t>
      </w:r>
      <w:r w:rsidRPr="00C25251">
        <w:rPr>
          <w:rFonts w:ascii="Arial" w:hAnsi="Arial" w:cs="Arial"/>
          <w:sz w:val="20"/>
          <w:szCs w:val="20"/>
        </w:rPr>
        <w:t xml:space="preserve">evere ecotype). To accurately capture </w:t>
      </w:r>
      <w:r w:rsidR="005646A5">
        <w:rPr>
          <w:rFonts w:ascii="Arial" w:hAnsi="Arial" w:cs="Arial"/>
          <w:sz w:val="20"/>
          <w:szCs w:val="20"/>
        </w:rPr>
        <w:t xml:space="preserve">this </w:t>
      </w:r>
      <w:r w:rsidRPr="00C25251">
        <w:rPr>
          <w:rFonts w:ascii="Arial" w:hAnsi="Arial" w:cs="Arial"/>
          <w:sz w:val="20"/>
          <w:szCs w:val="20"/>
        </w:rPr>
        <w:t xml:space="preserve">deterministic </w:t>
      </w:r>
      <w:r w:rsidR="005806A7" w:rsidRPr="005806A7">
        <w:rPr>
          <w:rFonts w:ascii="Arial" w:hAnsi="Arial" w:cs="Arial"/>
          <w:sz w:val="20"/>
          <w:szCs w:val="20"/>
        </w:rPr>
        <w:t>silent heterogeneity while rigorously filtering out stochastic noise, a conservative threshold of 25% responder prevalence was mathematically adopted.</w:t>
      </w:r>
      <w:r w:rsidRPr="007E36A8">
        <w:rPr>
          <w:rFonts w:ascii="Arial" w:hAnsi="Arial" w:cs="Arial"/>
          <w:sz w:val="20"/>
          <w:szCs w:val="20"/>
        </w:rPr>
        <w:t xml:space="preserve"> Specific classification criteria are as follows: </w:t>
      </w:r>
      <w:r w:rsidR="00C25251" w:rsidRPr="007E36A8">
        <w:rPr>
          <w:rFonts w:ascii="Arial" w:hAnsi="Arial" w:cs="Arial"/>
          <w:sz w:val="20"/>
          <w:szCs w:val="20"/>
        </w:rPr>
        <w:t>b</w:t>
      </w:r>
      <w:r w:rsidRPr="007E36A8">
        <w:rPr>
          <w:rFonts w:ascii="Arial" w:hAnsi="Arial" w:cs="Arial"/>
          <w:sz w:val="20"/>
          <w:szCs w:val="20"/>
        </w:rPr>
        <w:t xml:space="preserve">utyrate </w:t>
      </w:r>
      <w:r w:rsidR="00C25251" w:rsidRPr="007E36A8">
        <w:rPr>
          <w:rFonts w:ascii="Arial" w:hAnsi="Arial" w:cs="Arial"/>
          <w:sz w:val="20"/>
          <w:szCs w:val="20"/>
        </w:rPr>
        <w:t>d</w:t>
      </w:r>
      <w:r w:rsidRPr="007E36A8">
        <w:rPr>
          <w:rFonts w:ascii="Arial" w:hAnsi="Arial" w:cs="Arial"/>
          <w:sz w:val="20"/>
          <w:szCs w:val="20"/>
        </w:rPr>
        <w:t xml:space="preserve">river (Δ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5.0 mM in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25% donors); </w:t>
      </w:r>
      <w:r w:rsidR="00C25251" w:rsidRPr="007E36A8">
        <w:rPr>
          <w:rFonts w:ascii="Arial" w:hAnsi="Arial" w:cs="Arial"/>
          <w:sz w:val="20"/>
          <w:szCs w:val="20"/>
        </w:rPr>
        <w:t>p</w:t>
      </w:r>
      <w:r w:rsidRPr="007E36A8">
        <w:rPr>
          <w:rFonts w:ascii="Arial" w:hAnsi="Arial" w:cs="Arial"/>
          <w:sz w:val="20"/>
          <w:szCs w:val="20"/>
        </w:rPr>
        <w:t xml:space="preserve">ropionate </w:t>
      </w:r>
      <w:r w:rsidR="00C25251" w:rsidRPr="007E36A8">
        <w:rPr>
          <w:rFonts w:ascii="Arial" w:hAnsi="Arial" w:cs="Arial"/>
          <w:sz w:val="20"/>
          <w:szCs w:val="20"/>
        </w:rPr>
        <w:t>d</w:t>
      </w:r>
      <w:r w:rsidRPr="007E36A8">
        <w:rPr>
          <w:rFonts w:ascii="Arial" w:hAnsi="Arial" w:cs="Arial"/>
          <w:sz w:val="20"/>
          <w:szCs w:val="20"/>
        </w:rPr>
        <w:t xml:space="preserve">river (Δ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5.0 mM in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25% donors); </w:t>
      </w:r>
      <w:r w:rsidR="009A1A8E">
        <w:rPr>
          <w:rFonts w:ascii="Arial" w:hAnsi="Arial" w:cs="Arial"/>
          <w:sz w:val="20"/>
          <w:szCs w:val="20"/>
        </w:rPr>
        <w:t>a</w:t>
      </w:r>
      <w:r w:rsidRPr="007E36A8">
        <w:rPr>
          <w:rFonts w:ascii="Arial" w:hAnsi="Arial" w:cs="Arial"/>
          <w:sz w:val="20"/>
          <w:szCs w:val="20"/>
        </w:rPr>
        <w:t xml:space="preserve">cid-driven </w:t>
      </w:r>
      <w:r w:rsidR="00C25251" w:rsidRPr="007E36A8">
        <w:rPr>
          <w:rFonts w:ascii="Arial" w:hAnsi="Arial" w:cs="Arial"/>
          <w:sz w:val="20"/>
          <w:szCs w:val="20"/>
        </w:rPr>
        <w:t>f</w:t>
      </w:r>
      <w:r w:rsidRPr="007E36A8">
        <w:rPr>
          <w:rFonts w:ascii="Arial" w:hAnsi="Arial" w:cs="Arial"/>
          <w:sz w:val="20"/>
          <w:szCs w:val="20"/>
        </w:rPr>
        <w:t xml:space="preserve">unctional </w:t>
      </w:r>
      <w:r w:rsidR="00C25251" w:rsidRPr="007E36A8">
        <w:rPr>
          <w:rFonts w:ascii="Arial" w:hAnsi="Arial" w:cs="Arial"/>
          <w:sz w:val="20"/>
          <w:szCs w:val="20"/>
        </w:rPr>
        <w:t>d</w:t>
      </w:r>
      <w:r w:rsidRPr="007E36A8">
        <w:rPr>
          <w:rFonts w:ascii="Arial" w:hAnsi="Arial" w:cs="Arial"/>
          <w:sz w:val="20"/>
          <w:szCs w:val="20"/>
        </w:rPr>
        <w:t>ecoupling (ecosystem collapse beyond the global ETP [ΔpH ≤</w:t>
      </w:r>
      <w:r w:rsidRPr="009A1A8E">
        <w:rPr>
          <w:rFonts w:ascii="Arial" w:hAnsi="Arial" w:cs="Arial"/>
          <w:sz w:val="20"/>
          <w:szCs w:val="20"/>
        </w:rPr>
        <w:t xml:space="preserve"> </w:t>
      </w:r>
      <w:r w:rsidR="009A1A8E" w:rsidRPr="009A1A8E">
        <w:rPr>
          <w:rFonts w:ascii="Arial" w:hAnsi="Arial" w:cs="Arial"/>
          <w:sz w:val="20"/>
          <w:szCs w:val="20"/>
        </w:rPr>
        <w:t>−</w:t>
      </w:r>
      <w:r w:rsidRPr="009A1A8E">
        <w:rPr>
          <w:rFonts w:ascii="Arial" w:hAnsi="Arial" w:cs="Arial"/>
          <w:sz w:val="20"/>
          <w:szCs w:val="20"/>
        </w:rPr>
        <w:t>0</w:t>
      </w:r>
      <w:r w:rsidRPr="007E36A8">
        <w:rPr>
          <w:rFonts w:ascii="Arial" w:hAnsi="Arial" w:cs="Arial"/>
          <w:sz w:val="20"/>
          <w:szCs w:val="20"/>
        </w:rPr>
        <w:t>.80] combined with stalled targeted SCFA production in ≥</w:t>
      </w:r>
      <w:r w:rsidR="00475B28">
        <w:rPr>
          <w:rFonts w:ascii="Arial" w:hAnsi="Arial" w:cs="Arial"/>
          <w:sz w:val="20"/>
          <w:szCs w:val="20"/>
        </w:rPr>
        <w:t xml:space="preserve"> </w:t>
      </w:r>
      <w:r w:rsidRPr="007E36A8">
        <w:rPr>
          <w:rFonts w:ascii="Arial" w:hAnsi="Arial" w:cs="Arial"/>
          <w:sz w:val="20"/>
          <w:szCs w:val="20"/>
        </w:rPr>
        <w:t>25% donors)</w:t>
      </w:r>
      <w:r w:rsidR="007E36A8" w:rsidRPr="007E36A8">
        <w:rPr>
          <w:rFonts w:ascii="Arial" w:hAnsi="Arial" w:cs="Arial"/>
          <w:sz w:val="20"/>
          <w:szCs w:val="20"/>
        </w:rPr>
        <w:t xml:space="preserve"> and </w:t>
      </w:r>
      <w:r w:rsidR="009A1A8E">
        <w:rPr>
          <w:rFonts w:ascii="Arial" w:hAnsi="Arial" w:cs="Arial"/>
          <w:sz w:val="20"/>
          <w:szCs w:val="20"/>
        </w:rPr>
        <w:t>s</w:t>
      </w:r>
      <w:r w:rsidR="007E36A8" w:rsidRPr="007E36A8">
        <w:rPr>
          <w:rFonts w:ascii="Arial" w:hAnsi="Arial" w:cs="Arial"/>
          <w:sz w:val="20"/>
          <w:szCs w:val="20"/>
        </w:rPr>
        <w:t>ub-threshold (</w:t>
      </w:r>
      <w:r w:rsidR="009A1A8E">
        <w:rPr>
          <w:rFonts w:ascii="Arial" w:hAnsi="Arial" w:cs="Arial"/>
          <w:sz w:val="20"/>
          <w:szCs w:val="20"/>
        </w:rPr>
        <w:t>s</w:t>
      </w:r>
      <w:r w:rsidR="007E36A8" w:rsidRPr="007E36A8">
        <w:rPr>
          <w:rFonts w:ascii="Arial" w:hAnsi="Arial" w:cs="Arial"/>
          <w:sz w:val="20"/>
          <w:szCs w:val="20"/>
        </w:rPr>
        <w:t>ilent heterogeneity) for substrates failing to meet the above macroscopic efficacy thresholds but driving highly personalized responses.</w:t>
      </w:r>
    </w:p>
    <w:p w14:paraId="1439D505" w14:textId="304D00BF" w:rsidR="00DB2513" w:rsidRPr="009A1A8E" w:rsidRDefault="00DB2513" w:rsidP="003F59D5">
      <w:pPr>
        <w:rPr>
          <w:rFonts w:ascii="Arial" w:hAnsi="Arial" w:cs="Arial"/>
          <w:b/>
          <w:bCs/>
          <w:sz w:val="22"/>
          <w:szCs w:val="22"/>
        </w:rPr>
      </w:pPr>
    </w:p>
    <w:sectPr w:rsidR="00DB2513" w:rsidRPr="009A1A8E" w:rsidSect="007C485B">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0007A2"/>
    <w:multiLevelType w:val="multilevel"/>
    <w:tmpl w:val="20DC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D85B09"/>
    <w:multiLevelType w:val="multilevel"/>
    <w:tmpl w:val="66F6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7E6B51"/>
    <w:multiLevelType w:val="multilevel"/>
    <w:tmpl w:val="BE5A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580080">
    <w:abstractNumId w:val="0"/>
  </w:num>
  <w:num w:numId="2" w16cid:durableId="2055344538">
    <w:abstractNumId w:val="1"/>
  </w:num>
  <w:num w:numId="3" w16cid:durableId="569194690">
    <w:abstractNumId w:val="2"/>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D9"/>
    <w:rsid w:val="0000017D"/>
    <w:rsid w:val="000004E0"/>
    <w:rsid w:val="000013C6"/>
    <w:rsid w:val="000033EB"/>
    <w:rsid w:val="000039FD"/>
    <w:rsid w:val="00005924"/>
    <w:rsid w:val="00005FE1"/>
    <w:rsid w:val="000063AB"/>
    <w:rsid w:val="0000695D"/>
    <w:rsid w:val="0001041E"/>
    <w:rsid w:val="00011AD8"/>
    <w:rsid w:val="00011D79"/>
    <w:rsid w:val="00011E38"/>
    <w:rsid w:val="00014489"/>
    <w:rsid w:val="000146A0"/>
    <w:rsid w:val="00014889"/>
    <w:rsid w:val="0002127E"/>
    <w:rsid w:val="00022ABD"/>
    <w:rsid w:val="000243D9"/>
    <w:rsid w:val="00025B78"/>
    <w:rsid w:val="0002759B"/>
    <w:rsid w:val="00027933"/>
    <w:rsid w:val="00027BC5"/>
    <w:rsid w:val="000311DE"/>
    <w:rsid w:val="00031877"/>
    <w:rsid w:val="00031960"/>
    <w:rsid w:val="00040661"/>
    <w:rsid w:val="00041572"/>
    <w:rsid w:val="0004182F"/>
    <w:rsid w:val="00042A63"/>
    <w:rsid w:val="000430B2"/>
    <w:rsid w:val="000435A0"/>
    <w:rsid w:val="0004756B"/>
    <w:rsid w:val="000505A5"/>
    <w:rsid w:val="0005159F"/>
    <w:rsid w:val="00052875"/>
    <w:rsid w:val="00060F56"/>
    <w:rsid w:val="00061B5D"/>
    <w:rsid w:val="00064E37"/>
    <w:rsid w:val="00066F36"/>
    <w:rsid w:val="0006759B"/>
    <w:rsid w:val="00071931"/>
    <w:rsid w:val="0007242B"/>
    <w:rsid w:val="00080D32"/>
    <w:rsid w:val="00082410"/>
    <w:rsid w:val="000836FC"/>
    <w:rsid w:val="000859EF"/>
    <w:rsid w:val="00086050"/>
    <w:rsid w:val="00087E75"/>
    <w:rsid w:val="00090882"/>
    <w:rsid w:val="0009334E"/>
    <w:rsid w:val="00094806"/>
    <w:rsid w:val="00094811"/>
    <w:rsid w:val="0009507E"/>
    <w:rsid w:val="000974F3"/>
    <w:rsid w:val="000A31AE"/>
    <w:rsid w:val="000A31B5"/>
    <w:rsid w:val="000A3B38"/>
    <w:rsid w:val="000A417D"/>
    <w:rsid w:val="000A6083"/>
    <w:rsid w:val="000A6BDC"/>
    <w:rsid w:val="000A7301"/>
    <w:rsid w:val="000B14DA"/>
    <w:rsid w:val="000B2EDF"/>
    <w:rsid w:val="000B37FD"/>
    <w:rsid w:val="000B4E4B"/>
    <w:rsid w:val="000B64D5"/>
    <w:rsid w:val="000B7EC7"/>
    <w:rsid w:val="000C0344"/>
    <w:rsid w:val="000C21D5"/>
    <w:rsid w:val="000C3426"/>
    <w:rsid w:val="000C3D84"/>
    <w:rsid w:val="000C48A3"/>
    <w:rsid w:val="000C4F98"/>
    <w:rsid w:val="000C7CDC"/>
    <w:rsid w:val="000D008B"/>
    <w:rsid w:val="000D257B"/>
    <w:rsid w:val="000D6CDA"/>
    <w:rsid w:val="000D76B7"/>
    <w:rsid w:val="000D7C20"/>
    <w:rsid w:val="000E1E9D"/>
    <w:rsid w:val="000E5FEC"/>
    <w:rsid w:val="000E6186"/>
    <w:rsid w:val="000E76EE"/>
    <w:rsid w:val="000E7BCC"/>
    <w:rsid w:val="000F1457"/>
    <w:rsid w:val="000F1F86"/>
    <w:rsid w:val="000F3695"/>
    <w:rsid w:val="000F403E"/>
    <w:rsid w:val="000F518B"/>
    <w:rsid w:val="001002B1"/>
    <w:rsid w:val="001010E5"/>
    <w:rsid w:val="0010264E"/>
    <w:rsid w:val="0011122D"/>
    <w:rsid w:val="001161A4"/>
    <w:rsid w:val="00117860"/>
    <w:rsid w:val="00117A72"/>
    <w:rsid w:val="001216EC"/>
    <w:rsid w:val="001265C6"/>
    <w:rsid w:val="00126E79"/>
    <w:rsid w:val="001320B7"/>
    <w:rsid w:val="0013314B"/>
    <w:rsid w:val="00133828"/>
    <w:rsid w:val="001343EF"/>
    <w:rsid w:val="0013555A"/>
    <w:rsid w:val="00137C06"/>
    <w:rsid w:val="001408F3"/>
    <w:rsid w:val="0014151F"/>
    <w:rsid w:val="0014323E"/>
    <w:rsid w:val="00146106"/>
    <w:rsid w:val="00147D5B"/>
    <w:rsid w:val="00147FA2"/>
    <w:rsid w:val="001522BE"/>
    <w:rsid w:val="00153E28"/>
    <w:rsid w:val="001602FF"/>
    <w:rsid w:val="00160EFD"/>
    <w:rsid w:val="00163404"/>
    <w:rsid w:val="00163689"/>
    <w:rsid w:val="0016458E"/>
    <w:rsid w:val="00164F66"/>
    <w:rsid w:val="00166F20"/>
    <w:rsid w:val="001724D8"/>
    <w:rsid w:val="00172634"/>
    <w:rsid w:val="00173918"/>
    <w:rsid w:val="0017486F"/>
    <w:rsid w:val="00177996"/>
    <w:rsid w:val="001800D7"/>
    <w:rsid w:val="001837CF"/>
    <w:rsid w:val="00183AEB"/>
    <w:rsid w:val="001871B8"/>
    <w:rsid w:val="00187458"/>
    <w:rsid w:val="00190535"/>
    <w:rsid w:val="00190549"/>
    <w:rsid w:val="00192C9E"/>
    <w:rsid w:val="00193C94"/>
    <w:rsid w:val="00195630"/>
    <w:rsid w:val="00196F13"/>
    <w:rsid w:val="001A65A5"/>
    <w:rsid w:val="001A7764"/>
    <w:rsid w:val="001B008D"/>
    <w:rsid w:val="001B1018"/>
    <w:rsid w:val="001B1833"/>
    <w:rsid w:val="001B193C"/>
    <w:rsid w:val="001B1E60"/>
    <w:rsid w:val="001B377C"/>
    <w:rsid w:val="001B4B73"/>
    <w:rsid w:val="001C03A1"/>
    <w:rsid w:val="001C1056"/>
    <w:rsid w:val="001D024C"/>
    <w:rsid w:val="001D0937"/>
    <w:rsid w:val="001D1395"/>
    <w:rsid w:val="001D278D"/>
    <w:rsid w:val="001D3444"/>
    <w:rsid w:val="001D4F26"/>
    <w:rsid w:val="001D5324"/>
    <w:rsid w:val="001D5C2A"/>
    <w:rsid w:val="001D75F3"/>
    <w:rsid w:val="001D7B5E"/>
    <w:rsid w:val="001D7C34"/>
    <w:rsid w:val="001E015A"/>
    <w:rsid w:val="001E1CA8"/>
    <w:rsid w:val="001E24AB"/>
    <w:rsid w:val="001E2F84"/>
    <w:rsid w:val="001E560A"/>
    <w:rsid w:val="001E636A"/>
    <w:rsid w:val="001E730A"/>
    <w:rsid w:val="001F025F"/>
    <w:rsid w:val="001F0E35"/>
    <w:rsid w:val="001F1604"/>
    <w:rsid w:val="001F1ED1"/>
    <w:rsid w:val="001F3EB8"/>
    <w:rsid w:val="001F576C"/>
    <w:rsid w:val="0020497D"/>
    <w:rsid w:val="00205E27"/>
    <w:rsid w:val="002068DA"/>
    <w:rsid w:val="00206A84"/>
    <w:rsid w:val="00210E19"/>
    <w:rsid w:val="00216ECD"/>
    <w:rsid w:val="002171D6"/>
    <w:rsid w:val="002174F1"/>
    <w:rsid w:val="00220D62"/>
    <w:rsid w:val="00221D7A"/>
    <w:rsid w:val="00221E83"/>
    <w:rsid w:val="002221EF"/>
    <w:rsid w:val="002234EC"/>
    <w:rsid w:val="00223E84"/>
    <w:rsid w:val="002244DC"/>
    <w:rsid w:val="00225A0D"/>
    <w:rsid w:val="00225C62"/>
    <w:rsid w:val="0022761B"/>
    <w:rsid w:val="00230016"/>
    <w:rsid w:val="0023106E"/>
    <w:rsid w:val="002329B9"/>
    <w:rsid w:val="00233688"/>
    <w:rsid w:val="002370E9"/>
    <w:rsid w:val="00237D96"/>
    <w:rsid w:val="00241194"/>
    <w:rsid w:val="00242175"/>
    <w:rsid w:val="0024360A"/>
    <w:rsid w:val="0024688E"/>
    <w:rsid w:val="00246A05"/>
    <w:rsid w:val="00252E4B"/>
    <w:rsid w:val="00252EE4"/>
    <w:rsid w:val="00253148"/>
    <w:rsid w:val="0026054D"/>
    <w:rsid w:val="00261C79"/>
    <w:rsid w:val="00261EF2"/>
    <w:rsid w:val="00264570"/>
    <w:rsid w:val="00264C81"/>
    <w:rsid w:val="002660EB"/>
    <w:rsid w:val="0027003C"/>
    <w:rsid w:val="002718A4"/>
    <w:rsid w:val="002723BE"/>
    <w:rsid w:val="002739E2"/>
    <w:rsid w:val="00273FF0"/>
    <w:rsid w:val="0027456D"/>
    <w:rsid w:val="00275FF5"/>
    <w:rsid w:val="00280DBD"/>
    <w:rsid w:val="00285F7F"/>
    <w:rsid w:val="0028678B"/>
    <w:rsid w:val="00287CB7"/>
    <w:rsid w:val="002905C2"/>
    <w:rsid w:val="00290AA7"/>
    <w:rsid w:val="00291AD4"/>
    <w:rsid w:val="00292991"/>
    <w:rsid w:val="00293AD1"/>
    <w:rsid w:val="00294A66"/>
    <w:rsid w:val="00294EDE"/>
    <w:rsid w:val="00297834"/>
    <w:rsid w:val="00297DD2"/>
    <w:rsid w:val="002A1F8C"/>
    <w:rsid w:val="002A24DC"/>
    <w:rsid w:val="002A2936"/>
    <w:rsid w:val="002A2F31"/>
    <w:rsid w:val="002A3E36"/>
    <w:rsid w:val="002A7139"/>
    <w:rsid w:val="002A7236"/>
    <w:rsid w:val="002B262E"/>
    <w:rsid w:val="002B490B"/>
    <w:rsid w:val="002B681D"/>
    <w:rsid w:val="002B6FBB"/>
    <w:rsid w:val="002B746A"/>
    <w:rsid w:val="002B7AA9"/>
    <w:rsid w:val="002C0677"/>
    <w:rsid w:val="002C0BD2"/>
    <w:rsid w:val="002C0FD2"/>
    <w:rsid w:val="002C12DB"/>
    <w:rsid w:val="002C229B"/>
    <w:rsid w:val="002C2779"/>
    <w:rsid w:val="002C3958"/>
    <w:rsid w:val="002C3F5A"/>
    <w:rsid w:val="002C7009"/>
    <w:rsid w:val="002D2EF0"/>
    <w:rsid w:val="002D3F83"/>
    <w:rsid w:val="002D4A02"/>
    <w:rsid w:val="002D5B4A"/>
    <w:rsid w:val="002D5C7F"/>
    <w:rsid w:val="002E120D"/>
    <w:rsid w:val="002E1942"/>
    <w:rsid w:val="002E1FE8"/>
    <w:rsid w:val="002E3381"/>
    <w:rsid w:val="002E5569"/>
    <w:rsid w:val="002E7780"/>
    <w:rsid w:val="002E7FC3"/>
    <w:rsid w:val="002F0CAF"/>
    <w:rsid w:val="002F0E98"/>
    <w:rsid w:val="002F0E9C"/>
    <w:rsid w:val="002F128B"/>
    <w:rsid w:val="002F267C"/>
    <w:rsid w:val="002F7628"/>
    <w:rsid w:val="002F7AA5"/>
    <w:rsid w:val="00300551"/>
    <w:rsid w:val="00307EAB"/>
    <w:rsid w:val="003132CD"/>
    <w:rsid w:val="003160E7"/>
    <w:rsid w:val="00316752"/>
    <w:rsid w:val="00321751"/>
    <w:rsid w:val="0032240C"/>
    <w:rsid w:val="00322CC4"/>
    <w:rsid w:val="00322D29"/>
    <w:rsid w:val="003234C4"/>
    <w:rsid w:val="00325313"/>
    <w:rsid w:val="003257C6"/>
    <w:rsid w:val="00325AC8"/>
    <w:rsid w:val="0032747C"/>
    <w:rsid w:val="00327826"/>
    <w:rsid w:val="00332489"/>
    <w:rsid w:val="00332CC4"/>
    <w:rsid w:val="00332DFD"/>
    <w:rsid w:val="00332F07"/>
    <w:rsid w:val="00337AE5"/>
    <w:rsid w:val="003422C9"/>
    <w:rsid w:val="0034362B"/>
    <w:rsid w:val="00343A71"/>
    <w:rsid w:val="00344C1F"/>
    <w:rsid w:val="00345D80"/>
    <w:rsid w:val="00346B63"/>
    <w:rsid w:val="00350427"/>
    <w:rsid w:val="00350979"/>
    <w:rsid w:val="0035162E"/>
    <w:rsid w:val="003532C4"/>
    <w:rsid w:val="00353FF8"/>
    <w:rsid w:val="0035496E"/>
    <w:rsid w:val="00354BC7"/>
    <w:rsid w:val="00356FDB"/>
    <w:rsid w:val="003575BC"/>
    <w:rsid w:val="00360614"/>
    <w:rsid w:val="00362C76"/>
    <w:rsid w:val="00362EFF"/>
    <w:rsid w:val="0036543E"/>
    <w:rsid w:val="00367D57"/>
    <w:rsid w:val="0037020A"/>
    <w:rsid w:val="00370826"/>
    <w:rsid w:val="00370CAF"/>
    <w:rsid w:val="00371433"/>
    <w:rsid w:val="003731D0"/>
    <w:rsid w:val="00373D29"/>
    <w:rsid w:val="00374E22"/>
    <w:rsid w:val="00375E9C"/>
    <w:rsid w:val="00376896"/>
    <w:rsid w:val="00377BDF"/>
    <w:rsid w:val="003808EA"/>
    <w:rsid w:val="00381017"/>
    <w:rsid w:val="00381590"/>
    <w:rsid w:val="00382036"/>
    <w:rsid w:val="00382C8F"/>
    <w:rsid w:val="00383DE6"/>
    <w:rsid w:val="00384A28"/>
    <w:rsid w:val="003852D9"/>
    <w:rsid w:val="00385CB6"/>
    <w:rsid w:val="00387DB3"/>
    <w:rsid w:val="00387E2D"/>
    <w:rsid w:val="003908AD"/>
    <w:rsid w:val="00390FC4"/>
    <w:rsid w:val="00391079"/>
    <w:rsid w:val="003937DB"/>
    <w:rsid w:val="00393F2A"/>
    <w:rsid w:val="00394008"/>
    <w:rsid w:val="00394C02"/>
    <w:rsid w:val="00394CB7"/>
    <w:rsid w:val="003956B5"/>
    <w:rsid w:val="00396DDC"/>
    <w:rsid w:val="003A16D5"/>
    <w:rsid w:val="003A2B06"/>
    <w:rsid w:val="003A60D3"/>
    <w:rsid w:val="003A6C77"/>
    <w:rsid w:val="003B023D"/>
    <w:rsid w:val="003B158D"/>
    <w:rsid w:val="003B3137"/>
    <w:rsid w:val="003B4F85"/>
    <w:rsid w:val="003B5EDE"/>
    <w:rsid w:val="003B7067"/>
    <w:rsid w:val="003B7934"/>
    <w:rsid w:val="003B7A02"/>
    <w:rsid w:val="003C0202"/>
    <w:rsid w:val="003C52DD"/>
    <w:rsid w:val="003C565A"/>
    <w:rsid w:val="003C587D"/>
    <w:rsid w:val="003C5BAA"/>
    <w:rsid w:val="003C5C1C"/>
    <w:rsid w:val="003C66A1"/>
    <w:rsid w:val="003C77E4"/>
    <w:rsid w:val="003C7F85"/>
    <w:rsid w:val="003D25CB"/>
    <w:rsid w:val="003D381B"/>
    <w:rsid w:val="003D38A0"/>
    <w:rsid w:val="003D77DC"/>
    <w:rsid w:val="003D7AAB"/>
    <w:rsid w:val="003E3307"/>
    <w:rsid w:val="003E3850"/>
    <w:rsid w:val="003E6AC3"/>
    <w:rsid w:val="003F037A"/>
    <w:rsid w:val="003F04AB"/>
    <w:rsid w:val="003F25F6"/>
    <w:rsid w:val="003F2EC3"/>
    <w:rsid w:val="003F32F5"/>
    <w:rsid w:val="003F3998"/>
    <w:rsid w:val="003F59D5"/>
    <w:rsid w:val="003F5A9D"/>
    <w:rsid w:val="003F68FE"/>
    <w:rsid w:val="003F6DFE"/>
    <w:rsid w:val="00400100"/>
    <w:rsid w:val="00400BBA"/>
    <w:rsid w:val="004025A0"/>
    <w:rsid w:val="00404192"/>
    <w:rsid w:val="00405661"/>
    <w:rsid w:val="004058C4"/>
    <w:rsid w:val="00406037"/>
    <w:rsid w:val="00410835"/>
    <w:rsid w:val="0041187C"/>
    <w:rsid w:val="00412BF1"/>
    <w:rsid w:val="00413DEA"/>
    <w:rsid w:val="00414753"/>
    <w:rsid w:val="00415B9C"/>
    <w:rsid w:val="0041610F"/>
    <w:rsid w:val="004163AB"/>
    <w:rsid w:val="00417AC2"/>
    <w:rsid w:val="00417C0C"/>
    <w:rsid w:val="00422D21"/>
    <w:rsid w:val="0042308A"/>
    <w:rsid w:val="00425DB6"/>
    <w:rsid w:val="00427913"/>
    <w:rsid w:val="00427A84"/>
    <w:rsid w:val="00430608"/>
    <w:rsid w:val="00430E27"/>
    <w:rsid w:val="0043365E"/>
    <w:rsid w:val="00435282"/>
    <w:rsid w:val="00436A53"/>
    <w:rsid w:val="00441414"/>
    <w:rsid w:val="004414CA"/>
    <w:rsid w:val="00442D99"/>
    <w:rsid w:val="00443D53"/>
    <w:rsid w:val="00444A7A"/>
    <w:rsid w:val="00444AD2"/>
    <w:rsid w:val="00444C72"/>
    <w:rsid w:val="004520DE"/>
    <w:rsid w:val="00453EE9"/>
    <w:rsid w:val="004540A4"/>
    <w:rsid w:val="004603C8"/>
    <w:rsid w:val="00461023"/>
    <w:rsid w:val="00461197"/>
    <w:rsid w:val="0046412A"/>
    <w:rsid w:val="004643A0"/>
    <w:rsid w:val="00465040"/>
    <w:rsid w:val="004658CD"/>
    <w:rsid w:val="00465F03"/>
    <w:rsid w:val="00467C12"/>
    <w:rsid w:val="004719DE"/>
    <w:rsid w:val="00472283"/>
    <w:rsid w:val="00472DBB"/>
    <w:rsid w:val="00473253"/>
    <w:rsid w:val="00473A7E"/>
    <w:rsid w:val="00475B28"/>
    <w:rsid w:val="00476FCF"/>
    <w:rsid w:val="00480C21"/>
    <w:rsid w:val="004813E8"/>
    <w:rsid w:val="0048449A"/>
    <w:rsid w:val="00485BD9"/>
    <w:rsid w:val="0048779E"/>
    <w:rsid w:val="00487C2C"/>
    <w:rsid w:val="0049137F"/>
    <w:rsid w:val="004966F4"/>
    <w:rsid w:val="00496B63"/>
    <w:rsid w:val="004A193E"/>
    <w:rsid w:val="004A2473"/>
    <w:rsid w:val="004A37CF"/>
    <w:rsid w:val="004A5477"/>
    <w:rsid w:val="004A7331"/>
    <w:rsid w:val="004A75B2"/>
    <w:rsid w:val="004A7880"/>
    <w:rsid w:val="004A7A22"/>
    <w:rsid w:val="004B0161"/>
    <w:rsid w:val="004B0505"/>
    <w:rsid w:val="004B0513"/>
    <w:rsid w:val="004B24EC"/>
    <w:rsid w:val="004B3B13"/>
    <w:rsid w:val="004B3F6C"/>
    <w:rsid w:val="004B54D6"/>
    <w:rsid w:val="004B5BEA"/>
    <w:rsid w:val="004B6EF3"/>
    <w:rsid w:val="004C217D"/>
    <w:rsid w:val="004C2C3C"/>
    <w:rsid w:val="004C36D8"/>
    <w:rsid w:val="004C4ABC"/>
    <w:rsid w:val="004C4ADE"/>
    <w:rsid w:val="004C627E"/>
    <w:rsid w:val="004D049D"/>
    <w:rsid w:val="004D4FA2"/>
    <w:rsid w:val="004D5FB7"/>
    <w:rsid w:val="004D63D7"/>
    <w:rsid w:val="004D74EF"/>
    <w:rsid w:val="004E04F7"/>
    <w:rsid w:val="004E0628"/>
    <w:rsid w:val="004E15A4"/>
    <w:rsid w:val="004E1C11"/>
    <w:rsid w:val="004E2EA4"/>
    <w:rsid w:val="004E55F6"/>
    <w:rsid w:val="004E5759"/>
    <w:rsid w:val="004E645D"/>
    <w:rsid w:val="004E708C"/>
    <w:rsid w:val="004E737D"/>
    <w:rsid w:val="004F0633"/>
    <w:rsid w:val="004F2BFD"/>
    <w:rsid w:val="004F363B"/>
    <w:rsid w:val="00500A2A"/>
    <w:rsid w:val="00501246"/>
    <w:rsid w:val="00502201"/>
    <w:rsid w:val="00503997"/>
    <w:rsid w:val="005067FF"/>
    <w:rsid w:val="00507D99"/>
    <w:rsid w:val="00510254"/>
    <w:rsid w:val="005132A0"/>
    <w:rsid w:val="005135F3"/>
    <w:rsid w:val="005145E9"/>
    <w:rsid w:val="00515175"/>
    <w:rsid w:val="00520182"/>
    <w:rsid w:val="00520A05"/>
    <w:rsid w:val="005219EF"/>
    <w:rsid w:val="00521A24"/>
    <w:rsid w:val="005229F0"/>
    <w:rsid w:val="005236A5"/>
    <w:rsid w:val="00523993"/>
    <w:rsid w:val="00523D8C"/>
    <w:rsid w:val="00526021"/>
    <w:rsid w:val="00526600"/>
    <w:rsid w:val="00527D14"/>
    <w:rsid w:val="00533778"/>
    <w:rsid w:val="005340AB"/>
    <w:rsid w:val="00534479"/>
    <w:rsid w:val="005345B3"/>
    <w:rsid w:val="00534AE2"/>
    <w:rsid w:val="00536157"/>
    <w:rsid w:val="00541771"/>
    <w:rsid w:val="00543E45"/>
    <w:rsid w:val="00544072"/>
    <w:rsid w:val="0054623A"/>
    <w:rsid w:val="00550F79"/>
    <w:rsid w:val="00554503"/>
    <w:rsid w:val="005550B2"/>
    <w:rsid w:val="00555BCF"/>
    <w:rsid w:val="00556259"/>
    <w:rsid w:val="005572D3"/>
    <w:rsid w:val="00561095"/>
    <w:rsid w:val="005620E3"/>
    <w:rsid w:val="00562799"/>
    <w:rsid w:val="005646A5"/>
    <w:rsid w:val="0056781F"/>
    <w:rsid w:val="00572A55"/>
    <w:rsid w:val="00572A93"/>
    <w:rsid w:val="00572F94"/>
    <w:rsid w:val="00573A87"/>
    <w:rsid w:val="00576412"/>
    <w:rsid w:val="00576865"/>
    <w:rsid w:val="00576F45"/>
    <w:rsid w:val="005806A7"/>
    <w:rsid w:val="00581160"/>
    <w:rsid w:val="00583188"/>
    <w:rsid w:val="005831EA"/>
    <w:rsid w:val="00585815"/>
    <w:rsid w:val="005874E4"/>
    <w:rsid w:val="00587853"/>
    <w:rsid w:val="00590060"/>
    <w:rsid w:val="0059030C"/>
    <w:rsid w:val="005903E7"/>
    <w:rsid w:val="00591F51"/>
    <w:rsid w:val="00592AA3"/>
    <w:rsid w:val="005A06D7"/>
    <w:rsid w:val="005A118E"/>
    <w:rsid w:val="005A1212"/>
    <w:rsid w:val="005A329A"/>
    <w:rsid w:val="005A552E"/>
    <w:rsid w:val="005A60B8"/>
    <w:rsid w:val="005A6664"/>
    <w:rsid w:val="005A6F51"/>
    <w:rsid w:val="005A7DD0"/>
    <w:rsid w:val="005A7ECA"/>
    <w:rsid w:val="005B0176"/>
    <w:rsid w:val="005B1C4C"/>
    <w:rsid w:val="005B2404"/>
    <w:rsid w:val="005B3F16"/>
    <w:rsid w:val="005C052F"/>
    <w:rsid w:val="005C11BB"/>
    <w:rsid w:val="005C1861"/>
    <w:rsid w:val="005C4052"/>
    <w:rsid w:val="005C694B"/>
    <w:rsid w:val="005D02EB"/>
    <w:rsid w:val="005D2E03"/>
    <w:rsid w:val="005D3B6A"/>
    <w:rsid w:val="005D4691"/>
    <w:rsid w:val="005D5EDB"/>
    <w:rsid w:val="005D7BE7"/>
    <w:rsid w:val="005E078E"/>
    <w:rsid w:val="005E0F3A"/>
    <w:rsid w:val="005E2FDD"/>
    <w:rsid w:val="005E369E"/>
    <w:rsid w:val="005E5594"/>
    <w:rsid w:val="005F0EFB"/>
    <w:rsid w:val="005F4A5A"/>
    <w:rsid w:val="005F5B00"/>
    <w:rsid w:val="005F687D"/>
    <w:rsid w:val="005F6906"/>
    <w:rsid w:val="005F6F20"/>
    <w:rsid w:val="005F7538"/>
    <w:rsid w:val="005F77A0"/>
    <w:rsid w:val="00600AEB"/>
    <w:rsid w:val="00602207"/>
    <w:rsid w:val="00603D4B"/>
    <w:rsid w:val="00604790"/>
    <w:rsid w:val="0060480F"/>
    <w:rsid w:val="00605CC7"/>
    <w:rsid w:val="0060624D"/>
    <w:rsid w:val="00606C59"/>
    <w:rsid w:val="0060773A"/>
    <w:rsid w:val="00612724"/>
    <w:rsid w:val="00612E5B"/>
    <w:rsid w:val="006152D7"/>
    <w:rsid w:val="006158C9"/>
    <w:rsid w:val="0061731F"/>
    <w:rsid w:val="0062426D"/>
    <w:rsid w:val="00631AA7"/>
    <w:rsid w:val="00631FAE"/>
    <w:rsid w:val="00633070"/>
    <w:rsid w:val="00633543"/>
    <w:rsid w:val="00636152"/>
    <w:rsid w:val="00637C69"/>
    <w:rsid w:val="00637D93"/>
    <w:rsid w:val="00642224"/>
    <w:rsid w:val="00642300"/>
    <w:rsid w:val="006457F5"/>
    <w:rsid w:val="00650D48"/>
    <w:rsid w:val="00653526"/>
    <w:rsid w:val="0065407F"/>
    <w:rsid w:val="00655723"/>
    <w:rsid w:val="0065741A"/>
    <w:rsid w:val="006618DC"/>
    <w:rsid w:val="00664C40"/>
    <w:rsid w:val="00665078"/>
    <w:rsid w:val="00665F54"/>
    <w:rsid w:val="006664A0"/>
    <w:rsid w:val="00666818"/>
    <w:rsid w:val="006669FF"/>
    <w:rsid w:val="00670097"/>
    <w:rsid w:val="006704E8"/>
    <w:rsid w:val="006716A2"/>
    <w:rsid w:val="00671C8F"/>
    <w:rsid w:val="00673E6A"/>
    <w:rsid w:val="00673FF5"/>
    <w:rsid w:val="006766DA"/>
    <w:rsid w:val="006776BD"/>
    <w:rsid w:val="006800C1"/>
    <w:rsid w:val="00680B4F"/>
    <w:rsid w:val="00683C4B"/>
    <w:rsid w:val="0068403B"/>
    <w:rsid w:val="0068433D"/>
    <w:rsid w:val="00684AC9"/>
    <w:rsid w:val="0068602D"/>
    <w:rsid w:val="006913D9"/>
    <w:rsid w:val="00691A10"/>
    <w:rsid w:val="00694E5B"/>
    <w:rsid w:val="00695073"/>
    <w:rsid w:val="006952D7"/>
    <w:rsid w:val="0069579D"/>
    <w:rsid w:val="00695B0E"/>
    <w:rsid w:val="00696C67"/>
    <w:rsid w:val="006A08D8"/>
    <w:rsid w:val="006A1A85"/>
    <w:rsid w:val="006A3375"/>
    <w:rsid w:val="006A36D0"/>
    <w:rsid w:val="006A4084"/>
    <w:rsid w:val="006A48E5"/>
    <w:rsid w:val="006A616B"/>
    <w:rsid w:val="006A6DE7"/>
    <w:rsid w:val="006A7357"/>
    <w:rsid w:val="006B0DE6"/>
    <w:rsid w:val="006B218C"/>
    <w:rsid w:val="006B3804"/>
    <w:rsid w:val="006B6392"/>
    <w:rsid w:val="006B797A"/>
    <w:rsid w:val="006C1CD0"/>
    <w:rsid w:val="006C3D1D"/>
    <w:rsid w:val="006C4870"/>
    <w:rsid w:val="006C4C0F"/>
    <w:rsid w:val="006C53FD"/>
    <w:rsid w:val="006C59BE"/>
    <w:rsid w:val="006C5D3E"/>
    <w:rsid w:val="006C5DB4"/>
    <w:rsid w:val="006C6F36"/>
    <w:rsid w:val="006D17CE"/>
    <w:rsid w:val="006D1C22"/>
    <w:rsid w:val="006D28C5"/>
    <w:rsid w:val="006D5FF9"/>
    <w:rsid w:val="006D6CD6"/>
    <w:rsid w:val="006D6E10"/>
    <w:rsid w:val="006E0DF2"/>
    <w:rsid w:val="006E2B18"/>
    <w:rsid w:val="006E4102"/>
    <w:rsid w:val="006E4FE3"/>
    <w:rsid w:val="006E671C"/>
    <w:rsid w:val="006F1E57"/>
    <w:rsid w:val="006F4749"/>
    <w:rsid w:val="006F565D"/>
    <w:rsid w:val="006F7E66"/>
    <w:rsid w:val="00700221"/>
    <w:rsid w:val="007011E3"/>
    <w:rsid w:val="00703AE6"/>
    <w:rsid w:val="0070438E"/>
    <w:rsid w:val="007059DD"/>
    <w:rsid w:val="00706406"/>
    <w:rsid w:val="00712145"/>
    <w:rsid w:val="007138B3"/>
    <w:rsid w:val="007143BF"/>
    <w:rsid w:val="007145A5"/>
    <w:rsid w:val="0071463D"/>
    <w:rsid w:val="007168D6"/>
    <w:rsid w:val="0071784B"/>
    <w:rsid w:val="007218F1"/>
    <w:rsid w:val="0072259E"/>
    <w:rsid w:val="00722DB2"/>
    <w:rsid w:val="00722E81"/>
    <w:rsid w:val="00726F3B"/>
    <w:rsid w:val="00730050"/>
    <w:rsid w:val="00730EA3"/>
    <w:rsid w:val="007314D2"/>
    <w:rsid w:val="00733E84"/>
    <w:rsid w:val="007360D7"/>
    <w:rsid w:val="0074423B"/>
    <w:rsid w:val="00746DF6"/>
    <w:rsid w:val="00747B00"/>
    <w:rsid w:val="00747D5F"/>
    <w:rsid w:val="007503F1"/>
    <w:rsid w:val="00750E08"/>
    <w:rsid w:val="007513BA"/>
    <w:rsid w:val="00752230"/>
    <w:rsid w:val="00753E09"/>
    <w:rsid w:val="00754EFB"/>
    <w:rsid w:val="007575AE"/>
    <w:rsid w:val="007577E2"/>
    <w:rsid w:val="00757A79"/>
    <w:rsid w:val="00760447"/>
    <w:rsid w:val="0076386C"/>
    <w:rsid w:val="0076645F"/>
    <w:rsid w:val="00766E2E"/>
    <w:rsid w:val="00770D7F"/>
    <w:rsid w:val="0077117B"/>
    <w:rsid w:val="00773ED0"/>
    <w:rsid w:val="00773F82"/>
    <w:rsid w:val="00774593"/>
    <w:rsid w:val="00775C7A"/>
    <w:rsid w:val="0077609E"/>
    <w:rsid w:val="00780BBB"/>
    <w:rsid w:val="00782670"/>
    <w:rsid w:val="007840C5"/>
    <w:rsid w:val="007864D5"/>
    <w:rsid w:val="00797268"/>
    <w:rsid w:val="007A03C3"/>
    <w:rsid w:val="007A12D8"/>
    <w:rsid w:val="007B0600"/>
    <w:rsid w:val="007B0B99"/>
    <w:rsid w:val="007B2869"/>
    <w:rsid w:val="007B2BB4"/>
    <w:rsid w:val="007B30A2"/>
    <w:rsid w:val="007B3220"/>
    <w:rsid w:val="007B3823"/>
    <w:rsid w:val="007B471B"/>
    <w:rsid w:val="007B47CB"/>
    <w:rsid w:val="007B5BC4"/>
    <w:rsid w:val="007C114C"/>
    <w:rsid w:val="007C158C"/>
    <w:rsid w:val="007C2BB2"/>
    <w:rsid w:val="007C3268"/>
    <w:rsid w:val="007C34B4"/>
    <w:rsid w:val="007C3D23"/>
    <w:rsid w:val="007C4300"/>
    <w:rsid w:val="007C485B"/>
    <w:rsid w:val="007C4CD5"/>
    <w:rsid w:val="007C7E42"/>
    <w:rsid w:val="007D57F8"/>
    <w:rsid w:val="007D5804"/>
    <w:rsid w:val="007D6507"/>
    <w:rsid w:val="007E36A8"/>
    <w:rsid w:val="007E3944"/>
    <w:rsid w:val="007E596B"/>
    <w:rsid w:val="007E5B6E"/>
    <w:rsid w:val="007F0DC8"/>
    <w:rsid w:val="007F2527"/>
    <w:rsid w:val="007F3659"/>
    <w:rsid w:val="007F3DF3"/>
    <w:rsid w:val="007F6099"/>
    <w:rsid w:val="007F6C68"/>
    <w:rsid w:val="008006AF"/>
    <w:rsid w:val="00800F87"/>
    <w:rsid w:val="00803659"/>
    <w:rsid w:val="008041E0"/>
    <w:rsid w:val="0080478F"/>
    <w:rsid w:val="0080741C"/>
    <w:rsid w:val="00807E34"/>
    <w:rsid w:val="008127C0"/>
    <w:rsid w:val="008142D0"/>
    <w:rsid w:val="00814A25"/>
    <w:rsid w:val="00815E15"/>
    <w:rsid w:val="00820C9F"/>
    <w:rsid w:val="00820E90"/>
    <w:rsid w:val="008218E6"/>
    <w:rsid w:val="008229B8"/>
    <w:rsid w:val="008229D5"/>
    <w:rsid w:val="0082329F"/>
    <w:rsid w:val="00824917"/>
    <w:rsid w:val="008250D2"/>
    <w:rsid w:val="0082596D"/>
    <w:rsid w:val="00830666"/>
    <w:rsid w:val="0083072B"/>
    <w:rsid w:val="008326B6"/>
    <w:rsid w:val="008343F6"/>
    <w:rsid w:val="008353B1"/>
    <w:rsid w:val="008362C4"/>
    <w:rsid w:val="008365B1"/>
    <w:rsid w:val="00836B97"/>
    <w:rsid w:val="00843D6A"/>
    <w:rsid w:val="0084466E"/>
    <w:rsid w:val="00846DC5"/>
    <w:rsid w:val="00847FE8"/>
    <w:rsid w:val="00853444"/>
    <w:rsid w:val="008567EA"/>
    <w:rsid w:val="00856AA3"/>
    <w:rsid w:val="00856BD3"/>
    <w:rsid w:val="00856F44"/>
    <w:rsid w:val="0086200F"/>
    <w:rsid w:val="008668A3"/>
    <w:rsid w:val="00870559"/>
    <w:rsid w:val="00870F3E"/>
    <w:rsid w:val="0087309B"/>
    <w:rsid w:val="008768DB"/>
    <w:rsid w:val="00876FE3"/>
    <w:rsid w:val="00877C41"/>
    <w:rsid w:val="00882847"/>
    <w:rsid w:val="00882B25"/>
    <w:rsid w:val="00884EE5"/>
    <w:rsid w:val="00885D9C"/>
    <w:rsid w:val="00886A82"/>
    <w:rsid w:val="008918A6"/>
    <w:rsid w:val="00891FBB"/>
    <w:rsid w:val="00895668"/>
    <w:rsid w:val="00896795"/>
    <w:rsid w:val="00897831"/>
    <w:rsid w:val="008A1C62"/>
    <w:rsid w:val="008A69D5"/>
    <w:rsid w:val="008A6C42"/>
    <w:rsid w:val="008B1AF4"/>
    <w:rsid w:val="008B2D26"/>
    <w:rsid w:val="008B35F9"/>
    <w:rsid w:val="008B521F"/>
    <w:rsid w:val="008B63D9"/>
    <w:rsid w:val="008B6DE4"/>
    <w:rsid w:val="008B72E1"/>
    <w:rsid w:val="008B73E8"/>
    <w:rsid w:val="008C6510"/>
    <w:rsid w:val="008D0314"/>
    <w:rsid w:val="008D135B"/>
    <w:rsid w:val="008D201F"/>
    <w:rsid w:val="008D2ACC"/>
    <w:rsid w:val="008D5EDA"/>
    <w:rsid w:val="008D6477"/>
    <w:rsid w:val="008E0A61"/>
    <w:rsid w:val="008E3252"/>
    <w:rsid w:val="008E37EB"/>
    <w:rsid w:val="008E5546"/>
    <w:rsid w:val="008E7EF7"/>
    <w:rsid w:val="008F04EF"/>
    <w:rsid w:val="008F08DF"/>
    <w:rsid w:val="008F0902"/>
    <w:rsid w:val="008F19F4"/>
    <w:rsid w:val="008F303C"/>
    <w:rsid w:val="008F47B1"/>
    <w:rsid w:val="008F532B"/>
    <w:rsid w:val="008F6933"/>
    <w:rsid w:val="008F7354"/>
    <w:rsid w:val="008F7E1D"/>
    <w:rsid w:val="008F7E23"/>
    <w:rsid w:val="00900B29"/>
    <w:rsid w:val="00900D03"/>
    <w:rsid w:val="009023E1"/>
    <w:rsid w:val="00902CE5"/>
    <w:rsid w:val="00902D12"/>
    <w:rsid w:val="00907356"/>
    <w:rsid w:val="009075B5"/>
    <w:rsid w:val="00907F00"/>
    <w:rsid w:val="0091019C"/>
    <w:rsid w:val="00910B4D"/>
    <w:rsid w:val="00911313"/>
    <w:rsid w:val="00911BD5"/>
    <w:rsid w:val="009121DE"/>
    <w:rsid w:val="009128AD"/>
    <w:rsid w:val="00913E8D"/>
    <w:rsid w:val="0091503E"/>
    <w:rsid w:val="00916E9F"/>
    <w:rsid w:val="009201F6"/>
    <w:rsid w:val="009203E9"/>
    <w:rsid w:val="00921934"/>
    <w:rsid w:val="009224F5"/>
    <w:rsid w:val="00922E15"/>
    <w:rsid w:val="0092553A"/>
    <w:rsid w:val="00925B99"/>
    <w:rsid w:val="00927807"/>
    <w:rsid w:val="00927CEC"/>
    <w:rsid w:val="00930315"/>
    <w:rsid w:val="00933577"/>
    <w:rsid w:val="009344AB"/>
    <w:rsid w:val="00935EBA"/>
    <w:rsid w:val="009425DD"/>
    <w:rsid w:val="00942FA2"/>
    <w:rsid w:val="0094398D"/>
    <w:rsid w:val="009447EB"/>
    <w:rsid w:val="00944CAA"/>
    <w:rsid w:val="00944EF5"/>
    <w:rsid w:val="00945928"/>
    <w:rsid w:val="00945EBE"/>
    <w:rsid w:val="00945EBF"/>
    <w:rsid w:val="009463ED"/>
    <w:rsid w:val="00947247"/>
    <w:rsid w:val="00951801"/>
    <w:rsid w:val="009522BA"/>
    <w:rsid w:val="00952E5F"/>
    <w:rsid w:val="00953804"/>
    <w:rsid w:val="00953B64"/>
    <w:rsid w:val="00953BE9"/>
    <w:rsid w:val="009544C9"/>
    <w:rsid w:val="00954F30"/>
    <w:rsid w:val="00955B2C"/>
    <w:rsid w:val="00956F68"/>
    <w:rsid w:val="009605F8"/>
    <w:rsid w:val="0096061C"/>
    <w:rsid w:val="009615AA"/>
    <w:rsid w:val="00962D0A"/>
    <w:rsid w:val="009635A7"/>
    <w:rsid w:val="00964816"/>
    <w:rsid w:val="00964A03"/>
    <w:rsid w:val="0096543D"/>
    <w:rsid w:val="0096664C"/>
    <w:rsid w:val="00966FB7"/>
    <w:rsid w:val="00967D2C"/>
    <w:rsid w:val="00970CC4"/>
    <w:rsid w:val="00971C5E"/>
    <w:rsid w:val="00972936"/>
    <w:rsid w:val="00974F16"/>
    <w:rsid w:val="00976703"/>
    <w:rsid w:val="00976E61"/>
    <w:rsid w:val="00980502"/>
    <w:rsid w:val="00981138"/>
    <w:rsid w:val="00983790"/>
    <w:rsid w:val="0098579A"/>
    <w:rsid w:val="0098739B"/>
    <w:rsid w:val="00991223"/>
    <w:rsid w:val="009914A0"/>
    <w:rsid w:val="009914AE"/>
    <w:rsid w:val="009929C3"/>
    <w:rsid w:val="00995AD0"/>
    <w:rsid w:val="009976D5"/>
    <w:rsid w:val="00997F39"/>
    <w:rsid w:val="009A1A8E"/>
    <w:rsid w:val="009A1EF2"/>
    <w:rsid w:val="009A1F3C"/>
    <w:rsid w:val="009A2095"/>
    <w:rsid w:val="009A3C3C"/>
    <w:rsid w:val="009A4F1E"/>
    <w:rsid w:val="009A66DB"/>
    <w:rsid w:val="009A701B"/>
    <w:rsid w:val="009B39CB"/>
    <w:rsid w:val="009B78E6"/>
    <w:rsid w:val="009B7DBE"/>
    <w:rsid w:val="009B7DED"/>
    <w:rsid w:val="009C00DB"/>
    <w:rsid w:val="009C02AB"/>
    <w:rsid w:val="009C1005"/>
    <w:rsid w:val="009C5FB6"/>
    <w:rsid w:val="009C74A1"/>
    <w:rsid w:val="009D12A5"/>
    <w:rsid w:val="009D2FC5"/>
    <w:rsid w:val="009D3684"/>
    <w:rsid w:val="009D4FFD"/>
    <w:rsid w:val="009D55A6"/>
    <w:rsid w:val="009D6397"/>
    <w:rsid w:val="009E1249"/>
    <w:rsid w:val="009E2C17"/>
    <w:rsid w:val="009E338A"/>
    <w:rsid w:val="009E3BD1"/>
    <w:rsid w:val="009E46A5"/>
    <w:rsid w:val="009F1E1B"/>
    <w:rsid w:val="009F202B"/>
    <w:rsid w:val="009F206D"/>
    <w:rsid w:val="009F2C15"/>
    <w:rsid w:val="009F538D"/>
    <w:rsid w:val="009F6789"/>
    <w:rsid w:val="009F7C94"/>
    <w:rsid w:val="00A00246"/>
    <w:rsid w:val="00A01FF0"/>
    <w:rsid w:val="00A022DD"/>
    <w:rsid w:val="00A0341E"/>
    <w:rsid w:val="00A03E54"/>
    <w:rsid w:val="00A04CFC"/>
    <w:rsid w:val="00A069C8"/>
    <w:rsid w:val="00A10000"/>
    <w:rsid w:val="00A117FD"/>
    <w:rsid w:val="00A11FB1"/>
    <w:rsid w:val="00A14513"/>
    <w:rsid w:val="00A168AD"/>
    <w:rsid w:val="00A22D0E"/>
    <w:rsid w:val="00A23949"/>
    <w:rsid w:val="00A25A53"/>
    <w:rsid w:val="00A25C97"/>
    <w:rsid w:val="00A26397"/>
    <w:rsid w:val="00A27518"/>
    <w:rsid w:val="00A27837"/>
    <w:rsid w:val="00A3028C"/>
    <w:rsid w:val="00A3331D"/>
    <w:rsid w:val="00A338AB"/>
    <w:rsid w:val="00A3426E"/>
    <w:rsid w:val="00A34715"/>
    <w:rsid w:val="00A3488B"/>
    <w:rsid w:val="00A3529F"/>
    <w:rsid w:val="00A403FD"/>
    <w:rsid w:val="00A408E3"/>
    <w:rsid w:val="00A41E65"/>
    <w:rsid w:val="00A4232A"/>
    <w:rsid w:val="00A4332C"/>
    <w:rsid w:val="00A43E46"/>
    <w:rsid w:val="00A44149"/>
    <w:rsid w:val="00A45DF0"/>
    <w:rsid w:val="00A461E5"/>
    <w:rsid w:val="00A50B85"/>
    <w:rsid w:val="00A54985"/>
    <w:rsid w:val="00A5795D"/>
    <w:rsid w:val="00A60DEF"/>
    <w:rsid w:val="00A60E5F"/>
    <w:rsid w:val="00A60FA8"/>
    <w:rsid w:val="00A650F5"/>
    <w:rsid w:val="00A6638F"/>
    <w:rsid w:val="00A67862"/>
    <w:rsid w:val="00A7037D"/>
    <w:rsid w:val="00A70955"/>
    <w:rsid w:val="00A70FD0"/>
    <w:rsid w:val="00A740F5"/>
    <w:rsid w:val="00A74D22"/>
    <w:rsid w:val="00A76EB4"/>
    <w:rsid w:val="00A770E3"/>
    <w:rsid w:val="00A80D45"/>
    <w:rsid w:val="00A8195B"/>
    <w:rsid w:val="00A83D51"/>
    <w:rsid w:val="00A859B6"/>
    <w:rsid w:val="00A86A7B"/>
    <w:rsid w:val="00A94DB0"/>
    <w:rsid w:val="00A97F7D"/>
    <w:rsid w:val="00AA24F4"/>
    <w:rsid w:val="00AA25EC"/>
    <w:rsid w:val="00AA3EBF"/>
    <w:rsid w:val="00AA3FEF"/>
    <w:rsid w:val="00AA4170"/>
    <w:rsid w:val="00AA5E12"/>
    <w:rsid w:val="00AA5F3A"/>
    <w:rsid w:val="00AA6C2C"/>
    <w:rsid w:val="00AB250F"/>
    <w:rsid w:val="00AB31D9"/>
    <w:rsid w:val="00AB3B9F"/>
    <w:rsid w:val="00AB3F0F"/>
    <w:rsid w:val="00AB3F4B"/>
    <w:rsid w:val="00AB4A8D"/>
    <w:rsid w:val="00AC3AF2"/>
    <w:rsid w:val="00AC4274"/>
    <w:rsid w:val="00AC53AF"/>
    <w:rsid w:val="00AC7A53"/>
    <w:rsid w:val="00AD003F"/>
    <w:rsid w:val="00AD0185"/>
    <w:rsid w:val="00AD0573"/>
    <w:rsid w:val="00AD1368"/>
    <w:rsid w:val="00AD29FF"/>
    <w:rsid w:val="00AD38C0"/>
    <w:rsid w:val="00AD4B7D"/>
    <w:rsid w:val="00AD4DCE"/>
    <w:rsid w:val="00AD6431"/>
    <w:rsid w:val="00AD6B7B"/>
    <w:rsid w:val="00AD6EC7"/>
    <w:rsid w:val="00AE01F9"/>
    <w:rsid w:val="00AE0D50"/>
    <w:rsid w:val="00AE2200"/>
    <w:rsid w:val="00AE31F8"/>
    <w:rsid w:val="00AE78BF"/>
    <w:rsid w:val="00AF7883"/>
    <w:rsid w:val="00AF7BFA"/>
    <w:rsid w:val="00B026D4"/>
    <w:rsid w:val="00B02C3D"/>
    <w:rsid w:val="00B031F5"/>
    <w:rsid w:val="00B05E6C"/>
    <w:rsid w:val="00B0692B"/>
    <w:rsid w:val="00B06D72"/>
    <w:rsid w:val="00B103B8"/>
    <w:rsid w:val="00B107EF"/>
    <w:rsid w:val="00B1454F"/>
    <w:rsid w:val="00B176A2"/>
    <w:rsid w:val="00B20967"/>
    <w:rsid w:val="00B21379"/>
    <w:rsid w:val="00B22837"/>
    <w:rsid w:val="00B23EB7"/>
    <w:rsid w:val="00B2522D"/>
    <w:rsid w:val="00B25A0E"/>
    <w:rsid w:val="00B25ABB"/>
    <w:rsid w:val="00B302B8"/>
    <w:rsid w:val="00B30CBF"/>
    <w:rsid w:val="00B40368"/>
    <w:rsid w:val="00B40B89"/>
    <w:rsid w:val="00B40BCD"/>
    <w:rsid w:val="00B40C1B"/>
    <w:rsid w:val="00B412A7"/>
    <w:rsid w:val="00B43A15"/>
    <w:rsid w:val="00B43CAC"/>
    <w:rsid w:val="00B43FFA"/>
    <w:rsid w:val="00B446C4"/>
    <w:rsid w:val="00B44DCF"/>
    <w:rsid w:val="00B454E0"/>
    <w:rsid w:val="00B50F32"/>
    <w:rsid w:val="00B51089"/>
    <w:rsid w:val="00B525C3"/>
    <w:rsid w:val="00B551A5"/>
    <w:rsid w:val="00B56401"/>
    <w:rsid w:val="00B566EA"/>
    <w:rsid w:val="00B578D4"/>
    <w:rsid w:val="00B6233E"/>
    <w:rsid w:val="00B64D89"/>
    <w:rsid w:val="00B64F66"/>
    <w:rsid w:val="00B65B0D"/>
    <w:rsid w:val="00B70347"/>
    <w:rsid w:val="00B719EA"/>
    <w:rsid w:val="00B71C79"/>
    <w:rsid w:val="00B720BC"/>
    <w:rsid w:val="00B72625"/>
    <w:rsid w:val="00B72906"/>
    <w:rsid w:val="00B72FA8"/>
    <w:rsid w:val="00B733AB"/>
    <w:rsid w:val="00B739BE"/>
    <w:rsid w:val="00B74D8F"/>
    <w:rsid w:val="00B750DD"/>
    <w:rsid w:val="00B75B99"/>
    <w:rsid w:val="00B773B0"/>
    <w:rsid w:val="00B77844"/>
    <w:rsid w:val="00B779FD"/>
    <w:rsid w:val="00B77D60"/>
    <w:rsid w:val="00B84962"/>
    <w:rsid w:val="00B84B60"/>
    <w:rsid w:val="00B85A2E"/>
    <w:rsid w:val="00B86157"/>
    <w:rsid w:val="00B9291D"/>
    <w:rsid w:val="00B92E52"/>
    <w:rsid w:val="00B93717"/>
    <w:rsid w:val="00B949FD"/>
    <w:rsid w:val="00B94FE1"/>
    <w:rsid w:val="00B95150"/>
    <w:rsid w:val="00B9698C"/>
    <w:rsid w:val="00B97AB8"/>
    <w:rsid w:val="00BA0387"/>
    <w:rsid w:val="00BA1D6F"/>
    <w:rsid w:val="00BA3CB7"/>
    <w:rsid w:val="00BA4827"/>
    <w:rsid w:val="00BA4BF6"/>
    <w:rsid w:val="00BA5862"/>
    <w:rsid w:val="00BA62BA"/>
    <w:rsid w:val="00BA6E89"/>
    <w:rsid w:val="00BA6FC2"/>
    <w:rsid w:val="00BA7660"/>
    <w:rsid w:val="00BA7AA7"/>
    <w:rsid w:val="00BB03D1"/>
    <w:rsid w:val="00BB0A44"/>
    <w:rsid w:val="00BB18E3"/>
    <w:rsid w:val="00BB2452"/>
    <w:rsid w:val="00BB5DDB"/>
    <w:rsid w:val="00BC014D"/>
    <w:rsid w:val="00BC1225"/>
    <w:rsid w:val="00BC1AA2"/>
    <w:rsid w:val="00BC286E"/>
    <w:rsid w:val="00BC29E8"/>
    <w:rsid w:val="00BC45D8"/>
    <w:rsid w:val="00BC4D06"/>
    <w:rsid w:val="00BC6C57"/>
    <w:rsid w:val="00BD09E3"/>
    <w:rsid w:val="00BD0A33"/>
    <w:rsid w:val="00BD13DF"/>
    <w:rsid w:val="00BD54FC"/>
    <w:rsid w:val="00BD5FB0"/>
    <w:rsid w:val="00BD672E"/>
    <w:rsid w:val="00BD6F31"/>
    <w:rsid w:val="00BE0175"/>
    <w:rsid w:val="00BE54F8"/>
    <w:rsid w:val="00BE736F"/>
    <w:rsid w:val="00BF3E73"/>
    <w:rsid w:val="00BF4F21"/>
    <w:rsid w:val="00BF5760"/>
    <w:rsid w:val="00C01C3E"/>
    <w:rsid w:val="00C03BA2"/>
    <w:rsid w:val="00C03C8E"/>
    <w:rsid w:val="00C04105"/>
    <w:rsid w:val="00C04332"/>
    <w:rsid w:val="00C06A31"/>
    <w:rsid w:val="00C06E47"/>
    <w:rsid w:val="00C07FA3"/>
    <w:rsid w:val="00C12124"/>
    <w:rsid w:val="00C136B3"/>
    <w:rsid w:val="00C13EA0"/>
    <w:rsid w:val="00C141F0"/>
    <w:rsid w:val="00C1441D"/>
    <w:rsid w:val="00C168BE"/>
    <w:rsid w:val="00C16B35"/>
    <w:rsid w:val="00C16E4B"/>
    <w:rsid w:val="00C17387"/>
    <w:rsid w:val="00C217F0"/>
    <w:rsid w:val="00C22900"/>
    <w:rsid w:val="00C22BE7"/>
    <w:rsid w:val="00C24C3D"/>
    <w:rsid w:val="00C25251"/>
    <w:rsid w:val="00C265E5"/>
    <w:rsid w:val="00C27415"/>
    <w:rsid w:val="00C27419"/>
    <w:rsid w:val="00C27770"/>
    <w:rsid w:val="00C32701"/>
    <w:rsid w:val="00C33A35"/>
    <w:rsid w:val="00C3422A"/>
    <w:rsid w:val="00C36983"/>
    <w:rsid w:val="00C36D43"/>
    <w:rsid w:val="00C379D5"/>
    <w:rsid w:val="00C43B9C"/>
    <w:rsid w:val="00C43D07"/>
    <w:rsid w:val="00C43DBF"/>
    <w:rsid w:val="00C461A9"/>
    <w:rsid w:val="00C46420"/>
    <w:rsid w:val="00C50A20"/>
    <w:rsid w:val="00C51463"/>
    <w:rsid w:val="00C51F17"/>
    <w:rsid w:val="00C531CC"/>
    <w:rsid w:val="00C5692D"/>
    <w:rsid w:val="00C613A0"/>
    <w:rsid w:val="00C62705"/>
    <w:rsid w:val="00C640B7"/>
    <w:rsid w:val="00C654C4"/>
    <w:rsid w:val="00C70141"/>
    <w:rsid w:val="00C70716"/>
    <w:rsid w:val="00C720B6"/>
    <w:rsid w:val="00C728B1"/>
    <w:rsid w:val="00C75298"/>
    <w:rsid w:val="00C812A7"/>
    <w:rsid w:val="00C856A1"/>
    <w:rsid w:val="00C85925"/>
    <w:rsid w:val="00C85DBA"/>
    <w:rsid w:val="00C86032"/>
    <w:rsid w:val="00C903A6"/>
    <w:rsid w:val="00C90405"/>
    <w:rsid w:val="00C90C58"/>
    <w:rsid w:val="00C9122C"/>
    <w:rsid w:val="00C91796"/>
    <w:rsid w:val="00C91D87"/>
    <w:rsid w:val="00C92482"/>
    <w:rsid w:val="00C92FBE"/>
    <w:rsid w:val="00C965C9"/>
    <w:rsid w:val="00CA0D76"/>
    <w:rsid w:val="00CA282D"/>
    <w:rsid w:val="00CA2DED"/>
    <w:rsid w:val="00CA3222"/>
    <w:rsid w:val="00CA33CC"/>
    <w:rsid w:val="00CA3501"/>
    <w:rsid w:val="00CA3EDB"/>
    <w:rsid w:val="00CA4D5F"/>
    <w:rsid w:val="00CA589B"/>
    <w:rsid w:val="00CA5CFD"/>
    <w:rsid w:val="00CB1461"/>
    <w:rsid w:val="00CB20D3"/>
    <w:rsid w:val="00CB2F9A"/>
    <w:rsid w:val="00CB35C0"/>
    <w:rsid w:val="00CB6FC7"/>
    <w:rsid w:val="00CB7E32"/>
    <w:rsid w:val="00CC1EA8"/>
    <w:rsid w:val="00CC2A7C"/>
    <w:rsid w:val="00CC434A"/>
    <w:rsid w:val="00CC5425"/>
    <w:rsid w:val="00CD1727"/>
    <w:rsid w:val="00CD1C70"/>
    <w:rsid w:val="00CD2945"/>
    <w:rsid w:val="00CD32A3"/>
    <w:rsid w:val="00CD34A2"/>
    <w:rsid w:val="00CD5422"/>
    <w:rsid w:val="00CD550D"/>
    <w:rsid w:val="00CD648A"/>
    <w:rsid w:val="00CD72BC"/>
    <w:rsid w:val="00CD72F6"/>
    <w:rsid w:val="00CD7958"/>
    <w:rsid w:val="00CE203A"/>
    <w:rsid w:val="00CF0252"/>
    <w:rsid w:val="00CF0CB5"/>
    <w:rsid w:val="00CF0DF9"/>
    <w:rsid w:val="00CF1AFF"/>
    <w:rsid w:val="00CF23B5"/>
    <w:rsid w:val="00CF3157"/>
    <w:rsid w:val="00CF4883"/>
    <w:rsid w:val="00CF72A6"/>
    <w:rsid w:val="00D00E9B"/>
    <w:rsid w:val="00D0143B"/>
    <w:rsid w:val="00D0325B"/>
    <w:rsid w:val="00D04104"/>
    <w:rsid w:val="00D04901"/>
    <w:rsid w:val="00D04EE6"/>
    <w:rsid w:val="00D06803"/>
    <w:rsid w:val="00D102AB"/>
    <w:rsid w:val="00D12432"/>
    <w:rsid w:val="00D12471"/>
    <w:rsid w:val="00D12F79"/>
    <w:rsid w:val="00D20712"/>
    <w:rsid w:val="00D21B5D"/>
    <w:rsid w:val="00D23584"/>
    <w:rsid w:val="00D250B2"/>
    <w:rsid w:val="00D26C4F"/>
    <w:rsid w:val="00D30013"/>
    <w:rsid w:val="00D3215B"/>
    <w:rsid w:val="00D3351D"/>
    <w:rsid w:val="00D33D70"/>
    <w:rsid w:val="00D36359"/>
    <w:rsid w:val="00D37407"/>
    <w:rsid w:val="00D403C5"/>
    <w:rsid w:val="00D40904"/>
    <w:rsid w:val="00D40B69"/>
    <w:rsid w:val="00D40FD8"/>
    <w:rsid w:val="00D41B3A"/>
    <w:rsid w:val="00D432EF"/>
    <w:rsid w:val="00D43460"/>
    <w:rsid w:val="00D43AA1"/>
    <w:rsid w:val="00D43FF0"/>
    <w:rsid w:val="00D443FE"/>
    <w:rsid w:val="00D46653"/>
    <w:rsid w:val="00D46E26"/>
    <w:rsid w:val="00D4726A"/>
    <w:rsid w:val="00D5129B"/>
    <w:rsid w:val="00D528D9"/>
    <w:rsid w:val="00D52E25"/>
    <w:rsid w:val="00D53914"/>
    <w:rsid w:val="00D54940"/>
    <w:rsid w:val="00D56352"/>
    <w:rsid w:val="00D57A8A"/>
    <w:rsid w:val="00D57BD5"/>
    <w:rsid w:val="00D57E6A"/>
    <w:rsid w:val="00D60A91"/>
    <w:rsid w:val="00D60ACE"/>
    <w:rsid w:val="00D61D7E"/>
    <w:rsid w:val="00D63311"/>
    <w:rsid w:val="00D63514"/>
    <w:rsid w:val="00D63FFA"/>
    <w:rsid w:val="00D6407B"/>
    <w:rsid w:val="00D655AC"/>
    <w:rsid w:val="00D6590A"/>
    <w:rsid w:val="00D65CAF"/>
    <w:rsid w:val="00D66ECD"/>
    <w:rsid w:val="00D67C60"/>
    <w:rsid w:val="00D72FF8"/>
    <w:rsid w:val="00D7318A"/>
    <w:rsid w:val="00D73C3C"/>
    <w:rsid w:val="00D74669"/>
    <w:rsid w:val="00D74C66"/>
    <w:rsid w:val="00D76B89"/>
    <w:rsid w:val="00D779CF"/>
    <w:rsid w:val="00D80965"/>
    <w:rsid w:val="00D820A6"/>
    <w:rsid w:val="00D864AB"/>
    <w:rsid w:val="00D905D7"/>
    <w:rsid w:val="00D9163D"/>
    <w:rsid w:val="00D92FDE"/>
    <w:rsid w:val="00D94F15"/>
    <w:rsid w:val="00D9771E"/>
    <w:rsid w:val="00DA0A6A"/>
    <w:rsid w:val="00DA4474"/>
    <w:rsid w:val="00DA68D9"/>
    <w:rsid w:val="00DA6CFB"/>
    <w:rsid w:val="00DB2513"/>
    <w:rsid w:val="00DB256A"/>
    <w:rsid w:val="00DB5424"/>
    <w:rsid w:val="00DB6621"/>
    <w:rsid w:val="00DB6E88"/>
    <w:rsid w:val="00DB77A3"/>
    <w:rsid w:val="00DB7B1B"/>
    <w:rsid w:val="00DB7CFD"/>
    <w:rsid w:val="00DC01AC"/>
    <w:rsid w:val="00DC01D8"/>
    <w:rsid w:val="00DC3260"/>
    <w:rsid w:val="00DC3677"/>
    <w:rsid w:val="00DC3930"/>
    <w:rsid w:val="00DD336D"/>
    <w:rsid w:val="00DD5116"/>
    <w:rsid w:val="00DD689E"/>
    <w:rsid w:val="00DE7FE7"/>
    <w:rsid w:val="00DF094D"/>
    <w:rsid w:val="00DF183C"/>
    <w:rsid w:val="00DF1E32"/>
    <w:rsid w:val="00DF23EF"/>
    <w:rsid w:val="00DF2DFA"/>
    <w:rsid w:val="00DF4981"/>
    <w:rsid w:val="00DF5219"/>
    <w:rsid w:val="00DF5C3F"/>
    <w:rsid w:val="00DF6880"/>
    <w:rsid w:val="00E02210"/>
    <w:rsid w:val="00E054C6"/>
    <w:rsid w:val="00E07844"/>
    <w:rsid w:val="00E119E0"/>
    <w:rsid w:val="00E13A35"/>
    <w:rsid w:val="00E14046"/>
    <w:rsid w:val="00E15E50"/>
    <w:rsid w:val="00E17296"/>
    <w:rsid w:val="00E179A5"/>
    <w:rsid w:val="00E2024E"/>
    <w:rsid w:val="00E214D2"/>
    <w:rsid w:val="00E22445"/>
    <w:rsid w:val="00E22572"/>
    <w:rsid w:val="00E239B3"/>
    <w:rsid w:val="00E26B84"/>
    <w:rsid w:val="00E31556"/>
    <w:rsid w:val="00E324CD"/>
    <w:rsid w:val="00E327E2"/>
    <w:rsid w:val="00E32895"/>
    <w:rsid w:val="00E32ED5"/>
    <w:rsid w:val="00E3467D"/>
    <w:rsid w:val="00E36605"/>
    <w:rsid w:val="00E36936"/>
    <w:rsid w:val="00E41AD5"/>
    <w:rsid w:val="00E4457B"/>
    <w:rsid w:val="00E44E68"/>
    <w:rsid w:val="00E45A0C"/>
    <w:rsid w:val="00E45F56"/>
    <w:rsid w:val="00E50646"/>
    <w:rsid w:val="00E51215"/>
    <w:rsid w:val="00E525CC"/>
    <w:rsid w:val="00E56578"/>
    <w:rsid w:val="00E600EF"/>
    <w:rsid w:val="00E60B51"/>
    <w:rsid w:val="00E660D3"/>
    <w:rsid w:val="00E70254"/>
    <w:rsid w:val="00E70C08"/>
    <w:rsid w:val="00E71A74"/>
    <w:rsid w:val="00E73A95"/>
    <w:rsid w:val="00E74583"/>
    <w:rsid w:val="00E74B50"/>
    <w:rsid w:val="00E75987"/>
    <w:rsid w:val="00E75ADC"/>
    <w:rsid w:val="00E75CB1"/>
    <w:rsid w:val="00E77B78"/>
    <w:rsid w:val="00E80AC4"/>
    <w:rsid w:val="00E833C5"/>
    <w:rsid w:val="00E839E3"/>
    <w:rsid w:val="00E83E9A"/>
    <w:rsid w:val="00E84033"/>
    <w:rsid w:val="00E853DC"/>
    <w:rsid w:val="00E85C4D"/>
    <w:rsid w:val="00E90E3F"/>
    <w:rsid w:val="00E92808"/>
    <w:rsid w:val="00E9489E"/>
    <w:rsid w:val="00E94B66"/>
    <w:rsid w:val="00E95BB0"/>
    <w:rsid w:val="00E974E1"/>
    <w:rsid w:val="00EA07AD"/>
    <w:rsid w:val="00EA1480"/>
    <w:rsid w:val="00EA1EA8"/>
    <w:rsid w:val="00EA27A5"/>
    <w:rsid w:val="00EA5FAE"/>
    <w:rsid w:val="00EB2492"/>
    <w:rsid w:val="00EB27D3"/>
    <w:rsid w:val="00EB4807"/>
    <w:rsid w:val="00EC0E3F"/>
    <w:rsid w:val="00EC2937"/>
    <w:rsid w:val="00EC4BEE"/>
    <w:rsid w:val="00EC54CF"/>
    <w:rsid w:val="00EC6083"/>
    <w:rsid w:val="00EC67B5"/>
    <w:rsid w:val="00EC6B52"/>
    <w:rsid w:val="00EC6CDD"/>
    <w:rsid w:val="00EC79A6"/>
    <w:rsid w:val="00ED07AD"/>
    <w:rsid w:val="00ED1887"/>
    <w:rsid w:val="00ED1D2A"/>
    <w:rsid w:val="00ED299E"/>
    <w:rsid w:val="00ED42C6"/>
    <w:rsid w:val="00ED4DFD"/>
    <w:rsid w:val="00ED6DC4"/>
    <w:rsid w:val="00ED77C9"/>
    <w:rsid w:val="00ED7ADF"/>
    <w:rsid w:val="00EE01FB"/>
    <w:rsid w:val="00EE2E40"/>
    <w:rsid w:val="00EE5945"/>
    <w:rsid w:val="00EE5A3D"/>
    <w:rsid w:val="00EE604F"/>
    <w:rsid w:val="00EF213F"/>
    <w:rsid w:val="00EF6B43"/>
    <w:rsid w:val="00EF72C0"/>
    <w:rsid w:val="00F00249"/>
    <w:rsid w:val="00F01673"/>
    <w:rsid w:val="00F02096"/>
    <w:rsid w:val="00F02B78"/>
    <w:rsid w:val="00F04E12"/>
    <w:rsid w:val="00F054D0"/>
    <w:rsid w:val="00F05F28"/>
    <w:rsid w:val="00F060D4"/>
    <w:rsid w:val="00F0691A"/>
    <w:rsid w:val="00F10FC9"/>
    <w:rsid w:val="00F110C7"/>
    <w:rsid w:val="00F12010"/>
    <w:rsid w:val="00F12B1E"/>
    <w:rsid w:val="00F134FA"/>
    <w:rsid w:val="00F1521B"/>
    <w:rsid w:val="00F1650F"/>
    <w:rsid w:val="00F168D5"/>
    <w:rsid w:val="00F17920"/>
    <w:rsid w:val="00F211BF"/>
    <w:rsid w:val="00F24147"/>
    <w:rsid w:val="00F24607"/>
    <w:rsid w:val="00F305F9"/>
    <w:rsid w:val="00F31366"/>
    <w:rsid w:val="00F32AF5"/>
    <w:rsid w:val="00F32E93"/>
    <w:rsid w:val="00F33EEC"/>
    <w:rsid w:val="00F3492D"/>
    <w:rsid w:val="00F3520B"/>
    <w:rsid w:val="00F375A6"/>
    <w:rsid w:val="00F40729"/>
    <w:rsid w:val="00F407E3"/>
    <w:rsid w:val="00F416B0"/>
    <w:rsid w:val="00F428EC"/>
    <w:rsid w:val="00F4358F"/>
    <w:rsid w:val="00F455DA"/>
    <w:rsid w:val="00F47836"/>
    <w:rsid w:val="00F478D0"/>
    <w:rsid w:val="00F47901"/>
    <w:rsid w:val="00F603B5"/>
    <w:rsid w:val="00F6192E"/>
    <w:rsid w:val="00F61989"/>
    <w:rsid w:val="00F628AF"/>
    <w:rsid w:val="00F62B74"/>
    <w:rsid w:val="00F63811"/>
    <w:rsid w:val="00F679A8"/>
    <w:rsid w:val="00F7092E"/>
    <w:rsid w:val="00F71A8F"/>
    <w:rsid w:val="00F74089"/>
    <w:rsid w:val="00F8093B"/>
    <w:rsid w:val="00F81211"/>
    <w:rsid w:val="00F81A3A"/>
    <w:rsid w:val="00F820BF"/>
    <w:rsid w:val="00F83AC5"/>
    <w:rsid w:val="00F83BDF"/>
    <w:rsid w:val="00F8723C"/>
    <w:rsid w:val="00F87950"/>
    <w:rsid w:val="00F87A63"/>
    <w:rsid w:val="00F9322F"/>
    <w:rsid w:val="00F96B91"/>
    <w:rsid w:val="00F9774F"/>
    <w:rsid w:val="00FA0B7F"/>
    <w:rsid w:val="00FA1C2E"/>
    <w:rsid w:val="00FA1D56"/>
    <w:rsid w:val="00FA27F4"/>
    <w:rsid w:val="00FA2B66"/>
    <w:rsid w:val="00FA37D4"/>
    <w:rsid w:val="00FA7351"/>
    <w:rsid w:val="00FB3FD2"/>
    <w:rsid w:val="00FB4388"/>
    <w:rsid w:val="00FB589F"/>
    <w:rsid w:val="00FB6A56"/>
    <w:rsid w:val="00FC10CD"/>
    <w:rsid w:val="00FC12B0"/>
    <w:rsid w:val="00FC2444"/>
    <w:rsid w:val="00FC5157"/>
    <w:rsid w:val="00FC5A0C"/>
    <w:rsid w:val="00FC7F47"/>
    <w:rsid w:val="00FD0DBA"/>
    <w:rsid w:val="00FD43E5"/>
    <w:rsid w:val="00FD700B"/>
    <w:rsid w:val="00FE0CC9"/>
    <w:rsid w:val="00FE28C1"/>
    <w:rsid w:val="00FE3925"/>
    <w:rsid w:val="00FE44A2"/>
    <w:rsid w:val="00FE60DF"/>
    <w:rsid w:val="00FE7017"/>
    <w:rsid w:val="00FE71E1"/>
    <w:rsid w:val="00FE72A0"/>
    <w:rsid w:val="00FE7343"/>
    <w:rsid w:val="00FF136E"/>
    <w:rsid w:val="00FF1CD7"/>
    <w:rsid w:val="00FF2F9C"/>
    <w:rsid w:val="00FF322C"/>
    <w:rsid w:val="00FF3FBC"/>
    <w:rsid w:val="00FF4174"/>
    <w:rsid w:val="00FF508E"/>
    <w:rsid w:val="00FF5FDD"/>
    <w:rsid w:val="00FF6FE0"/>
    <w:rsid w:val="00FF7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45D27D"/>
  <w15:chartTrackingRefBased/>
  <w15:docId w15:val="{6DE43064-650E-0A4B-B0A7-839696E9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EE6"/>
    <w:pPr>
      <w:jc w:val="left"/>
    </w:pPr>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D528D9"/>
    <w:pPr>
      <w:keepNext/>
      <w:keepLines/>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unhideWhenUsed/>
    <w:qFormat/>
    <w:rsid w:val="00D528D9"/>
    <w:pPr>
      <w:keepNext/>
      <w:keepLines/>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unhideWhenUsed/>
    <w:qFormat/>
    <w:rsid w:val="00D528D9"/>
    <w:pPr>
      <w:keepNext/>
      <w:keepLines/>
      <w:spacing w:before="160" w:after="80"/>
      <w:jc w:val="both"/>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unhideWhenUsed/>
    <w:qFormat/>
    <w:rsid w:val="00D528D9"/>
    <w:pPr>
      <w:keepNext/>
      <w:keepLines/>
      <w:spacing w:before="80" w:after="40"/>
      <w:jc w:val="both"/>
      <w:outlineLvl w:val="3"/>
    </w:pPr>
    <w:rPr>
      <w:rFonts w:asciiTheme="majorHAnsi" w:eastAsiaTheme="majorEastAsia" w:hAnsiTheme="majorHAnsi" w:cstheme="majorBidi"/>
      <w:color w:val="000000" w:themeColor="text1"/>
      <w:kern w:val="2"/>
      <w:sz w:val="21"/>
    </w:rPr>
  </w:style>
  <w:style w:type="paragraph" w:styleId="5">
    <w:name w:val="heading 5"/>
    <w:basedOn w:val="a"/>
    <w:next w:val="a"/>
    <w:link w:val="50"/>
    <w:uiPriority w:val="9"/>
    <w:semiHidden/>
    <w:unhideWhenUsed/>
    <w:qFormat/>
    <w:rsid w:val="00D528D9"/>
    <w:pPr>
      <w:keepNext/>
      <w:keepLines/>
      <w:spacing w:before="80" w:after="40"/>
      <w:ind w:leftChars="100" w:left="100"/>
      <w:jc w:val="both"/>
      <w:outlineLvl w:val="4"/>
    </w:pPr>
    <w:rPr>
      <w:rFonts w:asciiTheme="majorHAnsi" w:eastAsiaTheme="majorEastAsia" w:hAnsiTheme="majorHAnsi" w:cstheme="majorBidi"/>
      <w:color w:val="000000" w:themeColor="text1"/>
      <w:kern w:val="2"/>
      <w:sz w:val="21"/>
    </w:rPr>
  </w:style>
  <w:style w:type="paragraph" w:styleId="6">
    <w:name w:val="heading 6"/>
    <w:basedOn w:val="a"/>
    <w:next w:val="a"/>
    <w:link w:val="60"/>
    <w:uiPriority w:val="9"/>
    <w:semiHidden/>
    <w:unhideWhenUsed/>
    <w:qFormat/>
    <w:rsid w:val="00D528D9"/>
    <w:pPr>
      <w:keepNext/>
      <w:keepLines/>
      <w:spacing w:before="80" w:after="40"/>
      <w:ind w:leftChars="200" w:left="200"/>
      <w:jc w:val="both"/>
      <w:outlineLvl w:val="5"/>
    </w:pPr>
    <w:rPr>
      <w:rFonts w:asciiTheme="majorHAnsi" w:eastAsiaTheme="majorEastAsia" w:hAnsiTheme="majorHAnsi" w:cstheme="majorBidi"/>
      <w:color w:val="000000" w:themeColor="text1"/>
      <w:kern w:val="2"/>
      <w:sz w:val="21"/>
    </w:rPr>
  </w:style>
  <w:style w:type="paragraph" w:styleId="7">
    <w:name w:val="heading 7"/>
    <w:basedOn w:val="a"/>
    <w:next w:val="a"/>
    <w:link w:val="70"/>
    <w:uiPriority w:val="9"/>
    <w:semiHidden/>
    <w:unhideWhenUsed/>
    <w:qFormat/>
    <w:rsid w:val="00D528D9"/>
    <w:pPr>
      <w:keepNext/>
      <w:keepLines/>
      <w:spacing w:before="80" w:after="40"/>
      <w:ind w:leftChars="300" w:left="300"/>
      <w:jc w:val="both"/>
      <w:outlineLvl w:val="6"/>
    </w:pPr>
    <w:rPr>
      <w:rFonts w:asciiTheme="majorHAnsi" w:eastAsiaTheme="majorEastAsia" w:hAnsiTheme="majorHAnsi" w:cstheme="majorBidi"/>
      <w:color w:val="000000" w:themeColor="text1"/>
      <w:kern w:val="2"/>
      <w:sz w:val="21"/>
    </w:rPr>
  </w:style>
  <w:style w:type="paragraph" w:styleId="8">
    <w:name w:val="heading 8"/>
    <w:basedOn w:val="a"/>
    <w:next w:val="a"/>
    <w:link w:val="80"/>
    <w:uiPriority w:val="9"/>
    <w:semiHidden/>
    <w:unhideWhenUsed/>
    <w:qFormat/>
    <w:rsid w:val="00D528D9"/>
    <w:pPr>
      <w:keepNext/>
      <w:keepLines/>
      <w:spacing w:before="80" w:after="40"/>
      <w:ind w:leftChars="400" w:left="400"/>
      <w:jc w:val="both"/>
      <w:outlineLvl w:val="7"/>
    </w:pPr>
    <w:rPr>
      <w:rFonts w:asciiTheme="majorHAnsi" w:eastAsiaTheme="majorEastAsia" w:hAnsiTheme="majorHAnsi" w:cstheme="majorBidi"/>
      <w:color w:val="000000" w:themeColor="text1"/>
      <w:kern w:val="2"/>
      <w:sz w:val="21"/>
    </w:rPr>
  </w:style>
  <w:style w:type="paragraph" w:styleId="9">
    <w:name w:val="heading 9"/>
    <w:basedOn w:val="a"/>
    <w:next w:val="a"/>
    <w:link w:val="90"/>
    <w:uiPriority w:val="9"/>
    <w:semiHidden/>
    <w:unhideWhenUsed/>
    <w:qFormat/>
    <w:rsid w:val="00D528D9"/>
    <w:pPr>
      <w:keepNext/>
      <w:keepLines/>
      <w:spacing w:before="80" w:after="40"/>
      <w:ind w:leftChars="500" w:left="500"/>
      <w:jc w:val="both"/>
      <w:outlineLvl w:val="8"/>
    </w:pPr>
    <w:rPr>
      <w:rFonts w:asciiTheme="majorHAnsi" w:eastAsiaTheme="majorEastAsia" w:hAnsiTheme="majorHAnsi" w:cstheme="majorBidi"/>
      <w:color w:val="000000" w:themeColor="text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28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D528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528D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D528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28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28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28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28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28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28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28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8D9"/>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D528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28D9"/>
    <w:pPr>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文 (文字)"/>
    <w:basedOn w:val="a0"/>
    <w:link w:val="a7"/>
    <w:uiPriority w:val="29"/>
    <w:rsid w:val="00D528D9"/>
    <w:rPr>
      <w:i/>
      <w:iCs/>
      <w:color w:val="404040" w:themeColor="text1" w:themeTint="BF"/>
    </w:rPr>
  </w:style>
  <w:style w:type="paragraph" w:styleId="a9">
    <w:name w:val="List Paragraph"/>
    <w:basedOn w:val="a"/>
    <w:uiPriority w:val="34"/>
    <w:qFormat/>
    <w:rsid w:val="00D528D9"/>
    <w:pPr>
      <w:ind w:left="720"/>
      <w:contextualSpacing/>
      <w:jc w:val="both"/>
    </w:pPr>
    <w:rPr>
      <w:rFonts w:asciiTheme="minorHAnsi" w:eastAsiaTheme="minorEastAsia" w:hAnsiTheme="minorHAnsi" w:cstheme="minorBidi"/>
      <w:kern w:val="2"/>
      <w:sz w:val="21"/>
    </w:rPr>
  </w:style>
  <w:style w:type="character" w:styleId="21">
    <w:name w:val="Intense Emphasis"/>
    <w:basedOn w:val="a0"/>
    <w:uiPriority w:val="21"/>
    <w:qFormat/>
    <w:rsid w:val="00D528D9"/>
    <w:rPr>
      <w:i/>
      <w:iCs/>
      <w:color w:val="0F4761" w:themeColor="accent1" w:themeShade="BF"/>
    </w:rPr>
  </w:style>
  <w:style w:type="paragraph" w:styleId="22">
    <w:name w:val="Intense Quote"/>
    <w:basedOn w:val="a"/>
    <w:next w:val="a"/>
    <w:link w:val="23"/>
    <w:uiPriority w:val="30"/>
    <w:qFormat/>
    <w:rsid w:val="00D528D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rPr>
  </w:style>
  <w:style w:type="character" w:customStyle="1" w:styleId="23">
    <w:name w:val="引用文 2 (文字)"/>
    <w:basedOn w:val="a0"/>
    <w:link w:val="22"/>
    <w:uiPriority w:val="30"/>
    <w:rsid w:val="00D528D9"/>
    <w:rPr>
      <w:i/>
      <w:iCs/>
      <w:color w:val="0F4761" w:themeColor="accent1" w:themeShade="BF"/>
    </w:rPr>
  </w:style>
  <w:style w:type="character" w:styleId="24">
    <w:name w:val="Intense Reference"/>
    <w:basedOn w:val="a0"/>
    <w:uiPriority w:val="32"/>
    <w:qFormat/>
    <w:rsid w:val="00D528D9"/>
    <w:rPr>
      <w:b/>
      <w:bCs/>
      <w:smallCaps/>
      <w:color w:val="0F4761" w:themeColor="accent1" w:themeShade="BF"/>
      <w:spacing w:val="5"/>
    </w:rPr>
  </w:style>
  <w:style w:type="paragraph" w:styleId="Web">
    <w:name w:val="Normal (Web)"/>
    <w:basedOn w:val="a"/>
    <w:uiPriority w:val="99"/>
    <w:unhideWhenUsed/>
    <w:rsid w:val="00D528D9"/>
    <w:pPr>
      <w:spacing w:before="100" w:beforeAutospacing="1" w:after="100" w:afterAutospacing="1"/>
    </w:pPr>
  </w:style>
  <w:style w:type="character" w:customStyle="1" w:styleId="math-inline">
    <w:name w:val="math-inline"/>
    <w:basedOn w:val="a0"/>
    <w:rsid w:val="002723BE"/>
  </w:style>
  <w:style w:type="character" w:styleId="HTML">
    <w:name w:val="HTML Code"/>
    <w:basedOn w:val="a0"/>
    <w:uiPriority w:val="99"/>
    <w:semiHidden/>
    <w:unhideWhenUsed/>
    <w:rsid w:val="004414CA"/>
    <w:rPr>
      <w:rFonts w:ascii="ＭＳ ゴシック" w:eastAsia="ＭＳ ゴシック" w:hAnsi="ＭＳ ゴシック" w:cs="ＭＳ ゴシック"/>
      <w:sz w:val="24"/>
      <w:szCs w:val="24"/>
    </w:rPr>
  </w:style>
  <w:style w:type="paragraph" w:styleId="HTML0">
    <w:name w:val="HTML Preformatted"/>
    <w:basedOn w:val="a"/>
    <w:link w:val="HTML1"/>
    <w:uiPriority w:val="99"/>
    <w:semiHidden/>
    <w:unhideWhenUsed/>
    <w:rsid w:val="00441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rPr>
  </w:style>
  <w:style w:type="character" w:customStyle="1" w:styleId="HTML1">
    <w:name w:val="HTML 書式付き (文字)"/>
    <w:basedOn w:val="a0"/>
    <w:link w:val="HTML0"/>
    <w:uiPriority w:val="99"/>
    <w:semiHidden/>
    <w:rsid w:val="004414CA"/>
    <w:rPr>
      <w:rFonts w:ascii="ＭＳ ゴシック" w:eastAsia="ＭＳ ゴシック" w:hAnsi="ＭＳ ゴシック" w:cs="ＭＳ ゴシック"/>
      <w:kern w:val="0"/>
      <w:sz w:val="24"/>
    </w:rPr>
  </w:style>
  <w:style w:type="character" w:customStyle="1" w:styleId="citation-105">
    <w:name w:val="citation-105"/>
    <w:basedOn w:val="a0"/>
    <w:rsid w:val="009A66DB"/>
  </w:style>
  <w:style w:type="character" w:customStyle="1" w:styleId="citation-98">
    <w:name w:val="citation-98"/>
    <w:basedOn w:val="a0"/>
    <w:rsid w:val="009A66DB"/>
  </w:style>
  <w:style w:type="character" w:customStyle="1" w:styleId="citation-97">
    <w:name w:val="citation-97"/>
    <w:basedOn w:val="a0"/>
    <w:rsid w:val="009A66DB"/>
  </w:style>
  <w:style w:type="character" w:customStyle="1" w:styleId="citation-96">
    <w:name w:val="citation-96"/>
    <w:basedOn w:val="a0"/>
    <w:rsid w:val="009A66DB"/>
  </w:style>
  <w:style w:type="character" w:customStyle="1" w:styleId="citation-95">
    <w:name w:val="citation-95"/>
    <w:basedOn w:val="a0"/>
    <w:rsid w:val="009A66DB"/>
  </w:style>
  <w:style w:type="character" w:customStyle="1" w:styleId="citation-94">
    <w:name w:val="citation-94"/>
    <w:basedOn w:val="a0"/>
    <w:rsid w:val="009A66DB"/>
  </w:style>
  <w:style w:type="character" w:customStyle="1" w:styleId="button-label">
    <w:name w:val="button-label"/>
    <w:basedOn w:val="a0"/>
    <w:rsid w:val="009A66DB"/>
  </w:style>
  <w:style w:type="character" w:customStyle="1" w:styleId="citation-85">
    <w:name w:val="citation-85"/>
    <w:basedOn w:val="a0"/>
    <w:rsid w:val="009A66DB"/>
  </w:style>
  <w:style w:type="character" w:customStyle="1" w:styleId="citation-84">
    <w:name w:val="citation-84"/>
    <w:basedOn w:val="a0"/>
    <w:rsid w:val="009A66DB"/>
  </w:style>
  <w:style w:type="character" w:customStyle="1" w:styleId="citation-257">
    <w:name w:val="citation-257"/>
    <w:basedOn w:val="a0"/>
    <w:rsid w:val="00473253"/>
  </w:style>
  <w:style w:type="character" w:customStyle="1" w:styleId="citation-256">
    <w:name w:val="citation-256"/>
    <w:basedOn w:val="a0"/>
    <w:rsid w:val="00473253"/>
  </w:style>
  <w:style w:type="character" w:customStyle="1" w:styleId="citation-255">
    <w:name w:val="citation-255"/>
    <w:basedOn w:val="a0"/>
    <w:rsid w:val="00473253"/>
  </w:style>
  <w:style w:type="character" w:customStyle="1" w:styleId="citation-254">
    <w:name w:val="citation-254"/>
    <w:basedOn w:val="a0"/>
    <w:rsid w:val="00473253"/>
  </w:style>
  <w:style w:type="character" w:customStyle="1" w:styleId="citation-253">
    <w:name w:val="citation-253"/>
    <w:basedOn w:val="a0"/>
    <w:rsid w:val="00473253"/>
  </w:style>
  <w:style w:type="character" w:customStyle="1" w:styleId="citation-252">
    <w:name w:val="citation-252"/>
    <w:basedOn w:val="a0"/>
    <w:rsid w:val="00473253"/>
  </w:style>
  <w:style w:type="character" w:customStyle="1" w:styleId="citation-251">
    <w:name w:val="citation-251"/>
    <w:basedOn w:val="a0"/>
    <w:rsid w:val="00473253"/>
  </w:style>
  <w:style w:type="character" w:styleId="aa">
    <w:name w:val="Hyperlink"/>
    <w:basedOn w:val="a0"/>
    <w:uiPriority w:val="99"/>
    <w:unhideWhenUsed/>
    <w:rsid w:val="00415B9C"/>
    <w:rPr>
      <w:color w:val="0000FF"/>
      <w:u w:val="single"/>
    </w:rPr>
  </w:style>
  <w:style w:type="character" w:customStyle="1" w:styleId="apple-converted-space">
    <w:name w:val="apple-converted-space"/>
    <w:basedOn w:val="a0"/>
    <w:rsid w:val="007C158C"/>
  </w:style>
  <w:style w:type="character" w:styleId="ab">
    <w:name w:val="Strong"/>
    <w:basedOn w:val="a0"/>
    <w:uiPriority w:val="22"/>
    <w:qFormat/>
    <w:rsid w:val="007C158C"/>
    <w:rPr>
      <w:b/>
      <w:bCs/>
    </w:rPr>
  </w:style>
  <w:style w:type="character" w:customStyle="1" w:styleId="citation-614">
    <w:name w:val="citation-614"/>
    <w:basedOn w:val="a0"/>
    <w:rsid w:val="00A27837"/>
  </w:style>
  <w:style w:type="character" w:customStyle="1" w:styleId="citation-612">
    <w:name w:val="citation-612"/>
    <w:basedOn w:val="a0"/>
    <w:rsid w:val="00A27837"/>
  </w:style>
  <w:style w:type="character" w:customStyle="1" w:styleId="citation-672">
    <w:name w:val="citation-672"/>
    <w:basedOn w:val="a0"/>
    <w:rsid w:val="00472283"/>
  </w:style>
  <w:style w:type="character" w:customStyle="1" w:styleId="citation-671">
    <w:name w:val="citation-671"/>
    <w:basedOn w:val="a0"/>
    <w:rsid w:val="00472283"/>
  </w:style>
  <w:style w:type="character" w:customStyle="1" w:styleId="citation-670">
    <w:name w:val="citation-670"/>
    <w:basedOn w:val="a0"/>
    <w:rsid w:val="00472283"/>
  </w:style>
  <w:style w:type="character" w:customStyle="1" w:styleId="citation-669">
    <w:name w:val="citation-669"/>
    <w:basedOn w:val="a0"/>
    <w:rsid w:val="00472283"/>
  </w:style>
  <w:style w:type="character" w:customStyle="1" w:styleId="citation-668">
    <w:name w:val="citation-668"/>
    <w:basedOn w:val="a0"/>
    <w:rsid w:val="00472283"/>
  </w:style>
  <w:style w:type="character" w:customStyle="1" w:styleId="citation-667">
    <w:name w:val="citation-667"/>
    <w:basedOn w:val="a0"/>
    <w:rsid w:val="00472283"/>
  </w:style>
  <w:style w:type="character" w:customStyle="1" w:styleId="citation-666">
    <w:name w:val="citation-666"/>
    <w:basedOn w:val="a0"/>
    <w:rsid w:val="00472283"/>
  </w:style>
  <w:style w:type="character" w:customStyle="1" w:styleId="citation-665">
    <w:name w:val="citation-665"/>
    <w:basedOn w:val="a0"/>
    <w:rsid w:val="00472283"/>
  </w:style>
  <w:style w:type="character" w:customStyle="1" w:styleId="citation-664">
    <w:name w:val="citation-664"/>
    <w:basedOn w:val="a0"/>
    <w:rsid w:val="00472283"/>
  </w:style>
  <w:style w:type="character" w:customStyle="1" w:styleId="citation-736">
    <w:name w:val="citation-736"/>
    <w:basedOn w:val="a0"/>
    <w:rsid w:val="003F68FE"/>
  </w:style>
  <w:style w:type="character" w:customStyle="1" w:styleId="citation-735">
    <w:name w:val="citation-735"/>
    <w:basedOn w:val="a0"/>
    <w:rsid w:val="003F68FE"/>
  </w:style>
  <w:style w:type="character" w:customStyle="1" w:styleId="citation-734">
    <w:name w:val="citation-734"/>
    <w:basedOn w:val="a0"/>
    <w:rsid w:val="003F68FE"/>
  </w:style>
  <w:style w:type="character" w:customStyle="1" w:styleId="citation-733">
    <w:name w:val="citation-733"/>
    <w:basedOn w:val="a0"/>
    <w:rsid w:val="003F68FE"/>
  </w:style>
  <w:style w:type="character" w:customStyle="1" w:styleId="citation-732">
    <w:name w:val="citation-732"/>
    <w:basedOn w:val="a0"/>
    <w:rsid w:val="003F68FE"/>
  </w:style>
  <w:style w:type="character" w:customStyle="1" w:styleId="citation-731">
    <w:name w:val="citation-731"/>
    <w:basedOn w:val="a0"/>
    <w:rsid w:val="003F68FE"/>
  </w:style>
  <w:style w:type="character" w:customStyle="1" w:styleId="citation-730">
    <w:name w:val="citation-730"/>
    <w:basedOn w:val="a0"/>
    <w:rsid w:val="003F68FE"/>
  </w:style>
  <w:style w:type="character" w:customStyle="1" w:styleId="citation-729">
    <w:name w:val="citation-729"/>
    <w:basedOn w:val="a0"/>
    <w:rsid w:val="003F68FE"/>
  </w:style>
  <w:style w:type="character" w:customStyle="1" w:styleId="citation-728">
    <w:name w:val="citation-728"/>
    <w:basedOn w:val="a0"/>
    <w:rsid w:val="003F68FE"/>
  </w:style>
  <w:style w:type="character" w:customStyle="1" w:styleId="citation-727">
    <w:name w:val="citation-727"/>
    <w:basedOn w:val="a0"/>
    <w:rsid w:val="003F68FE"/>
  </w:style>
  <w:style w:type="character" w:customStyle="1" w:styleId="citation-726">
    <w:name w:val="citation-726"/>
    <w:basedOn w:val="a0"/>
    <w:rsid w:val="003F68FE"/>
  </w:style>
  <w:style w:type="character" w:customStyle="1" w:styleId="citation-725">
    <w:name w:val="citation-725"/>
    <w:basedOn w:val="a0"/>
    <w:rsid w:val="003F68FE"/>
  </w:style>
  <w:style w:type="character" w:customStyle="1" w:styleId="citation-769">
    <w:name w:val="citation-769"/>
    <w:basedOn w:val="a0"/>
    <w:rsid w:val="00CF72A6"/>
  </w:style>
  <w:style w:type="character" w:customStyle="1" w:styleId="citation-768">
    <w:name w:val="citation-768"/>
    <w:basedOn w:val="a0"/>
    <w:rsid w:val="006A7357"/>
  </w:style>
  <w:style w:type="character" w:customStyle="1" w:styleId="citation-767">
    <w:name w:val="citation-767"/>
    <w:basedOn w:val="a0"/>
    <w:rsid w:val="006A7357"/>
  </w:style>
  <w:style w:type="character" w:customStyle="1" w:styleId="citation-29">
    <w:name w:val="citation-29"/>
    <w:basedOn w:val="a0"/>
    <w:rsid w:val="0059030C"/>
  </w:style>
  <w:style w:type="character" w:customStyle="1" w:styleId="citation-93">
    <w:name w:val="citation-93"/>
    <w:basedOn w:val="a0"/>
    <w:rsid w:val="00683C4B"/>
  </w:style>
  <w:style w:type="character" w:customStyle="1" w:styleId="citation-88">
    <w:name w:val="citation-88"/>
    <w:basedOn w:val="a0"/>
    <w:rsid w:val="00683C4B"/>
  </w:style>
  <w:style w:type="character" w:customStyle="1" w:styleId="citation-87">
    <w:name w:val="citation-87"/>
    <w:basedOn w:val="a0"/>
    <w:rsid w:val="00683C4B"/>
  </w:style>
  <w:style w:type="character" w:customStyle="1" w:styleId="citation-86">
    <w:name w:val="citation-86"/>
    <w:basedOn w:val="a0"/>
    <w:rsid w:val="00683C4B"/>
  </w:style>
  <w:style w:type="character" w:customStyle="1" w:styleId="citation-642">
    <w:name w:val="citation-642"/>
    <w:basedOn w:val="a0"/>
    <w:rsid w:val="0070438E"/>
  </w:style>
  <w:style w:type="character" w:customStyle="1" w:styleId="citation-641">
    <w:name w:val="citation-641"/>
    <w:basedOn w:val="a0"/>
    <w:rsid w:val="0070438E"/>
  </w:style>
  <w:style w:type="character" w:customStyle="1" w:styleId="citation-640">
    <w:name w:val="citation-640"/>
    <w:basedOn w:val="a0"/>
    <w:rsid w:val="0070438E"/>
  </w:style>
  <w:style w:type="character" w:customStyle="1" w:styleId="citation-639">
    <w:name w:val="citation-639"/>
    <w:basedOn w:val="a0"/>
    <w:rsid w:val="0070438E"/>
  </w:style>
  <w:style w:type="character" w:customStyle="1" w:styleId="citation-638">
    <w:name w:val="citation-638"/>
    <w:basedOn w:val="a0"/>
    <w:rsid w:val="0070438E"/>
  </w:style>
  <w:style w:type="character" w:customStyle="1" w:styleId="citation-637">
    <w:name w:val="citation-637"/>
    <w:basedOn w:val="a0"/>
    <w:rsid w:val="0070438E"/>
  </w:style>
  <w:style w:type="character" w:customStyle="1" w:styleId="citation-636">
    <w:name w:val="citation-636"/>
    <w:basedOn w:val="a0"/>
    <w:rsid w:val="0070438E"/>
  </w:style>
  <w:style w:type="character" w:customStyle="1" w:styleId="citation-635">
    <w:name w:val="citation-635"/>
    <w:basedOn w:val="a0"/>
    <w:rsid w:val="0070438E"/>
  </w:style>
  <w:style w:type="character" w:customStyle="1" w:styleId="citation-634">
    <w:name w:val="citation-634"/>
    <w:basedOn w:val="a0"/>
    <w:rsid w:val="0070438E"/>
  </w:style>
  <w:style w:type="character" w:customStyle="1" w:styleId="citation-633">
    <w:name w:val="citation-633"/>
    <w:basedOn w:val="a0"/>
    <w:rsid w:val="0070438E"/>
  </w:style>
  <w:style w:type="character" w:customStyle="1" w:styleId="citation-632">
    <w:name w:val="citation-632"/>
    <w:basedOn w:val="a0"/>
    <w:rsid w:val="0070438E"/>
  </w:style>
  <w:style w:type="character" w:customStyle="1" w:styleId="citation-631">
    <w:name w:val="citation-631"/>
    <w:basedOn w:val="a0"/>
    <w:rsid w:val="0070438E"/>
  </w:style>
  <w:style w:type="character" w:customStyle="1" w:styleId="citation-630">
    <w:name w:val="citation-630"/>
    <w:basedOn w:val="a0"/>
    <w:rsid w:val="0070438E"/>
  </w:style>
  <w:style w:type="table" w:styleId="31">
    <w:name w:val="Plain Table 3"/>
    <w:basedOn w:val="a1"/>
    <w:uiPriority w:val="43"/>
    <w:rsid w:val="002660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5">
    <w:name w:val="Plain Table 2"/>
    <w:basedOn w:val="a1"/>
    <w:uiPriority w:val="42"/>
    <w:rsid w:val="002660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c">
    <w:name w:val="Grid Table Light"/>
    <w:basedOn w:val="a1"/>
    <w:uiPriority w:val="40"/>
    <w:rsid w:val="002660E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line number"/>
    <w:basedOn w:val="a0"/>
    <w:uiPriority w:val="99"/>
    <w:semiHidden/>
    <w:unhideWhenUsed/>
    <w:rsid w:val="006F565D"/>
  </w:style>
  <w:style w:type="character" w:styleId="ae">
    <w:name w:val="Unresolved Mention"/>
    <w:basedOn w:val="a0"/>
    <w:uiPriority w:val="99"/>
    <w:semiHidden/>
    <w:unhideWhenUsed/>
    <w:rsid w:val="00606C59"/>
    <w:rPr>
      <w:color w:val="605E5C"/>
      <w:shd w:val="clear" w:color="auto" w:fill="E1DFDD"/>
    </w:rPr>
  </w:style>
  <w:style w:type="character" w:styleId="af">
    <w:name w:val="FollowedHyperlink"/>
    <w:basedOn w:val="a0"/>
    <w:uiPriority w:val="99"/>
    <w:semiHidden/>
    <w:unhideWhenUsed/>
    <w:rsid w:val="005F77A0"/>
    <w:rPr>
      <w:color w:val="96607D"/>
      <w:u w:val="single"/>
    </w:rPr>
  </w:style>
  <w:style w:type="paragraph" w:customStyle="1" w:styleId="msonormal0">
    <w:name w:val="msonormal"/>
    <w:basedOn w:val="a"/>
    <w:rsid w:val="005F77A0"/>
    <w:pPr>
      <w:spacing w:before="100" w:beforeAutospacing="1" w:after="100" w:afterAutospacing="1"/>
    </w:pPr>
  </w:style>
  <w:style w:type="paragraph" w:customStyle="1" w:styleId="xl63">
    <w:name w:val="xl63"/>
    <w:basedOn w:val="a"/>
    <w:rsid w:val="005F77A0"/>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64">
    <w:name w:val="xl64"/>
    <w:basedOn w:val="a"/>
    <w:rsid w:val="005F77A0"/>
    <w:pPr>
      <w:spacing w:before="100" w:beforeAutospacing="1" w:after="100" w:afterAutospacing="1"/>
      <w:jc w:val="center"/>
    </w:pPr>
    <w:rPr>
      <w:rFonts w:ascii="Arial" w:hAnsi="Arial" w:cs="Arial"/>
    </w:rPr>
  </w:style>
  <w:style w:type="paragraph" w:customStyle="1" w:styleId="xl65">
    <w:name w:val="xl65"/>
    <w:basedOn w:val="a"/>
    <w:rsid w:val="005F77A0"/>
    <w:pPr>
      <w:pBdr>
        <w:bottom w:val="single" w:sz="4" w:space="0" w:color="auto"/>
      </w:pBdr>
      <w:spacing w:before="100" w:beforeAutospacing="1" w:after="100" w:afterAutospacing="1"/>
      <w:jc w:val="center"/>
    </w:pPr>
    <w:rPr>
      <w:rFonts w:ascii="Arial" w:hAnsi="Arial" w:cs="Arial"/>
    </w:rPr>
  </w:style>
  <w:style w:type="character" w:customStyle="1" w:styleId="bot-name-ugc-label">
    <w:name w:val="bot-name-ugc-label"/>
    <w:basedOn w:val="a0"/>
    <w:rsid w:val="00C01C3E"/>
  </w:style>
  <w:style w:type="character" w:customStyle="1" w:styleId="ng-tns-c3415999254-612">
    <w:name w:val="ng-tns-c3415999254-612"/>
    <w:basedOn w:val="a0"/>
    <w:rsid w:val="00C01C3E"/>
  </w:style>
  <w:style w:type="paragraph" w:customStyle="1" w:styleId="ng-tns-c3415999254-6121">
    <w:name w:val="ng-tns-c3415999254-6121"/>
    <w:basedOn w:val="a"/>
    <w:rsid w:val="00C01C3E"/>
    <w:pPr>
      <w:spacing w:before="100" w:beforeAutospacing="1" w:after="100" w:afterAutospacing="1"/>
    </w:pPr>
  </w:style>
  <w:style w:type="character" w:customStyle="1" w:styleId="export-sheets-button">
    <w:name w:val="export-sheets-button"/>
    <w:basedOn w:val="a0"/>
    <w:rsid w:val="00C01C3E"/>
  </w:style>
  <w:style w:type="character" w:customStyle="1" w:styleId="ng-tns-c1753416243-274">
    <w:name w:val="ng-tns-c1753416243-274"/>
    <w:basedOn w:val="a0"/>
    <w:rsid w:val="00B30CBF"/>
  </w:style>
  <w:style w:type="character" w:customStyle="1" w:styleId="mat-mdc-button-persistent-ripple">
    <w:name w:val="mat-mdc-button-persistent-ripple"/>
    <w:basedOn w:val="a0"/>
    <w:rsid w:val="00B30CBF"/>
  </w:style>
  <w:style w:type="character" w:customStyle="1" w:styleId="mat-focus-indicator">
    <w:name w:val="mat-focus-indicator"/>
    <w:basedOn w:val="a0"/>
    <w:rsid w:val="00B30CBF"/>
  </w:style>
  <w:style w:type="character" w:customStyle="1" w:styleId="mat-mdc-button-touch-target">
    <w:name w:val="mat-mdc-button-touch-target"/>
    <w:basedOn w:val="a0"/>
    <w:rsid w:val="00B30CBF"/>
  </w:style>
  <w:style w:type="character" w:customStyle="1" w:styleId="hljs-keyword">
    <w:name w:val="hljs-keyword"/>
    <w:basedOn w:val="a0"/>
    <w:rsid w:val="00B30CBF"/>
  </w:style>
  <w:style w:type="character" w:customStyle="1" w:styleId="hljs-function">
    <w:name w:val="hljs-function"/>
    <w:basedOn w:val="a0"/>
    <w:rsid w:val="00B30CBF"/>
  </w:style>
  <w:style w:type="character" w:customStyle="1" w:styleId="hljs-title">
    <w:name w:val="hljs-title"/>
    <w:basedOn w:val="a0"/>
    <w:rsid w:val="00B30CBF"/>
  </w:style>
  <w:style w:type="character" w:customStyle="1" w:styleId="hljs-params">
    <w:name w:val="hljs-params"/>
    <w:basedOn w:val="a0"/>
    <w:rsid w:val="00B30CBF"/>
  </w:style>
  <w:style w:type="character" w:customStyle="1" w:styleId="hljs-builtin">
    <w:name w:val="hljs-built_in"/>
    <w:basedOn w:val="a0"/>
    <w:rsid w:val="00B30CBF"/>
  </w:style>
  <w:style w:type="character" w:customStyle="1" w:styleId="hljs-string">
    <w:name w:val="hljs-string"/>
    <w:basedOn w:val="a0"/>
    <w:rsid w:val="00B30CBF"/>
  </w:style>
  <w:style w:type="character" w:customStyle="1" w:styleId="hljs-number">
    <w:name w:val="hljs-number"/>
    <w:basedOn w:val="a0"/>
    <w:rsid w:val="00B30CBF"/>
  </w:style>
  <w:style w:type="character" w:customStyle="1" w:styleId="hljs-comment">
    <w:name w:val="hljs-comment"/>
    <w:basedOn w:val="a0"/>
    <w:rsid w:val="00B30CBF"/>
  </w:style>
  <w:style w:type="character" w:customStyle="1" w:styleId="hljs-literal">
    <w:name w:val="hljs-literal"/>
    <w:basedOn w:val="a0"/>
    <w:rsid w:val="00B30CBF"/>
  </w:style>
  <w:style w:type="character" w:customStyle="1" w:styleId="ng-tns-c1753416243-275">
    <w:name w:val="ng-tns-c1753416243-275"/>
    <w:basedOn w:val="a0"/>
    <w:rsid w:val="00B30CBF"/>
  </w:style>
  <w:style w:type="character" w:customStyle="1" w:styleId="ng-tns-c1753416243-276">
    <w:name w:val="ng-tns-c1753416243-276"/>
    <w:basedOn w:val="a0"/>
    <w:rsid w:val="00B30CBF"/>
  </w:style>
  <w:style w:type="character" w:customStyle="1" w:styleId="hljs-subst">
    <w:name w:val="hljs-subst"/>
    <w:basedOn w:val="a0"/>
    <w:rsid w:val="00B30CBF"/>
  </w:style>
  <w:style w:type="character" w:customStyle="1" w:styleId="citation-27">
    <w:name w:val="citation-27"/>
    <w:basedOn w:val="a0"/>
    <w:rsid w:val="00500A2A"/>
  </w:style>
  <w:style w:type="character" w:customStyle="1" w:styleId="citation-26">
    <w:name w:val="citation-26"/>
    <w:basedOn w:val="a0"/>
    <w:rsid w:val="00500A2A"/>
  </w:style>
  <w:style w:type="character" w:customStyle="1" w:styleId="citation-25">
    <w:name w:val="citation-25"/>
    <w:basedOn w:val="a0"/>
    <w:rsid w:val="00500A2A"/>
  </w:style>
  <w:style w:type="character" w:customStyle="1" w:styleId="citation-24">
    <w:name w:val="citation-24"/>
    <w:basedOn w:val="a0"/>
    <w:rsid w:val="00500A2A"/>
  </w:style>
  <w:style w:type="character" w:customStyle="1" w:styleId="citation-23">
    <w:name w:val="citation-23"/>
    <w:basedOn w:val="a0"/>
    <w:rsid w:val="00500A2A"/>
  </w:style>
  <w:style w:type="character" w:customStyle="1" w:styleId="user-query-container">
    <w:name w:val="user-query-container"/>
    <w:basedOn w:val="a0"/>
    <w:rsid w:val="001B1018"/>
  </w:style>
  <w:style w:type="character" w:customStyle="1" w:styleId="user-query-bubble-with-background">
    <w:name w:val="user-query-bubble-with-background"/>
    <w:basedOn w:val="a0"/>
    <w:rsid w:val="001B1018"/>
  </w:style>
  <w:style w:type="character" w:customStyle="1" w:styleId="horizontal-container">
    <w:name w:val="horizontal-container"/>
    <w:basedOn w:val="a0"/>
    <w:rsid w:val="001B1018"/>
  </w:style>
  <w:style w:type="paragraph" w:customStyle="1" w:styleId="query-text-line">
    <w:name w:val="query-text-line"/>
    <w:basedOn w:val="a"/>
    <w:rsid w:val="001B1018"/>
    <w:pPr>
      <w:spacing w:before="100" w:beforeAutospacing="1" w:after="100" w:afterAutospacing="1"/>
    </w:pPr>
  </w:style>
  <w:style w:type="character" w:customStyle="1" w:styleId="mdc-buttonlabel">
    <w:name w:val="mdc-button__label"/>
    <w:basedOn w:val="a0"/>
    <w:rsid w:val="001B1018"/>
  </w:style>
  <w:style w:type="character" w:customStyle="1" w:styleId="katex">
    <w:name w:val="katex"/>
    <w:basedOn w:val="a0"/>
    <w:rsid w:val="001B1018"/>
  </w:style>
  <w:style w:type="character" w:customStyle="1" w:styleId="katex-html">
    <w:name w:val="katex-html"/>
    <w:basedOn w:val="a0"/>
    <w:rsid w:val="001B1018"/>
  </w:style>
  <w:style w:type="character" w:customStyle="1" w:styleId="base">
    <w:name w:val="base"/>
    <w:basedOn w:val="a0"/>
    <w:rsid w:val="001B1018"/>
  </w:style>
  <w:style w:type="character" w:customStyle="1" w:styleId="strut">
    <w:name w:val="strut"/>
    <w:basedOn w:val="a0"/>
    <w:rsid w:val="001B1018"/>
  </w:style>
  <w:style w:type="character" w:customStyle="1" w:styleId="mord">
    <w:name w:val="mord"/>
    <w:basedOn w:val="a0"/>
    <w:rsid w:val="001B1018"/>
  </w:style>
  <w:style w:type="character" w:customStyle="1" w:styleId="mspace">
    <w:name w:val="mspace"/>
    <w:basedOn w:val="a0"/>
    <w:rsid w:val="001B1018"/>
  </w:style>
  <w:style w:type="character" w:customStyle="1" w:styleId="mop">
    <w:name w:val="mop"/>
    <w:basedOn w:val="a0"/>
    <w:rsid w:val="001B1018"/>
  </w:style>
  <w:style w:type="character" w:customStyle="1" w:styleId="msupsub">
    <w:name w:val="msupsub"/>
    <w:basedOn w:val="a0"/>
    <w:rsid w:val="001B1018"/>
  </w:style>
  <w:style w:type="character" w:customStyle="1" w:styleId="vlist-t">
    <w:name w:val="vlist-t"/>
    <w:basedOn w:val="a0"/>
    <w:rsid w:val="001B1018"/>
  </w:style>
  <w:style w:type="character" w:customStyle="1" w:styleId="vlist-r">
    <w:name w:val="vlist-r"/>
    <w:basedOn w:val="a0"/>
    <w:rsid w:val="001B1018"/>
  </w:style>
  <w:style w:type="character" w:customStyle="1" w:styleId="vlist">
    <w:name w:val="vlist"/>
    <w:basedOn w:val="a0"/>
    <w:rsid w:val="001B1018"/>
  </w:style>
  <w:style w:type="character" w:customStyle="1" w:styleId="pstrut">
    <w:name w:val="pstrut"/>
    <w:basedOn w:val="a0"/>
    <w:rsid w:val="001B1018"/>
  </w:style>
  <w:style w:type="character" w:customStyle="1" w:styleId="sizing">
    <w:name w:val="sizing"/>
    <w:basedOn w:val="a0"/>
    <w:rsid w:val="001B1018"/>
  </w:style>
  <w:style w:type="character" w:customStyle="1" w:styleId="vlist-s">
    <w:name w:val="vlist-s"/>
    <w:basedOn w:val="a0"/>
    <w:rsid w:val="001B1018"/>
  </w:style>
  <w:style w:type="character" w:customStyle="1" w:styleId="mrel">
    <w:name w:val="mrel"/>
    <w:basedOn w:val="a0"/>
    <w:rsid w:val="001B1018"/>
  </w:style>
  <w:style w:type="character" w:customStyle="1" w:styleId="mopen">
    <w:name w:val="mopen"/>
    <w:basedOn w:val="a0"/>
    <w:rsid w:val="001B1018"/>
  </w:style>
  <w:style w:type="character" w:customStyle="1" w:styleId="mclose">
    <w:name w:val="mclose"/>
    <w:basedOn w:val="a0"/>
    <w:rsid w:val="001B1018"/>
  </w:style>
  <w:style w:type="character" w:customStyle="1" w:styleId="source-count">
    <w:name w:val="source-count"/>
    <w:basedOn w:val="a0"/>
    <w:rsid w:val="001B1018"/>
  </w:style>
  <w:style w:type="paragraph" w:customStyle="1" w:styleId="gds-body-s">
    <w:name w:val="gds-body-s"/>
    <w:basedOn w:val="a"/>
    <w:rsid w:val="001B10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3013</TotalTime>
  <Pages>17</Pages>
  <Words>2809</Words>
  <Characters>18151</Characters>
  <Application>Microsoft Office Word</Application>
  <DocSecurity>0</DocSecurity>
  <Lines>370</Lines>
  <Paragraphs>127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Daisuke SASAKI</dc:creator>
  <cp:keywords/>
  <dc:description/>
  <cp:lastModifiedBy>Daisuke SASAKI</cp:lastModifiedBy>
  <cp:revision>83</cp:revision>
  <cp:lastPrinted>2026-02-02T03:14:00Z</cp:lastPrinted>
  <dcterms:created xsi:type="dcterms:W3CDTF">2026-07-16T08:13:00Z</dcterms:created>
  <dcterms:modified xsi:type="dcterms:W3CDTF">2026-08-20T03:04:00Z</dcterms:modified>
</cp:coreProperties>
</file>