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dditional-file-1-table-s1"/>
    <w:p>
      <w:pPr>
        <w:pStyle w:val="Heading1"/>
      </w:pPr>
      <w:r>
        <w:t xml:space="preserve">Additional file 1: Table S1</w:t>
      </w:r>
    </w:p>
    <w:p>
      <w:pPr>
        <w:pStyle w:val="FirstParagraph"/>
      </w:pPr>
      <w:r>
        <w:rPr>
          <w:bCs/>
          <w:b/>
        </w:rPr>
        <w:t xml:space="preserve">Table S1. Comparison of women included in the primary analysis versus otherwise-eligible women excluded for incomplete covariates (with valid sEMG data)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Variable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Included, 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Excluded, 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 value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Age, years, mean±SD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30.5±3.7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30.4±3.9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0.877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BMI, kg/m², mean±SD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22.8±3.0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23.1±3.0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Gestational age, weeks, mean±SD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39.4±1.1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39.5±1.0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Neonatal birthweight, g, mean±SD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3288.6±405.3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3237.4±382.6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Second stage, min, median (IQR)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51.0 (26.0–88.0)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56.0 (27.0–91.0)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Delivery-to-assessment interval, days, median (IQR)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49.0 (43.0–61.0)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47.0 (43.0–61.0)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Flicks maximum, μV, mean±SD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29.3±14.7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31.4±16.6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Tonic mean, μV, mean±SD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19.3±10.5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18.7±9.0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Endurance mean, μV, mean±SD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16.2±9.2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15.8±7.9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0.677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Perineal group, 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intact/1st° 134 (11.9%) / 2nd° 567 (50.2%) / episiotomy 428 (37.9%)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intact/1st° 9 (9.6%) / 2nd° 45 (47.9%) / episiotomy 40 (42.6%)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Primiparous, 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734 (65.0%)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 (70.2%)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Forceps delivery, 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 (3.6%)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 (0%)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Neuraxial analgesia, 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881 (78.0%)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 (80.9%)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0.613</w:t>
            </w:r>
          </w:p>
        </w:tc>
      </w:tr>
    </w:tbl>
    <w:p>
      <w:pPr>
        <w:pStyle w:val="BodyText"/>
      </w:pPr>
      <w:r>
        <w:t xml:space="preserve">Continuous variables were compared by t-test (mean±SD) or Mann–Whitney U test (median [IQR]); categorical variables by chi-square or Fisher’s exact test. No comparison reached statistical significance, indicating minimal selection bias from complete-case analysis.</w:t>
      </w:r>
    </w:p>
    <w:bookmarkEnd w:id="20"/>
    <w:sectPr>
      <w:endnotePr>
        <w:numFmt w:val="decimal"/>
      </w:end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endnotes.xml><?xml version="1.0" encoding="utf-8"?>
<w:endnotes xmlns:w="http://schemas.openxmlformats.org/wordprocessingml/2006/main" xmlns:r="http://schemas.openxmlformats.org/officeDocument/2006/relationships">
  <w:endnotePr>
    <w:numFmt w:val="decimal"/>
  </w:endnotePr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9" Type="http://schemas.openxmlformats.org/officeDocument/2006/relationships/endnotes" Target="endnote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2026-08-14T04:08:10Z</dcterms:created>
  <dcterms:modified xsi:type="dcterms:W3CDTF">2026-08-14T04:08:10Z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