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155e66b78e5e7a7eba3c26faad42191a9bd683"/>
    <w:p>
      <w:pPr>
        <w:pStyle w:val="Heading1"/>
      </w:pPr>
      <w:r>
        <w:t xml:space="preserve">STROBE Statement—Checklist of items that should be included in reports of cohort studies</w:t>
      </w:r>
    </w:p>
    <w:p>
      <w:pPr>
        <w:pStyle w:val="FirstParagraph"/>
      </w:pPr>
      <w:r>
        <w:t xml:space="preserve">Manuscript title: Intrapartum determinants of early postpartum pelvic floor electrophysiological dysfunction and clinical symptoms: a retrospective cohort study linking delivery records and pelvic floor assessment data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Recommendation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Reported 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Title and abstract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(a) Indicate the study’s design with a commonly used term in the title or the abstract; (b) Provide in the abstract an informative and balanced summary of what was done and what was found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 (</w:t>
            </w:r>
            <w:r>
              <w:t xml:space="preserve">“</w:t>
            </w:r>
            <w:r>
              <w:t xml:space="preserve">a retrospective cohort study</w:t>
            </w:r>
            <w:r>
              <w:t xml:space="preserve">”</w:t>
            </w:r>
            <w:r>
              <w:t xml:space="preserve">); Abstract (all sections)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Introduction—Background/rationale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Explain the scientific background and rationale for the investigation being reported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Background, paragraphs 1–2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Introduction—Objectives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specific objectives, including any prespecified hypotheses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Background, final paragraph (three research questions)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Methods—Study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Present key elements of study design early in the 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Methods—Study design and data 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Methods—Setting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the setting, locations, and relevant dates, including periods of recruitment, exposure, follow-up, and 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Methods—Study design and data sources (single tertiary maternity center, Zhejiang, China; January 2023–2026)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Methods—Participants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(a) Give the eligibility criteria, and the sources and methods of selection of participants. Describe methods of follow-up; (b) For matched studies, give matching criteria and number of exposed and unexposed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Methods—Study population; Results—Study population and selection; Figure 1; (b) Statistical analysis (propensity-score matching: 1:3, caliper 0.2 SD; 39 forceps vs 114 controls)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Methods—Variables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Clearly define all outcomes, exposures, predictors, potential confounders, and effect modifiers. Give diagnostic criteria, if applicable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Methods—Exposure; Outcomes; Covariates and causal framework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Methods—Data sources/measurement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each variable of interest, give sources of data and details of methods of assessment (measurement). Describe comparability of assessment methods if there is more than one group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Methods—Study design and data sources; Outcomes (Glazer-protocol sEMG, modified Oxford scale, clinician-recorded diagnoses)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Methods—Bias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Describe any efforts to address potential sources of bias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Methods—Study population (included-vs-excluded comparison); Statistical analysis (sequential adjustment, propensity-score matching); Discussion—Strengths and limitations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Methods—Study size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Explain how the study size was arrived 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Methods—Study population (all eligible women with complete data during the study period; n=1,129)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Methods—Quantitative variables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Explain how quantitative variables were handled in the analyses. If applicable, describe which groupings were chosen and why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Methods—Statistical analysis (second-stage duration as continuous variable, restricted cubic splines, and thresholds at 60/90/120 min)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Methods—Statistical methods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(a) Describe all statistical methods, including those used to control for confounding; (b) Describe any methods used to examine subgroups and interactions; (c) Explain how missing data were addressed; (d) If applicable, explain how loss to follow-up was addressed; (e) Describe any sensitivity analyses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(a) Statistical analysis (sequential multivariable models, ordinal logistic regression, logistic regression); (b) Discussion (subgroup power limitation); (c) complete-case analysis with included-vs-excluded comparison (Table S1); (d) not applicable (cross-sectional outcome assessment); (e) propensity-score matching; forceps-exclusion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Results—Participants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(a) Report numbers of individuals at each stage of study; (b) Give reasons for non-participation at each stage; (c) Consider use of a flow diagram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Results—Study population and selection; Figure 1 (flow diagram with exclusion reasons)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Results—Descriptive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(a) Give characteristics of study participants and information on exposures and potential confounders; (b) Indicate number of participants with missing data for each variable of interest; (c) Summarise follow-up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(a) Table 1; (b) Table S1; Figure 1; (c) delivery-to-assessment interval reported (median 49 days, IQR 43–61)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Results—Outcome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numbers of outcome events or summary measures over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Table 2 (sEMG, manual muscle testing, symptom prevalences with n/N)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Results—Main results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(a) Give unadjusted estimates and, if applicable, confounder-adjusted estimates and their precision; (b) Report category boundaries when continuous variables were categorized; (c) If relevant, consider translating estimates of relative risk into absolute risk for a meaningful time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(a) Tables 2–3 (crude and adjusted β with 95% CI); Figures 3–5 (adjusted β/OR with 95% CI); (b) thresholds 60/90/120 min; (c) symptom prevalences reported as % (n/N)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Results—Other analyses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other analyses done—e.g., analyses of subgroups and interactions, and sensitivity analyses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Results—Propensity-score-matched sensitivity analysis; spline and threshold analyses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Discussion—Key results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Summarise key results with reference to study objectives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Discussion—Principal findings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Discussion—Limitations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 limitations of the study, taking into account sources of potential bias or imprecision. Discuss both direction and magnitude of any potential bias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Discussion—Strengths and limitations (six limitations, including selection, outcome misclassification, rare outcomes, small forceps subgroup, residual confounding, time course)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Discussion—Interpretation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Discussion—Comparison with existing literature; Mechanisms and clinical implications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Discussion—Generalisability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 the generalisability (external validity) of the study results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Discussion—Strengths and limitations (single-center, clinic-attending population)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Other information—Funding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Give the source of funding and the role of the funders for the present study and, if applicable, for the original study on which the present article is based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Declarations—Funding [to be completed by authors]</w:t>
            </w:r>
          </w:p>
        </w:tc>
      </w:tr>
    </w:tbl>
    <w:bookmarkEnd w:id="20"/>
    <w:sectPr>
      <w:endnotePr>
        <w:numFmt w:val="decimal"/>
      </w:end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endnotes.xml><?xml version="1.0" encoding="utf-8"?>
<w:endnotes xmlns:w="http://schemas.openxmlformats.org/wordprocessingml/2006/main" xmlns:r="http://schemas.openxmlformats.org/officeDocument/2006/relationships">
  <w:endnotePr>
    <w:numFmt w:val="decimal"/>
  </w:endnotePr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9" Type="http://schemas.openxmlformats.org/officeDocument/2006/relationships/endnotes" Target="endnote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2026-08-14T04:07:57Z</dcterms:created>
  <dcterms:modified xsi:type="dcterms:W3CDTF">2026-08-14T04:07:57Z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