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60"/>
      </w:pPr>
      <w:r>
        <w:rPr>
          <w:b/>
          <w:sz w:val="36"/>
          <w:szCs w:val="36"/>
        </w:rPr>
        <w:t xml:space="preserve">Survey Questionnaire (English Version)</w:t>
      </w:r>
    </w:p>
    <w:p>
      <w:pPr>
        <w:jc w:val="center"/>
        <w:spacing w:after="240"/>
      </w:pPr>
      <w:r>
        <w:rPr>
          <w:b/>
          <w:sz w:val="28"/>
          <w:szCs w:val="28"/>
        </w:rPr>
        <w:t xml:space="preserve">Informed Consent for Anesthesia Skills-Based Teaching (Anesthesia Residents, First Affiliated Hospital)</w:t>
      </w:r>
    </w:p>
    <w:p>
      <w:pPr>
        <w:spacing w:after="240"/>
      </w:pPr>
      <w:r>
        <w:rPr>
          <w:i/>
          <w:sz w:val="22"/>
          <w:szCs w:val="22"/>
        </w:rPr>
        <w:t xml:space="preserve">This questionnaire was developed by the research team specifically for this study and has not been previously published elsewhere. It was administered anonymously through an online survey platform. The document below presents the complete set of questions and response options in English (Part I), followed by the response summary for each item (Part II). All figures are the raw data exported directly from the survey platform and have not been modified.</w:t>
      </w:r>
    </w:p>
    <w:p>
      <w:pPr>
        <w:spacing w:after="240"/>
      </w:pPr>
      <w:r>
        <w:rPr>
          <w:b/>
          <w:sz w:val="24"/>
          <w:szCs w:val="24"/>
        </w:rPr>
        <w:t xml:space="preserve">Total number of valid responses: 64</w:t>
      </w:r>
    </w:p>
    <w:p>
      <w:pPr>
        <w:spacing w:after="160"/>
      </w:pPr>
      <w:r>
        <w:rPr>
          <w:b/>
          <w:sz w:val="28"/>
          <w:szCs w:val="28"/>
          <w:color w:val="1F4E79"/>
        </w:rPr>
        <w:t xml:space="preserve">Part I. Questionnaire items and response options</w:t>
      </w:r>
    </w:p>
    <w:p>
      <w:pPr>
        <w:spacing w:after="80"/>
      </w:pPr>
      <w:r>
        <w:rPr>
          <w:b/>
          <w:sz w:val="24"/>
          <w:szCs w:val="24"/>
        </w:rPr>
        <w:t xml:space="preserve">Q1. What is your gender?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Male</w:t>
            </w:r>
          </w:p>
        </w:tc>
        <w:tc>
          <w:tcPr>
            <w:tcW w:w="1200" w:type="dxa"/>
            <w:vAlign w:val="center"/>
          </w:tcPr>
          <w:p>
            <w:pPr>
              <w:spacing w:after="20"/>
            </w:pPr>
            <w:r>
              <w:rPr>
                <w:sz w:val="20"/>
                <w:szCs w:val="20"/>
              </w:rPr>
              <w:t xml:space="preserve">26</w:t>
            </w:r>
          </w:p>
        </w:tc>
        <w:tc>
          <w:tcPr>
            <w:tcW w:w="1600" w:type="dxa"/>
            <w:vAlign w:val="center"/>
          </w:tcPr>
          <w:p>
            <w:pPr>
              <w:spacing w:after="20"/>
            </w:pPr>
            <w:r>
              <w:rPr>
                <w:sz w:val="20"/>
                <w:szCs w:val="20"/>
              </w:rPr>
              <w:t xml:space="preserve">40.63%</w:t>
            </w:r>
          </w:p>
        </w:tc>
      </w:tr>
      <w:tr>
        <w:tc>
          <w:tcPr>
            <w:tcW w:w="5600" w:type="dxa"/>
            <w:vAlign w:val="center"/>
          </w:tcPr>
          <w:p>
            <w:pPr>
              <w:spacing w:after="20"/>
            </w:pPr>
            <w:r>
              <w:rPr>
                <w:sz w:val="20"/>
                <w:szCs w:val="20"/>
              </w:rPr>
              <w:t xml:space="preserve">Female</w:t>
            </w:r>
          </w:p>
        </w:tc>
        <w:tc>
          <w:tcPr>
            <w:tcW w:w="1200" w:type="dxa"/>
            <w:vAlign w:val="center"/>
          </w:tcPr>
          <w:p>
            <w:pPr>
              <w:spacing w:after="20"/>
            </w:pPr>
            <w:r>
              <w:rPr>
                <w:sz w:val="20"/>
                <w:szCs w:val="20"/>
              </w:rPr>
              <w:t xml:space="preserve">38</w:t>
            </w:r>
          </w:p>
        </w:tc>
        <w:tc>
          <w:tcPr>
            <w:tcW w:w="1600" w:type="dxa"/>
            <w:vAlign w:val="center"/>
          </w:tcPr>
          <w:p>
            <w:pPr>
              <w:spacing w:after="20"/>
            </w:pPr>
            <w:r>
              <w:rPr>
                <w:sz w:val="20"/>
                <w:szCs w:val="20"/>
              </w:rPr>
              <w:t xml:space="preserve">59.38%</w:t>
            </w:r>
          </w:p>
        </w:tc>
      </w:tr>
    </w:tbl>
    <w:p>
      <w:pPr>
        <w:spacing w:after="200"/>
      </w:pPr>
      <w:r>
        <w:rPr>
          <w:i/>
          <w:sz w:val="20"/>
          <w:szCs w:val="20"/>
        </w:rPr>
        <w:t xml:space="preserve">Valid responses for this item: 64</w:t>
      </w:r>
    </w:p>
    <w:p>
      <w:pPr>
        <w:spacing w:after="80"/>
      </w:pPr>
      <w:r>
        <w:rPr>
          <w:b/>
          <w:sz w:val="24"/>
          <w:szCs w:val="24"/>
        </w:rPr>
        <w:t xml:space="preserve">Q2. What is your current training identity?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Unified recruitment (socially recruited resident)</w:t>
            </w:r>
          </w:p>
        </w:tc>
        <w:tc>
          <w:tcPr>
            <w:tcW w:w="1200" w:type="dxa"/>
            <w:vAlign w:val="center"/>
          </w:tcPr>
          <w:p>
            <w:pPr>
              <w:spacing w:after="20"/>
            </w:pPr>
            <w:r>
              <w:rPr>
                <w:sz w:val="20"/>
                <w:szCs w:val="20"/>
              </w:rPr>
              <w:t xml:space="preserve">25</w:t>
            </w:r>
          </w:p>
        </w:tc>
        <w:tc>
          <w:tcPr>
            <w:tcW w:w="1600" w:type="dxa"/>
            <w:vAlign w:val="center"/>
          </w:tcPr>
          <w:p>
            <w:pPr>
              <w:spacing w:after="20"/>
            </w:pPr>
            <w:r>
              <w:rPr>
                <w:sz w:val="20"/>
                <w:szCs w:val="20"/>
              </w:rPr>
              <w:t xml:space="preserve">39.06%</w:t>
            </w:r>
          </w:p>
        </w:tc>
      </w:tr>
      <w:tr>
        <w:tc>
          <w:tcPr>
            <w:tcW w:w="5600" w:type="dxa"/>
            <w:vAlign w:val="center"/>
          </w:tcPr>
          <w:p>
            <w:pPr>
              <w:spacing w:after="20"/>
            </w:pPr>
            <w:r>
              <w:rPr>
                <w:sz w:val="20"/>
                <w:szCs w:val="20"/>
              </w:rPr>
              <w:t xml:space="preserve">Professional master's degree student (master's degree integrated with standardized residency training)</w:t>
            </w:r>
          </w:p>
        </w:tc>
        <w:tc>
          <w:tcPr>
            <w:tcW w:w="1200" w:type="dxa"/>
            <w:vAlign w:val="center"/>
          </w:tcPr>
          <w:p>
            <w:pPr>
              <w:spacing w:after="20"/>
            </w:pPr>
            <w:r>
              <w:rPr>
                <w:sz w:val="20"/>
                <w:szCs w:val="20"/>
              </w:rPr>
              <w:t xml:space="preserve">39</w:t>
            </w:r>
          </w:p>
        </w:tc>
        <w:tc>
          <w:tcPr>
            <w:tcW w:w="1600" w:type="dxa"/>
            <w:vAlign w:val="center"/>
          </w:tcPr>
          <w:p>
            <w:pPr>
              <w:spacing w:after="20"/>
            </w:pPr>
            <w:r>
              <w:rPr>
                <w:sz w:val="20"/>
                <w:szCs w:val="20"/>
              </w:rPr>
              <w:t xml:space="preserve">60.94%</w:t>
            </w:r>
          </w:p>
        </w:tc>
      </w:tr>
    </w:tbl>
    <w:p>
      <w:pPr>
        <w:spacing w:after="200"/>
      </w:pPr>
      <w:r>
        <w:rPr>
          <w:i/>
          <w:sz w:val="20"/>
          <w:szCs w:val="20"/>
        </w:rPr>
        <w:t xml:space="preserve">Valid responses for this item: 64</w:t>
      </w:r>
    </w:p>
    <w:p>
      <w:pPr>
        <w:spacing w:after="80"/>
      </w:pPr>
      <w:r>
        <w:rPr>
          <w:b/>
          <w:sz w:val="24"/>
          <w:szCs w:val="24"/>
        </w:rPr>
        <w:t xml:space="preserve">Q3. What is your age?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Under 25 years</w:t>
            </w:r>
          </w:p>
        </w:tc>
        <w:tc>
          <w:tcPr>
            <w:tcW w:w="1200" w:type="dxa"/>
            <w:vAlign w:val="center"/>
          </w:tcPr>
          <w:p>
            <w:pPr>
              <w:spacing w:after="20"/>
            </w:pPr>
            <w:r>
              <w:rPr>
                <w:sz w:val="20"/>
                <w:szCs w:val="20"/>
              </w:rPr>
              <w:t xml:space="preserve">35</w:t>
            </w:r>
          </w:p>
        </w:tc>
        <w:tc>
          <w:tcPr>
            <w:tcW w:w="1600" w:type="dxa"/>
            <w:vAlign w:val="center"/>
          </w:tcPr>
          <w:p>
            <w:pPr>
              <w:spacing w:after="20"/>
            </w:pPr>
            <w:r>
              <w:rPr>
                <w:sz w:val="20"/>
                <w:szCs w:val="20"/>
              </w:rPr>
              <w:t xml:space="preserve">54.69%</w:t>
            </w:r>
          </w:p>
        </w:tc>
      </w:tr>
      <w:tr>
        <w:tc>
          <w:tcPr>
            <w:tcW w:w="5600" w:type="dxa"/>
            <w:vAlign w:val="center"/>
          </w:tcPr>
          <w:p>
            <w:pPr>
              <w:spacing w:after="20"/>
            </w:pPr>
            <w:r>
              <w:rPr>
                <w:sz w:val="20"/>
                <w:szCs w:val="20"/>
              </w:rPr>
              <w:t xml:space="preserve">26-30 years</w:t>
            </w:r>
          </w:p>
        </w:tc>
        <w:tc>
          <w:tcPr>
            <w:tcW w:w="1200" w:type="dxa"/>
            <w:vAlign w:val="center"/>
          </w:tcPr>
          <w:p>
            <w:pPr>
              <w:spacing w:after="20"/>
            </w:pPr>
            <w:r>
              <w:rPr>
                <w:sz w:val="20"/>
                <w:szCs w:val="20"/>
              </w:rPr>
              <w:t xml:space="preserve">27</w:t>
            </w:r>
          </w:p>
        </w:tc>
        <w:tc>
          <w:tcPr>
            <w:tcW w:w="1600" w:type="dxa"/>
            <w:vAlign w:val="center"/>
          </w:tcPr>
          <w:p>
            <w:pPr>
              <w:spacing w:after="20"/>
            </w:pPr>
            <w:r>
              <w:rPr>
                <w:sz w:val="20"/>
                <w:szCs w:val="20"/>
              </w:rPr>
              <w:t xml:space="preserve">42.19%</w:t>
            </w:r>
          </w:p>
        </w:tc>
      </w:tr>
      <w:tr>
        <w:tc>
          <w:tcPr>
            <w:tcW w:w="5600" w:type="dxa"/>
            <w:vAlign w:val="center"/>
          </w:tcPr>
          <w:p>
            <w:pPr>
              <w:spacing w:after="20"/>
            </w:pPr>
            <w:r>
              <w:rPr>
                <w:sz w:val="20"/>
                <w:szCs w:val="20"/>
              </w:rPr>
              <w:t xml:space="preserve">31-35 years</w:t>
            </w:r>
          </w:p>
        </w:tc>
        <w:tc>
          <w:tcPr>
            <w:tcW w:w="1200" w:type="dxa"/>
            <w:vAlign w:val="center"/>
          </w:tcPr>
          <w:p>
            <w:pPr>
              <w:spacing w:after="20"/>
            </w:pPr>
            <w:r>
              <w:rPr>
                <w:sz w:val="20"/>
                <w:szCs w:val="20"/>
              </w:rPr>
              <w:t xml:space="preserve">2</w:t>
            </w:r>
          </w:p>
        </w:tc>
        <w:tc>
          <w:tcPr>
            <w:tcW w:w="1600" w:type="dxa"/>
            <w:vAlign w:val="center"/>
          </w:tcPr>
          <w:p>
            <w:pPr>
              <w:spacing w:after="20"/>
            </w:pPr>
            <w:r>
              <w:rPr>
                <w:sz w:val="20"/>
                <w:szCs w:val="20"/>
              </w:rPr>
              <w:t xml:space="preserve">3.13%</w:t>
            </w:r>
          </w:p>
        </w:tc>
      </w:tr>
    </w:tbl>
    <w:p>
      <w:pPr>
        <w:spacing w:after="200"/>
      </w:pPr>
      <w:r>
        <w:rPr>
          <w:i/>
          <w:sz w:val="20"/>
          <w:szCs w:val="20"/>
        </w:rPr>
        <w:t xml:space="preserve">Valid responses for this item: 64</w:t>
      </w:r>
    </w:p>
    <w:p>
      <w:pPr>
        <w:spacing w:after="80"/>
      </w:pPr>
      <w:r>
        <w:rPr>
          <w:b/>
          <w:sz w:val="24"/>
          <w:szCs w:val="24"/>
        </w:rPr>
        <w:t xml:space="preserve">Q4. In which year of standardized residency training are you?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Year 1</w:t>
            </w:r>
          </w:p>
        </w:tc>
        <w:tc>
          <w:tcPr>
            <w:tcW w:w="1200" w:type="dxa"/>
            <w:vAlign w:val="center"/>
          </w:tcPr>
          <w:p>
            <w:pPr>
              <w:spacing w:after="20"/>
            </w:pPr>
            <w:r>
              <w:rPr>
                <w:sz w:val="20"/>
                <w:szCs w:val="20"/>
              </w:rPr>
              <w:t xml:space="preserve">31</w:t>
            </w:r>
          </w:p>
        </w:tc>
        <w:tc>
          <w:tcPr>
            <w:tcW w:w="1600" w:type="dxa"/>
            <w:vAlign w:val="center"/>
          </w:tcPr>
          <w:p>
            <w:pPr>
              <w:spacing w:after="20"/>
            </w:pPr>
            <w:r>
              <w:rPr>
                <w:sz w:val="20"/>
                <w:szCs w:val="20"/>
              </w:rPr>
              <w:t xml:space="preserve">48.44%</w:t>
            </w:r>
          </w:p>
        </w:tc>
      </w:tr>
      <w:tr>
        <w:tc>
          <w:tcPr>
            <w:tcW w:w="5600" w:type="dxa"/>
            <w:vAlign w:val="center"/>
          </w:tcPr>
          <w:p>
            <w:pPr>
              <w:spacing w:after="20"/>
            </w:pPr>
            <w:r>
              <w:rPr>
                <w:sz w:val="20"/>
                <w:szCs w:val="20"/>
              </w:rPr>
              <w:t xml:space="preserve">Year 2</w:t>
            </w:r>
          </w:p>
        </w:tc>
        <w:tc>
          <w:tcPr>
            <w:tcW w:w="1200" w:type="dxa"/>
            <w:vAlign w:val="center"/>
          </w:tcPr>
          <w:p>
            <w:pPr>
              <w:spacing w:after="20"/>
            </w:pPr>
            <w:r>
              <w:rPr>
                <w:sz w:val="20"/>
                <w:szCs w:val="20"/>
              </w:rPr>
              <w:t xml:space="preserve">18</w:t>
            </w:r>
          </w:p>
        </w:tc>
        <w:tc>
          <w:tcPr>
            <w:tcW w:w="1600" w:type="dxa"/>
            <w:vAlign w:val="center"/>
          </w:tcPr>
          <w:p>
            <w:pPr>
              <w:spacing w:after="20"/>
            </w:pPr>
            <w:r>
              <w:rPr>
                <w:sz w:val="20"/>
                <w:szCs w:val="20"/>
              </w:rPr>
              <w:t xml:space="preserve">28.13%</w:t>
            </w:r>
          </w:p>
        </w:tc>
      </w:tr>
      <w:tr>
        <w:tc>
          <w:tcPr>
            <w:tcW w:w="5600" w:type="dxa"/>
            <w:vAlign w:val="center"/>
          </w:tcPr>
          <w:p>
            <w:pPr>
              <w:spacing w:after="20"/>
            </w:pPr>
            <w:r>
              <w:rPr>
                <w:sz w:val="20"/>
                <w:szCs w:val="20"/>
              </w:rPr>
              <w:t xml:space="preserve">Year 3 (recently graduated)</w:t>
            </w:r>
          </w:p>
        </w:tc>
        <w:tc>
          <w:tcPr>
            <w:tcW w:w="1200" w:type="dxa"/>
            <w:vAlign w:val="center"/>
          </w:tcPr>
          <w:p>
            <w:pPr>
              <w:spacing w:after="20"/>
            </w:pPr>
            <w:r>
              <w:rPr>
                <w:sz w:val="20"/>
                <w:szCs w:val="20"/>
              </w:rPr>
              <w:t xml:space="preserve">15</w:t>
            </w:r>
          </w:p>
        </w:tc>
        <w:tc>
          <w:tcPr>
            <w:tcW w:w="1600" w:type="dxa"/>
            <w:vAlign w:val="center"/>
          </w:tcPr>
          <w:p>
            <w:pPr>
              <w:spacing w:after="20"/>
            </w:pPr>
            <w:r>
              <w:rPr>
                <w:sz w:val="20"/>
                <w:szCs w:val="20"/>
              </w:rPr>
              <w:t xml:space="preserve">23.44%</w:t>
            </w:r>
          </w:p>
        </w:tc>
      </w:tr>
    </w:tbl>
    <w:p>
      <w:pPr>
        <w:spacing w:after="200"/>
      </w:pPr>
      <w:r>
        <w:rPr>
          <w:i/>
          <w:sz w:val="20"/>
          <w:szCs w:val="20"/>
        </w:rPr>
        <w:t xml:space="preserve">Valid responses for this item: 64</w:t>
      </w:r>
    </w:p>
    <w:p>
      <w:pPr>
        <w:spacing w:after="80"/>
      </w:pPr>
      <w:r>
        <w:rPr>
          <w:b/>
          <w:sz w:val="24"/>
          <w:szCs w:val="24"/>
        </w:rPr>
        <w:t xml:space="preserve">Q5. Do you believe that, in your current situation, you can independently complete routine anesthetic work? (Independence means that more than 80% of routine work requires no intervention from senior physicians.)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Yes</w:t>
            </w:r>
          </w:p>
        </w:tc>
        <w:tc>
          <w:tcPr>
            <w:tcW w:w="1200" w:type="dxa"/>
            <w:vAlign w:val="center"/>
          </w:tcPr>
          <w:p>
            <w:pPr>
              <w:spacing w:after="20"/>
            </w:pPr>
            <w:r>
              <w:rPr>
                <w:sz w:val="20"/>
                <w:szCs w:val="20"/>
              </w:rPr>
              <w:t xml:space="preserve">40</w:t>
            </w:r>
          </w:p>
        </w:tc>
        <w:tc>
          <w:tcPr>
            <w:tcW w:w="1600" w:type="dxa"/>
            <w:vAlign w:val="center"/>
          </w:tcPr>
          <w:p>
            <w:pPr>
              <w:spacing w:after="20"/>
            </w:pPr>
            <w:r>
              <w:rPr>
                <w:sz w:val="20"/>
                <w:szCs w:val="20"/>
              </w:rPr>
              <w:t xml:space="preserve">62.5%</w:t>
            </w:r>
          </w:p>
        </w:tc>
      </w:tr>
      <w:tr>
        <w:tc>
          <w:tcPr>
            <w:tcW w:w="5600" w:type="dxa"/>
            <w:vAlign w:val="center"/>
          </w:tcPr>
          <w:p>
            <w:pPr>
              <w:spacing w:after="20"/>
            </w:pPr>
            <w:r>
              <w:rPr>
                <w:sz w:val="20"/>
                <w:szCs w:val="20"/>
              </w:rPr>
              <w:t xml:space="preserve">No</w:t>
            </w:r>
          </w:p>
        </w:tc>
        <w:tc>
          <w:tcPr>
            <w:tcW w:w="1200" w:type="dxa"/>
            <w:vAlign w:val="center"/>
          </w:tcPr>
          <w:p>
            <w:pPr>
              <w:spacing w:after="20"/>
            </w:pPr>
            <w:r>
              <w:rPr>
                <w:sz w:val="20"/>
                <w:szCs w:val="20"/>
              </w:rPr>
              <w:t xml:space="preserve">24</w:t>
            </w:r>
          </w:p>
        </w:tc>
        <w:tc>
          <w:tcPr>
            <w:tcW w:w="1600" w:type="dxa"/>
            <w:vAlign w:val="center"/>
          </w:tcPr>
          <w:p>
            <w:pPr>
              <w:spacing w:after="20"/>
            </w:pPr>
            <w:r>
              <w:rPr>
                <w:sz w:val="20"/>
                <w:szCs w:val="20"/>
              </w:rPr>
              <w:t xml:space="preserve">37.5%</w:t>
            </w:r>
          </w:p>
        </w:tc>
      </w:tr>
    </w:tbl>
    <w:p>
      <w:pPr>
        <w:spacing w:after="200"/>
      </w:pPr>
      <w:r>
        <w:rPr>
          <w:i/>
          <w:sz w:val="20"/>
          <w:szCs w:val="20"/>
        </w:rPr>
        <w:t xml:space="preserve">Valid responses for this item: 64</w:t>
      </w:r>
    </w:p>
    <w:p>
      <w:pPr>
        <w:spacing w:after="80"/>
      </w:pPr>
      <w:r>
        <w:rPr>
          <w:b/>
          <w:sz w:val="24"/>
          <w:szCs w:val="24"/>
        </w:rPr>
        <w:t xml:space="preserve">Q6. How many months of anesthesia rotation have you completed?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0-6 months</w:t>
            </w:r>
          </w:p>
        </w:tc>
        <w:tc>
          <w:tcPr>
            <w:tcW w:w="1200" w:type="dxa"/>
            <w:vAlign w:val="center"/>
          </w:tcPr>
          <w:p>
            <w:pPr>
              <w:spacing w:after="20"/>
            </w:pPr>
            <w:r>
              <w:rPr>
                <w:sz w:val="20"/>
                <w:szCs w:val="20"/>
              </w:rPr>
              <w:t xml:space="preserve">19</w:t>
            </w:r>
          </w:p>
        </w:tc>
        <w:tc>
          <w:tcPr>
            <w:tcW w:w="1600" w:type="dxa"/>
            <w:vAlign w:val="center"/>
          </w:tcPr>
          <w:p>
            <w:pPr>
              <w:spacing w:after="20"/>
            </w:pPr>
            <w:r>
              <w:rPr>
                <w:sz w:val="20"/>
                <w:szCs w:val="20"/>
              </w:rPr>
              <w:t xml:space="preserve">29.69%</w:t>
            </w:r>
          </w:p>
        </w:tc>
      </w:tr>
      <w:tr>
        <w:tc>
          <w:tcPr>
            <w:tcW w:w="5600" w:type="dxa"/>
            <w:vAlign w:val="center"/>
          </w:tcPr>
          <w:p>
            <w:pPr>
              <w:spacing w:after="20"/>
            </w:pPr>
            <w:r>
              <w:rPr>
                <w:sz w:val="20"/>
                <w:szCs w:val="20"/>
              </w:rPr>
              <w:t xml:space="preserve">7-12 months</w:t>
            </w:r>
          </w:p>
        </w:tc>
        <w:tc>
          <w:tcPr>
            <w:tcW w:w="1200" w:type="dxa"/>
            <w:vAlign w:val="center"/>
          </w:tcPr>
          <w:p>
            <w:pPr>
              <w:spacing w:after="20"/>
            </w:pPr>
            <w:r>
              <w:rPr>
                <w:sz w:val="20"/>
                <w:szCs w:val="20"/>
              </w:rPr>
              <w:t xml:space="preserve">15</w:t>
            </w:r>
          </w:p>
        </w:tc>
        <w:tc>
          <w:tcPr>
            <w:tcW w:w="1600" w:type="dxa"/>
            <w:vAlign w:val="center"/>
          </w:tcPr>
          <w:p>
            <w:pPr>
              <w:spacing w:after="20"/>
            </w:pPr>
            <w:r>
              <w:rPr>
                <w:sz w:val="20"/>
                <w:szCs w:val="20"/>
              </w:rPr>
              <w:t xml:space="preserve">23.44%</w:t>
            </w:r>
          </w:p>
        </w:tc>
      </w:tr>
      <w:tr>
        <w:tc>
          <w:tcPr>
            <w:tcW w:w="5600" w:type="dxa"/>
            <w:vAlign w:val="center"/>
          </w:tcPr>
          <w:p>
            <w:pPr>
              <w:spacing w:after="20"/>
            </w:pPr>
            <w:r>
              <w:rPr>
                <w:sz w:val="20"/>
                <w:szCs w:val="20"/>
              </w:rPr>
              <w:t xml:space="preserve">13-18 months</w:t>
            </w:r>
          </w:p>
        </w:tc>
        <w:tc>
          <w:tcPr>
            <w:tcW w:w="1200" w:type="dxa"/>
            <w:vAlign w:val="center"/>
          </w:tcPr>
          <w:p>
            <w:pPr>
              <w:spacing w:after="20"/>
            </w:pPr>
            <w:r>
              <w:rPr>
                <w:sz w:val="20"/>
                <w:szCs w:val="20"/>
              </w:rPr>
              <w:t xml:space="preserve">16</w:t>
            </w:r>
          </w:p>
        </w:tc>
        <w:tc>
          <w:tcPr>
            <w:tcW w:w="1600" w:type="dxa"/>
            <w:vAlign w:val="center"/>
          </w:tcPr>
          <w:p>
            <w:pPr>
              <w:spacing w:after="20"/>
            </w:pPr>
            <w:r>
              <w:rPr>
                <w:sz w:val="20"/>
                <w:szCs w:val="20"/>
              </w:rPr>
              <w:t xml:space="preserve">25%</w:t>
            </w:r>
          </w:p>
        </w:tc>
      </w:tr>
      <w:tr>
        <w:tc>
          <w:tcPr>
            <w:tcW w:w="5600" w:type="dxa"/>
            <w:vAlign w:val="center"/>
          </w:tcPr>
          <w:p>
            <w:pPr>
              <w:spacing w:after="20"/>
            </w:pPr>
            <w:r>
              <w:rPr>
                <w:sz w:val="20"/>
                <w:szCs w:val="20"/>
              </w:rPr>
              <w:t xml:space="preserve">19 months or more</w:t>
            </w:r>
          </w:p>
        </w:tc>
        <w:tc>
          <w:tcPr>
            <w:tcW w:w="1200" w:type="dxa"/>
            <w:vAlign w:val="center"/>
          </w:tcPr>
          <w:p>
            <w:pPr>
              <w:spacing w:after="20"/>
            </w:pPr>
            <w:r>
              <w:rPr>
                <w:sz w:val="20"/>
                <w:szCs w:val="20"/>
              </w:rPr>
              <w:t xml:space="preserve">14</w:t>
            </w:r>
          </w:p>
        </w:tc>
        <w:tc>
          <w:tcPr>
            <w:tcW w:w="1600" w:type="dxa"/>
            <w:vAlign w:val="center"/>
          </w:tcPr>
          <w:p>
            <w:pPr>
              <w:spacing w:after="20"/>
            </w:pPr>
            <w:r>
              <w:rPr>
                <w:sz w:val="20"/>
                <w:szCs w:val="20"/>
              </w:rPr>
              <w:t xml:space="preserve">21.88%</w:t>
            </w:r>
          </w:p>
        </w:tc>
      </w:tr>
    </w:tbl>
    <w:p>
      <w:pPr>
        <w:spacing w:after="200"/>
      </w:pPr>
      <w:r>
        <w:rPr>
          <w:i/>
          <w:sz w:val="20"/>
          <w:szCs w:val="20"/>
        </w:rPr>
        <w:t xml:space="preserve">Valid responses for this item: 64</w:t>
      </w:r>
    </w:p>
    <w:p>
      <w:pPr>
        <w:spacing w:after="80"/>
      </w:pPr>
      <w:r>
        <w:rPr>
          <w:b/>
          <w:sz w:val="24"/>
          <w:szCs w:val="24"/>
        </w:rPr>
        <w:t xml:space="preserve">Q7. Which subspecialty do you plan to pursue in the future? (Multiple choice)  [Multiple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Clinical anesthesiology</w:t>
            </w:r>
          </w:p>
        </w:tc>
        <w:tc>
          <w:tcPr>
            <w:tcW w:w="1200" w:type="dxa"/>
            <w:vAlign w:val="center"/>
          </w:tcPr>
          <w:p>
            <w:pPr>
              <w:spacing w:after="20"/>
            </w:pPr>
            <w:r>
              <w:rPr>
                <w:sz w:val="20"/>
                <w:szCs w:val="20"/>
              </w:rPr>
              <w:t xml:space="preserve">55</w:t>
            </w:r>
          </w:p>
        </w:tc>
        <w:tc>
          <w:tcPr>
            <w:tcW w:w="1600" w:type="dxa"/>
            <w:vAlign w:val="center"/>
          </w:tcPr>
          <w:p>
            <w:pPr>
              <w:spacing w:after="20"/>
            </w:pPr>
            <w:r>
              <w:rPr>
                <w:sz w:val="20"/>
                <w:szCs w:val="20"/>
              </w:rPr>
              <w:t xml:space="preserve">85.94%</w:t>
            </w:r>
          </w:p>
        </w:tc>
      </w:tr>
      <w:tr>
        <w:tc>
          <w:tcPr>
            <w:tcW w:w="5600" w:type="dxa"/>
            <w:vAlign w:val="center"/>
          </w:tcPr>
          <w:p>
            <w:pPr>
              <w:spacing w:after="20"/>
            </w:pPr>
            <w:r>
              <w:rPr>
                <w:sz w:val="20"/>
                <w:szCs w:val="20"/>
              </w:rPr>
              <w:t xml:space="preserve">Pain medicine</w:t>
            </w:r>
          </w:p>
        </w:tc>
        <w:tc>
          <w:tcPr>
            <w:tcW w:w="1200" w:type="dxa"/>
            <w:vAlign w:val="center"/>
          </w:tcPr>
          <w:p>
            <w:pPr>
              <w:spacing w:after="20"/>
            </w:pPr>
            <w:r>
              <w:rPr>
                <w:sz w:val="20"/>
                <w:szCs w:val="20"/>
              </w:rPr>
              <w:t xml:space="preserve">17</w:t>
            </w:r>
          </w:p>
        </w:tc>
        <w:tc>
          <w:tcPr>
            <w:tcW w:w="1600" w:type="dxa"/>
            <w:vAlign w:val="center"/>
          </w:tcPr>
          <w:p>
            <w:pPr>
              <w:spacing w:after="20"/>
            </w:pPr>
            <w:r>
              <w:rPr>
                <w:sz w:val="20"/>
                <w:szCs w:val="20"/>
              </w:rPr>
              <w:t xml:space="preserve">26.56%</w:t>
            </w:r>
          </w:p>
        </w:tc>
      </w:tr>
      <w:tr>
        <w:tc>
          <w:tcPr>
            <w:tcW w:w="5600" w:type="dxa"/>
            <w:vAlign w:val="center"/>
          </w:tcPr>
          <w:p>
            <w:pPr>
              <w:spacing w:after="20"/>
            </w:pPr>
            <w:r>
              <w:rPr>
                <w:sz w:val="20"/>
                <w:szCs w:val="20"/>
              </w:rPr>
              <w:t xml:space="preserve">Critical care medicine</w:t>
            </w:r>
          </w:p>
        </w:tc>
        <w:tc>
          <w:tcPr>
            <w:tcW w:w="1200" w:type="dxa"/>
            <w:vAlign w:val="center"/>
          </w:tcPr>
          <w:p>
            <w:pPr>
              <w:spacing w:after="20"/>
            </w:pPr>
            <w:r>
              <w:rPr>
                <w:sz w:val="20"/>
                <w:szCs w:val="20"/>
              </w:rPr>
              <w:t xml:space="preserve">7</w:t>
            </w:r>
          </w:p>
        </w:tc>
        <w:tc>
          <w:tcPr>
            <w:tcW w:w="1600" w:type="dxa"/>
            <w:vAlign w:val="center"/>
          </w:tcPr>
          <w:p>
            <w:pPr>
              <w:spacing w:after="20"/>
            </w:pPr>
            <w:r>
              <w:rPr>
                <w:sz w:val="20"/>
                <w:szCs w:val="20"/>
              </w:rPr>
              <w:t xml:space="preserve">10.94%</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9</w:t>
            </w:r>
          </w:p>
        </w:tc>
        <w:tc>
          <w:tcPr>
            <w:tcW w:w="1600" w:type="dxa"/>
            <w:vAlign w:val="center"/>
          </w:tcPr>
          <w:p>
            <w:pPr>
              <w:spacing w:after="20"/>
            </w:pPr>
            <w:r>
              <w:rPr>
                <w:sz w:val="20"/>
                <w:szCs w:val="20"/>
              </w:rPr>
              <w:t xml:space="preserve">14.06%</w:t>
            </w:r>
          </w:p>
        </w:tc>
      </w:tr>
    </w:tbl>
    <w:p>
      <w:pPr>
        <w:spacing w:after="200"/>
      </w:pPr>
      <w:r>
        <w:rPr>
          <w:i/>
          <w:sz w:val="20"/>
          <w:szCs w:val="20"/>
        </w:rPr>
        <w:t xml:space="preserve">Valid responses for this item: 64</w:t>
      </w:r>
    </w:p>
    <w:p>
      <w:pPr>
        <w:spacing w:after="80"/>
      </w:pPr>
      <w:r>
        <w:rPr>
          <w:b/>
          <w:sz w:val="24"/>
          <w:szCs w:val="24"/>
        </w:rPr>
        <w:t xml:space="preserve">Q8. What is the informed consent process for anesthesia teaching supervision at your hospital?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A dedicated written consent form (e.g., a separate clause for anesthesia teaching consent)</w:t>
            </w:r>
          </w:p>
        </w:tc>
        <w:tc>
          <w:tcPr>
            <w:tcW w:w="1200" w:type="dxa"/>
            <w:vAlign w:val="center"/>
          </w:tcPr>
          <w:p>
            <w:pPr>
              <w:spacing w:after="20"/>
            </w:pPr>
            <w:r>
              <w:rPr>
                <w:sz w:val="20"/>
                <w:szCs w:val="20"/>
              </w:rPr>
              <w:t xml:space="preserve">32</w:t>
            </w:r>
          </w:p>
        </w:tc>
        <w:tc>
          <w:tcPr>
            <w:tcW w:w="1600" w:type="dxa"/>
            <w:vAlign w:val="center"/>
          </w:tcPr>
          <w:p>
            <w:pPr>
              <w:spacing w:after="20"/>
            </w:pPr>
            <w:r>
              <w:rPr>
                <w:sz w:val="20"/>
                <w:szCs w:val="20"/>
              </w:rPr>
              <w:t xml:space="preserve">50%</w:t>
            </w:r>
          </w:p>
        </w:tc>
      </w:tr>
      <w:tr>
        <w:tc>
          <w:tcPr>
            <w:tcW w:w="5600" w:type="dxa"/>
            <w:vAlign w:val="center"/>
          </w:tcPr>
          <w:p>
            <w:pPr>
              <w:spacing w:after="20"/>
            </w:pPr>
            <w:r>
              <w:rPr>
                <w:sz w:val="20"/>
                <w:szCs w:val="20"/>
              </w:rPr>
              <w:t xml:space="preserve">Included in the general surgical/anesthesia consent form</w:t>
            </w:r>
          </w:p>
        </w:tc>
        <w:tc>
          <w:tcPr>
            <w:tcW w:w="1200" w:type="dxa"/>
            <w:vAlign w:val="center"/>
          </w:tcPr>
          <w:p>
            <w:pPr>
              <w:spacing w:after="20"/>
            </w:pPr>
            <w:r>
              <w:rPr>
                <w:sz w:val="20"/>
                <w:szCs w:val="20"/>
              </w:rPr>
              <w:t xml:space="preserve">12</w:t>
            </w:r>
          </w:p>
        </w:tc>
        <w:tc>
          <w:tcPr>
            <w:tcW w:w="1600" w:type="dxa"/>
            <w:vAlign w:val="center"/>
          </w:tcPr>
          <w:p>
            <w:pPr>
              <w:spacing w:after="20"/>
            </w:pPr>
            <w:r>
              <w:rPr>
                <w:sz w:val="20"/>
                <w:szCs w:val="20"/>
              </w:rPr>
              <w:t xml:space="preserve">18.75%</w:t>
            </w:r>
          </w:p>
        </w:tc>
      </w:tr>
      <w:tr>
        <w:tc>
          <w:tcPr>
            <w:tcW w:w="5600" w:type="dxa"/>
            <w:vAlign w:val="center"/>
          </w:tcPr>
          <w:p>
            <w:pPr>
              <w:spacing w:after="20"/>
            </w:pPr>
            <w:r>
              <w:rPr>
                <w:sz w:val="20"/>
                <w:szCs w:val="20"/>
              </w:rPr>
              <w:t xml:space="preserve">Verbal notification only, without written documentation</w:t>
            </w:r>
          </w:p>
        </w:tc>
        <w:tc>
          <w:tcPr>
            <w:tcW w:w="1200" w:type="dxa"/>
            <w:vAlign w:val="center"/>
          </w:tcPr>
          <w:p>
            <w:pPr>
              <w:spacing w:after="20"/>
            </w:pPr>
            <w:r>
              <w:rPr>
                <w:sz w:val="20"/>
                <w:szCs w:val="20"/>
              </w:rPr>
              <w:t xml:space="preserve">3</w:t>
            </w:r>
          </w:p>
        </w:tc>
        <w:tc>
          <w:tcPr>
            <w:tcW w:w="1600" w:type="dxa"/>
            <w:vAlign w:val="center"/>
          </w:tcPr>
          <w:p>
            <w:pPr>
              <w:spacing w:after="20"/>
            </w:pPr>
            <w:r>
              <w:rPr>
                <w:sz w:val="20"/>
                <w:szCs w:val="20"/>
              </w:rPr>
              <w:t xml:space="preserve">4.69%</w:t>
            </w:r>
          </w:p>
        </w:tc>
      </w:tr>
      <w:tr>
        <w:tc>
          <w:tcPr>
            <w:tcW w:w="5600" w:type="dxa"/>
            <w:vAlign w:val="center"/>
          </w:tcPr>
          <w:p>
            <w:pPr>
              <w:spacing w:after="20"/>
            </w:pPr>
            <w:r>
              <w:rPr>
                <w:sz w:val="20"/>
                <w:szCs w:val="20"/>
              </w:rPr>
              <w:t xml:space="preserve">No specific process; consent presumed by default</w:t>
            </w:r>
          </w:p>
        </w:tc>
        <w:tc>
          <w:tcPr>
            <w:tcW w:w="1200" w:type="dxa"/>
            <w:vAlign w:val="center"/>
          </w:tcPr>
          <w:p>
            <w:pPr>
              <w:spacing w:after="20"/>
            </w:pPr>
            <w:r>
              <w:rPr>
                <w:sz w:val="20"/>
                <w:szCs w:val="20"/>
              </w:rPr>
              <w:t xml:space="preserve">6</w:t>
            </w:r>
          </w:p>
        </w:tc>
        <w:tc>
          <w:tcPr>
            <w:tcW w:w="1600" w:type="dxa"/>
            <w:vAlign w:val="center"/>
          </w:tcPr>
          <w:p>
            <w:pPr>
              <w:spacing w:after="20"/>
            </w:pPr>
            <w:r>
              <w:rPr>
                <w:sz w:val="20"/>
                <w:szCs w:val="20"/>
              </w:rPr>
              <w:t xml:space="preserve">9.38%</w:t>
            </w:r>
          </w:p>
        </w:tc>
      </w:tr>
      <w:tr>
        <w:tc>
          <w:tcPr>
            <w:tcW w:w="5600" w:type="dxa"/>
            <w:vAlign w:val="center"/>
          </w:tcPr>
          <w:p>
            <w:pPr>
              <w:spacing w:after="20"/>
            </w:pPr>
            <w:r>
              <w:rPr>
                <w:sz w:val="20"/>
                <w:szCs w:val="20"/>
              </w:rPr>
              <w:t xml:space="preserve">Not sure / unclear</w:t>
            </w:r>
          </w:p>
        </w:tc>
        <w:tc>
          <w:tcPr>
            <w:tcW w:w="1200" w:type="dxa"/>
            <w:vAlign w:val="center"/>
          </w:tcPr>
          <w:p>
            <w:pPr>
              <w:spacing w:after="20"/>
            </w:pPr>
            <w:r>
              <w:rPr>
                <w:sz w:val="20"/>
                <w:szCs w:val="20"/>
              </w:rPr>
              <w:t xml:space="preserve">11</w:t>
            </w:r>
          </w:p>
        </w:tc>
        <w:tc>
          <w:tcPr>
            <w:tcW w:w="1600" w:type="dxa"/>
            <w:vAlign w:val="center"/>
          </w:tcPr>
          <w:p>
            <w:pPr>
              <w:spacing w:after="20"/>
            </w:pPr>
            <w:r>
              <w:rPr>
                <w:sz w:val="20"/>
                <w:szCs w:val="20"/>
              </w:rPr>
              <w:t xml:space="preserve">17.19%</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64</w:t>
      </w:r>
    </w:p>
    <w:p>
      <w:pPr>
        <w:spacing w:after="80"/>
      </w:pPr>
      <w:r>
        <w:rPr>
          <w:b/>
          <w:sz w:val="24"/>
          <w:szCs w:val="24"/>
        </w:rPr>
        <w:t xml:space="preserve">Q9. In your opinion, do anesthesia teaching procedures require separate, explicit informed consent?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Separate consent is mandatory (e.g., a separate signature)</w:t>
            </w:r>
          </w:p>
        </w:tc>
        <w:tc>
          <w:tcPr>
            <w:tcW w:w="1200" w:type="dxa"/>
            <w:vAlign w:val="center"/>
          </w:tcPr>
          <w:p>
            <w:pPr>
              <w:spacing w:after="20"/>
            </w:pPr>
            <w:r>
              <w:rPr>
                <w:sz w:val="20"/>
                <w:szCs w:val="20"/>
              </w:rPr>
              <w:t xml:space="preserve">28</w:t>
            </w:r>
          </w:p>
        </w:tc>
        <w:tc>
          <w:tcPr>
            <w:tcW w:w="1600" w:type="dxa"/>
            <w:vAlign w:val="center"/>
          </w:tcPr>
          <w:p>
            <w:pPr>
              <w:spacing w:after="20"/>
            </w:pPr>
            <w:r>
              <w:rPr>
                <w:sz w:val="20"/>
                <w:szCs w:val="20"/>
              </w:rPr>
              <w:t xml:space="preserve">43.75%</w:t>
            </w:r>
          </w:p>
        </w:tc>
      </w:tr>
      <w:tr>
        <w:tc>
          <w:tcPr>
            <w:tcW w:w="5600" w:type="dxa"/>
            <w:vAlign w:val="center"/>
          </w:tcPr>
          <w:p>
            <w:pPr>
              <w:spacing w:after="20"/>
            </w:pPr>
            <w:r>
              <w:rPr>
                <w:sz w:val="20"/>
                <w:szCs w:val="20"/>
              </w:rPr>
              <w:t xml:space="preserve">Should be explicitly mentioned in the general consent form</w:t>
            </w:r>
          </w:p>
        </w:tc>
        <w:tc>
          <w:tcPr>
            <w:tcW w:w="1200" w:type="dxa"/>
            <w:vAlign w:val="center"/>
          </w:tcPr>
          <w:p>
            <w:pPr>
              <w:spacing w:after="20"/>
            </w:pPr>
            <w:r>
              <w:rPr>
                <w:sz w:val="20"/>
                <w:szCs w:val="20"/>
              </w:rPr>
              <w:t xml:space="preserve">13</w:t>
            </w:r>
          </w:p>
        </w:tc>
        <w:tc>
          <w:tcPr>
            <w:tcW w:w="1600" w:type="dxa"/>
            <w:vAlign w:val="center"/>
          </w:tcPr>
          <w:p>
            <w:pPr>
              <w:spacing w:after="20"/>
            </w:pPr>
            <w:r>
              <w:rPr>
                <w:sz w:val="20"/>
                <w:szCs w:val="20"/>
              </w:rPr>
              <w:t xml:space="preserve">20.31%</w:t>
            </w:r>
          </w:p>
        </w:tc>
      </w:tr>
      <w:tr>
        <w:tc>
          <w:tcPr>
            <w:tcW w:w="5600" w:type="dxa"/>
            <w:vAlign w:val="center"/>
          </w:tcPr>
          <w:p>
            <w:pPr>
              <w:spacing w:after="20"/>
            </w:pPr>
            <w:r>
              <w:rPr>
                <w:sz w:val="20"/>
                <w:szCs w:val="20"/>
              </w:rPr>
              <w:t xml:space="preserve">Verbal notification is sufficient</w:t>
            </w:r>
          </w:p>
        </w:tc>
        <w:tc>
          <w:tcPr>
            <w:tcW w:w="1200" w:type="dxa"/>
            <w:vAlign w:val="center"/>
          </w:tcPr>
          <w:p>
            <w:pPr>
              <w:spacing w:after="20"/>
            </w:pPr>
            <w:r>
              <w:rPr>
                <w:sz w:val="20"/>
                <w:szCs w:val="20"/>
              </w:rPr>
              <w:t xml:space="preserve">3</w:t>
            </w:r>
          </w:p>
        </w:tc>
        <w:tc>
          <w:tcPr>
            <w:tcW w:w="1600" w:type="dxa"/>
            <w:vAlign w:val="center"/>
          </w:tcPr>
          <w:p>
            <w:pPr>
              <w:spacing w:after="20"/>
            </w:pPr>
            <w:r>
              <w:rPr>
                <w:sz w:val="20"/>
                <w:szCs w:val="20"/>
              </w:rPr>
              <w:t xml:space="preserve">4.69%</w:t>
            </w:r>
          </w:p>
        </w:tc>
      </w:tr>
      <w:tr>
        <w:tc>
          <w:tcPr>
            <w:tcW w:w="5600" w:type="dxa"/>
            <w:vAlign w:val="center"/>
          </w:tcPr>
          <w:p>
            <w:pPr>
              <w:spacing w:after="20"/>
            </w:pPr>
            <w:r>
              <w:rPr>
                <w:sz w:val="20"/>
                <w:szCs w:val="20"/>
              </w:rPr>
              <w:t xml:space="preserve">No special notification needed (default permission in teaching hospitals)</w:t>
            </w:r>
          </w:p>
        </w:tc>
        <w:tc>
          <w:tcPr>
            <w:tcW w:w="1200" w:type="dxa"/>
            <w:vAlign w:val="center"/>
          </w:tcPr>
          <w:p>
            <w:pPr>
              <w:spacing w:after="20"/>
            </w:pPr>
            <w:r>
              <w:rPr>
                <w:sz w:val="20"/>
                <w:szCs w:val="20"/>
              </w:rPr>
              <w:t xml:space="preserve">7</w:t>
            </w:r>
          </w:p>
        </w:tc>
        <w:tc>
          <w:tcPr>
            <w:tcW w:w="1600" w:type="dxa"/>
            <w:vAlign w:val="center"/>
          </w:tcPr>
          <w:p>
            <w:pPr>
              <w:spacing w:after="20"/>
            </w:pPr>
            <w:r>
              <w:rPr>
                <w:sz w:val="20"/>
                <w:szCs w:val="20"/>
              </w:rPr>
              <w:t xml:space="preserve">10.94%</w:t>
            </w:r>
          </w:p>
        </w:tc>
      </w:tr>
      <w:tr>
        <w:tc>
          <w:tcPr>
            <w:tcW w:w="5600" w:type="dxa"/>
            <w:vAlign w:val="center"/>
          </w:tcPr>
          <w:p>
            <w:pPr>
              <w:spacing w:after="20"/>
            </w:pPr>
            <w:r>
              <w:rPr>
                <w:sz w:val="20"/>
                <w:szCs w:val="20"/>
              </w:rPr>
              <w:t xml:space="preserve">Depends on the risk of the procedure (e.g., high-risk procedures require additional consent)</w:t>
            </w:r>
          </w:p>
        </w:tc>
        <w:tc>
          <w:tcPr>
            <w:tcW w:w="1200" w:type="dxa"/>
            <w:vAlign w:val="center"/>
          </w:tcPr>
          <w:p>
            <w:pPr>
              <w:spacing w:after="20"/>
            </w:pPr>
            <w:r>
              <w:rPr>
                <w:sz w:val="20"/>
                <w:szCs w:val="20"/>
              </w:rPr>
              <w:t xml:space="preserve">13</w:t>
            </w:r>
          </w:p>
        </w:tc>
        <w:tc>
          <w:tcPr>
            <w:tcW w:w="1600" w:type="dxa"/>
            <w:vAlign w:val="center"/>
          </w:tcPr>
          <w:p>
            <w:pPr>
              <w:spacing w:after="20"/>
            </w:pPr>
            <w:r>
              <w:rPr>
                <w:sz w:val="20"/>
                <w:szCs w:val="20"/>
              </w:rPr>
              <w:t xml:space="preserve">20.31%</w:t>
            </w:r>
          </w:p>
        </w:tc>
      </w:tr>
    </w:tbl>
    <w:p>
      <w:pPr>
        <w:spacing w:after="200"/>
      </w:pPr>
      <w:r>
        <w:rPr>
          <w:i/>
          <w:sz w:val="20"/>
          <w:szCs w:val="20"/>
        </w:rPr>
        <w:t xml:space="preserve">Valid responses for this item: 64</w:t>
      </w:r>
    </w:p>
    <w:p>
      <w:pPr>
        <w:spacing w:after="80"/>
      </w:pPr>
      <w:r>
        <w:rPr>
          <w:b/>
          <w:sz w:val="24"/>
          <w:szCs w:val="24"/>
        </w:rPr>
        <w:t xml:space="preserve">Q10. Which anesthesia procedures do you think should specifically require informed consent (signed consent)? (Multiple choice)  [Multiple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Endotracheal intubation</w:t>
            </w:r>
          </w:p>
        </w:tc>
        <w:tc>
          <w:tcPr>
            <w:tcW w:w="1200" w:type="dxa"/>
            <w:vAlign w:val="center"/>
          </w:tcPr>
          <w:p>
            <w:pPr>
              <w:spacing w:after="20"/>
            </w:pPr>
            <w:r>
              <w:rPr>
                <w:sz w:val="20"/>
                <w:szCs w:val="20"/>
              </w:rPr>
              <w:t xml:space="preserve">35</w:t>
            </w:r>
          </w:p>
        </w:tc>
        <w:tc>
          <w:tcPr>
            <w:tcW w:w="1600" w:type="dxa"/>
            <w:vAlign w:val="center"/>
          </w:tcPr>
          <w:p>
            <w:pPr>
              <w:spacing w:after="20"/>
            </w:pPr>
            <w:r>
              <w:rPr>
                <w:sz w:val="20"/>
                <w:szCs w:val="20"/>
              </w:rPr>
              <w:t xml:space="preserve">54.69%</w:t>
            </w:r>
          </w:p>
        </w:tc>
      </w:tr>
      <w:tr>
        <w:tc>
          <w:tcPr>
            <w:tcW w:w="5600" w:type="dxa"/>
            <w:vAlign w:val="center"/>
          </w:tcPr>
          <w:p>
            <w:pPr>
              <w:spacing w:after="20"/>
            </w:pPr>
            <w:r>
              <w:rPr>
                <w:sz w:val="20"/>
                <w:szCs w:val="20"/>
              </w:rPr>
              <w:t xml:space="preserve">Central venous catheterization</w:t>
            </w:r>
          </w:p>
        </w:tc>
        <w:tc>
          <w:tcPr>
            <w:tcW w:w="1200" w:type="dxa"/>
            <w:vAlign w:val="center"/>
          </w:tcPr>
          <w:p>
            <w:pPr>
              <w:spacing w:after="20"/>
            </w:pPr>
            <w:r>
              <w:rPr>
                <w:sz w:val="20"/>
                <w:szCs w:val="20"/>
              </w:rPr>
              <w:t xml:space="preserve">46</w:t>
            </w:r>
          </w:p>
        </w:tc>
        <w:tc>
          <w:tcPr>
            <w:tcW w:w="1600" w:type="dxa"/>
            <w:vAlign w:val="center"/>
          </w:tcPr>
          <w:p>
            <w:pPr>
              <w:spacing w:after="20"/>
            </w:pPr>
            <w:r>
              <w:rPr>
                <w:sz w:val="20"/>
                <w:szCs w:val="20"/>
              </w:rPr>
              <w:t xml:space="preserve">71.88%</w:t>
            </w:r>
          </w:p>
        </w:tc>
      </w:tr>
      <w:tr>
        <w:tc>
          <w:tcPr>
            <w:tcW w:w="5600" w:type="dxa"/>
            <w:vAlign w:val="center"/>
          </w:tcPr>
          <w:p>
            <w:pPr>
              <w:spacing w:after="20"/>
            </w:pPr>
            <w:r>
              <w:rPr>
                <w:sz w:val="20"/>
                <w:szCs w:val="20"/>
              </w:rPr>
              <w:t xml:space="preserve">Arterial puncture</w:t>
            </w:r>
          </w:p>
        </w:tc>
        <w:tc>
          <w:tcPr>
            <w:tcW w:w="1200" w:type="dxa"/>
            <w:vAlign w:val="center"/>
          </w:tcPr>
          <w:p>
            <w:pPr>
              <w:spacing w:after="20"/>
            </w:pPr>
            <w:r>
              <w:rPr>
                <w:sz w:val="20"/>
                <w:szCs w:val="20"/>
              </w:rPr>
              <w:t xml:space="preserve">23</w:t>
            </w:r>
          </w:p>
        </w:tc>
        <w:tc>
          <w:tcPr>
            <w:tcW w:w="1600" w:type="dxa"/>
            <w:vAlign w:val="center"/>
          </w:tcPr>
          <w:p>
            <w:pPr>
              <w:spacing w:after="20"/>
            </w:pPr>
            <w:r>
              <w:rPr>
                <w:sz w:val="20"/>
                <w:szCs w:val="20"/>
              </w:rPr>
              <w:t xml:space="preserve">35.94%</w:t>
            </w:r>
          </w:p>
        </w:tc>
      </w:tr>
      <w:tr>
        <w:tc>
          <w:tcPr>
            <w:tcW w:w="5600" w:type="dxa"/>
            <w:vAlign w:val="center"/>
          </w:tcPr>
          <w:p>
            <w:pPr>
              <w:spacing w:after="20"/>
            </w:pPr>
            <w:r>
              <w:rPr>
                <w:sz w:val="20"/>
                <w:szCs w:val="20"/>
              </w:rPr>
              <w:t xml:space="preserve">Neuraxial anesthesia</w:t>
            </w:r>
          </w:p>
        </w:tc>
        <w:tc>
          <w:tcPr>
            <w:tcW w:w="1200" w:type="dxa"/>
            <w:vAlign w:val="center"/>
          </w:tcPr>
          <w:p>
            <w:pPr>
              <w:spacing w:after="20"/>
            </w:pPr>
            <w:r>
              <w:rPr>
                <w:sz w:val="20"/>
                <w:szCs w:val="20"/>
              </w:rPr>
              <w:t xml:space="preserve">48</w:t>
            </w:r>
          </w:p>
        </w:tc>
        <w:tc>
          <w:tcPr>
            <w:tcW w:w="1600" w:type="dxa"/>
            <w:vAlign w:val="center"/>
          </w:tcPr>
          <w:p>
            <w:pPr>
              <w:spacing w:after="20"/>
            </w:pPr>
            <w:r>
              <w:rPr>
                <w:sz w:val="20"/>
                <w:szCs w:val="20"/>
              </w:rPr>
              <w:t xml:space="preserve">75%</w:t>
            </w:r>
          </w:p>
        </w:tc>
      </w:tr>
      <w:tr>
        <w:tc>
          <w:tcPr>
            <w:tcW w:w="5600" w:type="dxa"/>
            <w:vAlign w:val="center"/>
          </w:tcPr>
          <w:p>
            <w:pPr>
              <w:spacing w:after="20"/>
            </w:pPr>
            <w:r>
              <w:rPr>
                <w:sz w:val="20"/>
                <w:szCs w:val="20"/>
              </w:rPr>
              <w:t xml:space="preserve">Nerve block</w:t>
            </w:r>
          </w:p>
        </w:tc>
        <w:tc>
          <w:tcPr>
            <w:tcW w:w="1200" w:type="dxa"/>
            <w:vAlign w:val="center"/>
          </w:tcPr>
          <w:p>
            <w:pPr>
              <w:spacing w:after="20"/>
            </w:pPr>
            <w:r>
              <w:rPr>
                <w:sz w:val="20"/>
                <w:szCs w:val="20"/>
              </w:rPr>
              <w:t xml:space="preserve">35</w:t>
            </w:r>
          </w:p>
        </w:tc>
        <w:tc>
          <w:tcPr>
            <w:tcW w:w="1600" w:type="dxa"/>
            <w:vAlign w:val="center"/>
          </w:tcPr>
          <w:p>
            <w:pPr>
              <w:spacing w:after="20"/>
            </w:pPr>
            <w:r>
              <w:rPr>
                <w:sz w:val="20"/>
                <w:szCs w:val="20"/>
              </w:rPr>
              <w:t xml:space="preserve">54.69%</w:t>
            </w:r>
          </w:p>
        </w:tc>
      </w:tr>
      <w:tr>
        <w:tc>
          <w:tcPr>
            <w:tcW w:w="5600" w:type="dxa"/>
            <w:vAlign w:val="center"/>
          </w:tcPr>
          <w:p>
            <w:pPr>
              <w:spacing w:after="20"/>
            </w:pPr>
            <w:r>
              <w:rPr>
                <w:sz w:val="20"/>
                <w:szCs w:val="20"/>
              </w:rPr>
              <w:t xml:space="preserve">General anesthesia induction (e.g., laryngeal mask airway insertion)</w:t>
            </w:r>
          </w:p>
        </w:tc>
        <w:tc>
          <w:tcPr>
            <w:tcW w:w="1200" w:type="dxa"/>
            <w:vAlign w:val="center"/>
          </w:tcPr>
          <w:p>
            <w:pPr>
              <w:spacing w:after="20"/>
            </w:pPr>
            <w:r>
              <w:rPr>
                <w:sz w:val="20"/>
                <w:szCs w:val="20"/>
              </w:rPr>
              <w:t xml:space="preserve">31</w:t>
            </w:r>
          </w:p>
        </w:tc>
        <w:tc>
          <w:tcPr>
            <w:tcW w:w="1600" w:type="dxa"/>
            <w:vAlign w:val="center"/>
          </w:tcPr>
          <w:p>
            <w:pPr>
              <w:spacing w:after="20"/>
            </w:pPr>
            <w:r>
              <w:rPr>
                <w:sz w:val="20"/>
                <w:szCs w:val="20"/>
              </w:rPr>
              <w:t xml:space="preserve">48.44%</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3</w:t>
            </w:r>
          </w:p>
        </w:tc>
        <w:tc>
          <w:tcPr>
            <w:tcW w:w="1600" w:type="dxa"/>
            <w:vAlign w:val="center"/>
          </w:tcPr>
          <w:p>
            <w:pPr>
              <w:spacing w:after="20"/>
            </w:pPr>
            <w:r>
              <w:rPr>
                <w:sz w:val="20"/>
                <w:szCs w:val="20"/>
              </w:rPr>
              <w:t xml:space="preserve">4.69%</w:t>
            </w:r>
          </w:p>
        </w:tc>
      </w:tr>
    </w:tbl>
    <w:p>
      <w:pPr>
        <w:spacing w:after="200"/>
      </w:pPr>
      <w:r>
        <w:rPr>
          <w:i/>
          <w:sz w:val="20"/>
          <w:szCs w:val="20"/>
        </w:rPr>
        <w:t xml:space="preserve">Valid responses for this item: 64</w:t>
      </w:r>
    </w:p>
    <w:p>
      <w:pPr>
        <w:spacing w:after="80"/>
      </w:pPr>
      <w:r>
        <w:rPr>
          <w:b/>
          <w:sz w:val="24"/>
          <w:szCs w:val="24"/>
        </w:rPr>
        <w:t xml:space="preserve">Q11. In your opinion, what is the best timing for providing informed consent?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During the preoperative visit (1 day in advance)</w:t>
            </w:r>
          </w:p>
        </w:tc>
        <w:tc>
          <w:tcPr>
            <w:tcW w:w="1200" w:type="dxa"/>
            <w:vAlign w:val="center"/>
          </w:tcPr>
          <w:p>
            <w:pPr>
              <w:spacing w:after="20"/>
            </w:pPr>
            <w:r>
              <w:rPr>
                <w:sz w:val="20"/>
                <w:szCs w:val="20"/>
              </w:rPr>
              <w:t xml:space="preserve">51</w:t>
            </w:r>
          </w:p>
        </w:tc>
        <w:tc>
          <w:tcPr>
            <w:tcW w:w="1600" w:type="dxa"/>
            <w:vAlign w:val="center"/>
          </w:tcPr>
          <w:p>
            <w:pPr>
              <w:spacing w:after="20"/>
            </w:pPr>
            <w:r>
              <w:rPr>
                <w:sz w:val="20"/>
                <w:szCs w:val="20"/>
              </w:rPr>
              <w:t xml:space="preserve">79.69%</w:t>
            </w:r>
          </w:p>
        </w:tc>
      </w:tr>
      <w:tr>
        <w:tc>
          <w:tcPr>
            <w:tcW w:w="5600" w:type="dxa"/>
            <w:vAlign w:val="center"/>
          </w:tcPr>
          <w:p>
            <w:pPr>
              <w:spacing w:after="20"/>
            </w:pPr>
            <w:r>
              <w:rPr>
                <w:sz w:val="20"/>
                <w:szCs w:val="20"/>
              </w:rPr>
              <w:t xml:space="preserve">On the day of surgery before the procedure (during pre-anesthesia assessment)</w:t>
            </w:r>
          </w:p>
        </w:tc>
        <w:tc>
          <w:tcPr>
            <w:tcW w:w="1200" w:type="dxa"/>
            <w:vAlign w:val="center"/>
          </w:tcPr>
          <w:p>
            <w:pPr>
              <w:spacing w:after="20"/>
            </w:pPr>
            <w:r>
              <w:rPr>
                <w:sz w:val="20"/>
                <w:szCs w:val="20"/>
              </w:rPr>
              <w:t xml:space="preserve">7</w:t>
            </w:r>
          </w:p>
        </w:tc>
        <w:tc>
          <w:tcPr>
            <w:tcW w:w="1600" w:type="dxa"/>
            <w:vAlign w:val="center"/>
          </w:tcPr>
          <w:p>
            <w:pPr>
              <w:spacing w:after="20"/>
            </w:pPr>
            <w:r>
              <w:rPr>
                <w:sz w:val="20"/>
                <w:szCs w:val="20"/>
              </w:rPr>
              <w:t xml:space="preserve">10.94%</w:t>
            </w:r>
          </w:p>
        </w:tc>
      </w:tr>
      <w:tr>
        <w:tc>
          <w:tcPr>
            <w:tcW w:w="5600" w:type="dxa"/>
            <w:vAlign w:val="center"/>
          </w:tcPr>
          <w:p>
            <w:pPr>
              <w:spacing w:after="20"/>
            </w:pPr>
            <w:r>
              <w:rPr>
                <w:sz w:val="20"/>
                <w:szCs w:val="20"/>
              </w:rPr>
              <w:t xml:space="preserve">Immediately before anesthesia induction (in the operating room)</w:t>
            </w:r>
          </w:p>
        </w:tc>
        <w:tc>
          <w:tcPr>
            <w:tcW w:w="1200" w:type="dxa"/>
            <w:vAlign w:val="center"/>
          </w:tcPr>
          <w:p>
            <w:pPr>
              <w:spacing w:after="20"/>
            </w:pPr>
            <w:r>
              <w:rPr>
                <w:sz w:val="20"/>
                <w:szCs w:val="20"/>
              </w:rPr>
              <w:t xml:space="preserve">6</w:t>
            </w:r>
          </w:p>
        </w:tc>
        <w:tc>
          <w:tcPr>
            <w:tcW w:w="1600" w:type="dxa"/>
            <w:vAlign w:val="center"/>
          </w:tcPr>
          <w:p>
            <w:pPr>
              <w:spacing w:after="20"/>
            </w:pPr>
            <w:r>
              <w:rPr>
                <w:sz w:val="20"/>
                <w:szCs w:val="20"/>
              </w:rPr>
              <w:t xml:space="preserve">9.38%</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64</w:t>
      </w:r>
    </w:p>
    <w:p>
      <w:pPr>
        <w:spacing w:after="80"/>
      </w:pPr>
      <w:r>
        <w:rPr>
          <w:b/>
          <w:sz w:val="24"/>
          <w:szCs w:val="24"/>
        </w:rPr>
        <w:t xml:space="preserve">Q12. In your clinical experience, how often do patients refuse teaching procedures?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Frequently (&gt;30% of cases)</w:t>
            </w:r>
          </w:p>
        </w:tc>
        <w:tc>
          <w:tcPr>
            <w:tcW w:w="1200" w:type="dxa"/>
            <w:vAlign w:val="center"/>
          </w:tcPr>
          <w:p>
            <w:pPr>
              <w:spacing w:after="20"/>
            </w:pPr>
            <w:r>
              <w:rPr>
                <w:sz w:val="20"/>
                <w:szCs w:val="20"/>
              </w:rPr>
              <w:t xml:space="preserve">6</w:t>
            </w:r>
          </w:p>
        </w:tc>
        <w:tc>
          <w:tcPr>
            <w:tcW w:w="1600" w:type="dxa"/>
            <w:vAlign w:val="center"/>
          </w:tcPr>
          <w:p>
            <w:pPr>
              <w:spacing w:after="20"/>
            </w:pPr>
            <w:r>
              <w:rPr>
                <w:sz w:val="20"/>
                <w:szCs w:val="20"/>
              </w:rPr>
              <w:t xml:space="preserve">9.38%</w:t>
            </w:r>
          </w:p>
        </w:tc>
      </w:tr>
      <w:tr>
        <w:tc>
          <w:tcPr>
            <w:tcW w:w="5600" w:type="dxa"/>
            <w:vAlign w:val="center"/>
          </w:tcPr>
          <w:p>
            <w:pPr>
              <w:spacing w:after="20"/>
            </w:pPr>
            <w:r>
              <w:rPr>
                <w:sz w:val="20"/>
                <w:szCs w:val="20"/>
              </w:rPr>
              <w:t xml:space="preserve">Occasionally (10-30%)</w:t>
            </w:r>
          </w:p>
        </w:tc>
        <w:tc>
          <w:tcPr>
            <w:tcW w:w="1200" w:type="dxa"/>
            <w:vAlign w:val="center"/>
          </w:tcPr>
          <w:p>
            <w:pPr>
              <w:spacing w:after="20"/>
            </w:pPr>
            <w:r>
              <w:rPr>
                <w:sz w:val="20"/>
                <w:szCs w:val="20"/>
              </w:rPr>
              <w:t xml:space="preserve">18</w:t>
            </w:r>
          </w:p>
        </w:tc>
        <w:tc>
          <w:tcPr>
            <w:tcW w:w="1600" w:type="dxa"/>
            <w:vAlign w:val="center"/>
          </w:tcPr>
          <w:p>
            <w:pPr>
              <w:spacing w:after="20"/>
            </w:pPr>
            <w:r>
              <w:rPr>
                <w:sz w:val="20"/>
                <w:szCs w:val="20"/>
              </w:rPr>
              <w:t xml:space="preserve">28.13%</w:t>
            </w:r>
          </w:p>
        </w:tc>
      </w:tr>
      <w:tr>
        <w:tc>
          <w:tcPr>
            <w:tcW w:w="5600" w:type="dxa"/>
            <w:vAlign w:val="center"/>
          </w:tcPr>
          <w:p>
            <w:pPr>
              <w:spacing w:after="20"/>
            </w:pPr>
            <w:r>
              <w:rPr>
                <w:sz w:val="20"/>
                <w:szCs w:val="20"/>
              </w:rPr>
              <w:t xml:space="preserve">Rarely (&lt;10%)</w:t>
            </w:r>
          </w:p>
        </w:tc>
        <w:tc>
          <w:tcPr>
            <w:tcW w:w="1200" w:type="dxa"/>
            <w:vAlign w:val="center"/>
          </w:tcPr>
          <w:p>
            <w:pPr>
              <w:spacing w:after="20"/>
            </w:pPr>
            <w:r>
              <w:rPr>
                <w:sz w:val="20"/>
                <w:szCs w:val="20"/>
              </w:rPr>
              <w:t xml:space="preserve">29</w:t>
            </w:r>
          </w:p>
        </w:tc>
        <w:tc>
          <w:tcPr>
            <w:tcW w:w="1600" w:type="dxa"/>
            <w:vAlign w:val="center"/>
          </w:tcPr>
          <w:p>
            <w:pPr>
              <w:spacing w:after="20"/>
            </w:pPr>
            <w:r>
              <w:rPr>
                <w:sz w:val="20"/>
                <w:szCs w:val="20"/>
              </w:rPr>
              <w:t xml:space="preserve">45.31%</w:t>
            </w:r>
          </w:p>
        </w:tc>
      </w:tr>
      <w:tr>
        <w:tc>
          <w:tcPr>
            <w:tcW w:w="5600" w:type="dxa"/>
            <w:vAlign w:val="center"/>
          </w:tcPr>
          <w:p>
            <w:pPr>
              <w:spacing w:after="20"/>
            </w:pPr>
            <w:r>
              <w:rPr>
                <w:sz w:val="20"/>
                <w:szCs w:val="20"/>
              </w:rPr>
              <w:t xml:space="preserve">Never encountered</w:t>
            </w:r>
          </w:p>
        </w:tc>
        <w:tc>
          <w:tcPr>
            <w:tcW w:w="1200" w:type="dxa"/>
            <w:vAlign w:val="center"/>
          </w:tcPr>
          <w:p>
            <w:pPr>
              <w:spacing w:after="20"/>
            </w:pPr>
            <w:r>
              <w:rPr>
                <w:sz w:val="20"/>
                <w:szCs w:val="20"/>
              </w:rPr>
              <w:t xml:space="preserve">4</w:t>
            </w:r>
          </w:p>
        </w:tc>
        <w:tc>
          <w:tcPr>
            <w:tcW w:w="1600" w:type="dxa"/>
            <w:vAlign w:val="center"/>
          </w:tcPr>
          <w:p>
            <w:pPr>
              <w:spacing w:after="20"/>
            </w:pPr>
            <w:r>
              <w:rPr>
                <w:sz w:val="20"/>
                <w:szCs w:val="20"/>
              </w:rPr>
              <w:t xml:space="preserve">6.25%</w:t>
            </w:r>
          </w:p>
        </w:tc>
      </w:tr>
      <w:tr>
        <w:tc>
          <w:tcPr>
            <w:tcW w:w="5600" w:type="dxa"/>
            <w:vAlign w:val="center"/>
          </w:tcPr>
          <w:p>
            <w:pPr>
              <w:spacing w:after="20"/>
            </w:pPr>
            <w:r>
              <w:rPr>
                <w:sz w:val="20"/>
                <w:szCs w:val="20"/>
              </w:rPr>
              <w:t xml:space="preserve">Not sure / unclear</w:t>
            </w:r>
          </w:p>
        </w:tc>
        <w:tc>
          <w:tcPr>
            <w:tcW w:w="1200" w:type="dxa"/>
            <w:vAlign w:val="center"/>
          </w:tcPr>
          <w:p>
            <w:pPr>
              <w:spacing w:after="20"/>
            </w:pPr>
            <w:r>
              <w:rPr>
                <w:sz w:val="20"/>
                <w:szCs w:val="20"/>
              </w:rPr>
              <w:t xml:space="preserve">7</w:t>
            </w:r>
          </w:p>
        </w:tc>
        <w:tc>
          <w:tcPr>
            <w:tcW w:w="1600" w:type="dxa"/>
            <w:vAlign w:val="center"/>
          </w:tcPr>
          <w:p>
            <w:pPr>
              <w:spacing w:after="20"/>
            </w:pPr>
            <w:r>
              <w:rPr>
                <w:sz w:val="20"/>
                <w:szCs w:val="20"/>
              </w:rPr>
              <w:t xml:space="preserve">10.94%</w:t>
            </w:r>
          </w:p>
        </w:tc>
      </w:tr>
    </w:tbl>
    <w:p>
      <w:pPr>
        <w:spacing w:after="200"/>
      </w:pPr>
      <w:r>
        <w:rPr>
          <w:i/>
          <w:sz w:val="20"/>
          <w:szCs w:val="20"/>
        </w:rPr>
        <w:t xml:space="preserve">Valid responses for this item: 64</w:t>
      </w:r>
    </w:p>
    <w:p>
      <w:pPr>
        <w:spacing w:after="80"/>
      </w:pPr>
      <w:r>
        <w:rPr>
          <w:b/>
          <w:sz w:val="24"/>
          <w:szCs w:val="24"/>
        </w:rPr>
        <w:t xml:space="preserve">Q13. In your opinion, what are the main reasons why patients refuse teaching procedures? (Multiple choice)  [Multiple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Concern about procedural risks (e.g., complications)</w:t>
            </w:r>
          </w:p>
        </w:tc>
        <w:tc>
          <w:tcPr>
            <w:tcW w:w="1200" w:type="dxa"/>
            <w:vAlign w:val="center"/>
          </w:tcPr>
          <w:p>
            <w:pPr>
              <w:spacing w:after="20"/>
            </w:pPr>
            <w:r>
              <w:rPr>
                <w:sz w:val="20"/>
                <w:szCs w:val="20"/>
              </w:rPr>
              <w:t xml:space="preserve">50</w:t>
            </w:r>
          </w:p>
        </w:tc>
        <w:tc>
          <w:tcPr>
            <w:tcW w:w="1600" w:type="dxa"/>
            <w:vAlign w:val="center"/>
          </w:tcPr>
          <w:p>
            <w:pPr>
              <w:spacing w:after="20"/>
            </w:pPr>
            <w:r>
              <w:rPr>
                <w:sz w:val="20"/>
                <w:szCs w:val="20"/>
              </w:rPr>
              <w:t xml:space="preserve">78.13%</w:t>
            </w:r>
          </w:p>
        </w:tc>
      </w:tr>
      <w:tr>
        <w:tc>
          <w:tcPr>
            <w:tcW w:w="5600" w:type="dxa"/>
            <w:vAlign w:val="center"/>
          </w:tcPr>
          <w:p>
            <w:pPr>
              <w:spacing w:after="20"/>
            </w:pPr>
            <w:r>
              <w:rPr>
                <w:sz w:val="20"/>
                <w:szCs w:val="20"/>
              </w:rPr>
              <w:t xml:space="preserve">Privacy concerns (e.g., sensitive body areas)</w:t>
            </w:r>
          </w:p>
        </w:tc>
        <w:tc>
          <w:tcPr>
            <w:tcW w:w="1200" w:type="dxa"/>
            <w:vAlign w:val="center"/>
          </w:tcPr>
          <w:p>
            <w:pPr>
              <w:spacing w:after="20"/>
            </w:pPr>
            <w:r>
              <w:rPr>
                <w:sz w:val="20"/>
                <w:szCs w:val="20"/>
              </w:rPr>
              <w:t xml:space="preserve">30</w:t>
            </w:r>
          </w:p>
        </w:tc>
        <w:tc>
          <w:tcPr>
            <w:tcW w:w="1600" w:type="dxa"/>
            <w:vAlign w:val="center"/>
          </w:tcPr>
          <w:p>
            <w:pPr>
              <w:spacing w:after="20"/>
            </w:pPr>
            <w:r>
              <w:rPr>
                <w:sz w:val="20"/>
                <w:szCs w:val="20"/>
              </w:rPr>
              <w:t xml:space="preserve">46.88%</w:t>
            </w:r>
          </w:p>
        </w:tc>
      </w:tr>
      <w:tr>
        <w:tc>
          <w:tcPr>
            <w:tcW w:w="5600" w:type="dxa"/>
            <w:vAlign w:val="center"/>
          </w:tcPr>
          <w:p>
            <w:pPr>
              <w:spacing w:after="20"/>
            </w:pPr>
            <w:r>
              <w:rPr>
                <w:sz w:val="20"/>
                <w:szCs w:val="20"/>
              </w:rPr>
              <w:t xml:space="preserve">Lack of trust in trainees' competence</w:t>
            </w:r>
          </w:p>
        </w:tc>
        <w:tc>
          <w:tcPr>
            <w:tcW w:w="1200" w:type="dxa"/>
            <w:vAlign w:val="center"/>
          </w:tcPr>
          <w:p>
            <w:pPr>
              <w:spacing w:after="20"/>
            </w:pPr>
            <w:r>
              <w:rPr>
                <w:sz w:val="20"/>
                <w:szCs w:val="20"/>
              </w:rPr>
              <w:t xml:space="preserve">48</w:t>
            </w:r>
          </w:p>
        </w:tc>
        <w:tc>
          <w:tcPr>
            <w:tcW w:w="1600" w:type="dxa"/>
            <w:vAlign w:val="center"/>
          </w:tcPr>
          <w:p>
            <w:pPr>
              <w:spacing w:after="20"/>
            </w:pPr>
            <w:r>
              <w:rPr>
                <w:sz w:val="20"/>
                <w:szCs w:val="20"/>
              </w:rPr>
              <w:t xml:space="preserve">75%</w:t>
            </w:r>
          </w:p>
        </w:tc>
      </w:tr>
      <w:tr>
        <w:tc>
          <w:tcPr>
            <w:tcW w:w="5600" w:type="dxa"/>
            <w:vAlign w:val="center"/>
          </w:tcPr>
          <w:p>
            <w:pPr>
              <w:spacing w:after="20"/>
            </w:pPr>
            <w:r>
              <w:rPr>
                <w:sz w:val="20"/>
                <w:szCs w:val="20"/>
              </w:rPr>
              <w:t xml:space="preserve">Unawareness of the importance of teaching</w:t>
            </w:r>
          </w:p>
        </w:tc>
        <w:tc>
          <w:tcPr>
            <w:tcW w:w="1200" w:type="dxa"/>
            <w:vAlign w:val="center"/>
          </w:tcPr>
          <w:p>
            <w:pPr>
              <w:spacing w:after="20"/>
            </w:pPr>
            <w:r>
              <w:rPr>
                <w:sz w:val="20"/>
                <w:szCs w:val="20"/>
              </w:rPr>
              <w:t xml:space="preserve">15</w:t>
            </w:r>
          </w:p>
        </w:tc>
        <w:tc>
          <w:tcPr>
            <w:tcW w:w="1600" w:type="dxa"/>
            <w:vAlign w:val="center"/>
          </w:tcPr>
          <w:p>
            <w:pPr>
              <w:spacing w:after="20"/>
            </w:pPr>
            <w:r>
              <w:rPr>
                <w:sz w:val="20"/>
                <w:szCs w:val="20"/>
              </w:rPr>
              <w:t xml:space="preserve">23.44%</w:t>
            </w:r>
          </w:p>
        </w:tc>
      </w:tr>
      <w:tr>
        <w:tc>
          <w:tcPr>
            <w:tcW w:w="5600" w:type="dxa"/>
            <w:vAlign w:val="center"/>
          </w:tcPr>
          <w:p>
            <w:pPr>
              <w:spacing w:after="20"/>
            </w:pPr>
            <w:r>
              <w:rPr>
                <w:sz w:val="20"/>
                <w:szCs w:val="20"/>
              </w:rPr>
              <w:t xml:space="preserve">Belief that teaching procedures are "unnecessary"</w:t>
            </w:r>
          </w:p>
        </w:tc>
        <w:tc>
          <w:tcPr>
            <w:tcW w:w="1200" w:type="dxa"/>
            <w:vAlign w:val="center"/>
          </w:tcPr>
          <w:p>
            <w:pPr>
              <w:spacing w:after="20"/>
            </w:pPr>
            <w:r>
              <w:rPr>
                <w:sz w:val="20"/>
                <w:szCs w:val="20"/>
              </w:rPr>
              <w:t xml:space="preserve">17</w:t>
            </w:r>
          </w:p>
        </w:tc>
        <w:tc>
          <w:tcPr>
            <w:tcW w:w="1600" w:type="dxa"/>
            <w:vAlign w:val="center"/>
          </w:tcPr>
          <w:p>
            <w:pPr>
              <w:spacing w:after="20"/>
            </w:pPr>
            <w:r>
              <w:rPr>
                <w:sz w:val="20"/>
                <w:szCs w:val="20"/>
              </w:rPr>
              <w:t xml:space="preserve">26.56%</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64</w:t>
      </w:r>
    </w:p>
    <w:p>
      <w:pPr>
        <w:spacing w:after="80"/>
      </w:pPr>
      <w:r>
        <w:rPr>
          <w:b/>
          <w:sz w:val="24"/>
          <w:szCs w:val="24"/>
        </w:rPr>
        <w:t xml:space="preserve">Q14. How would you rate the potential risk to patients posed by anesthesia teaching supervision?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Very high (may affect patient safety)</w:t>
            </w:r>
          </w:p>
        </w:tc>
        <w:tc>
          <w:tcPr>
            <w:tcW w:w="1200" w:type="dxa"/>
            <w:vAlign w:val="center"/>
          </w:tcPr>
          <w:p>
            <w:pPr>
              <w:spacing w:after="20"/>
            </w:pPr>
            <w:r>
              <w:rPr>
                <w:sz w:val="20"/>
                <w:szCs w:val="20"/>
              </w:rPr>
              <w:t xml:space="preserve">1</w:t>
            </w:r>
          </w:p>
        </w:tc>
        <w:tc>
          <w:tcPr>
            <w:tcW w:w="1600" w:type="dxa"/>
            <w:vAlign w:val="center"/>
          </w:tcPr>
          <w:p>
            <w:pPr>
              <w:spacing w:after="20"/>
            </w:pPr>
            <w:r>
              <w:rPr>
                <w:sz w:val="20"/>
                <w:szCs w:val="20"/>
              </w:rPr>
              <w:t xml:space="preserve">1.56%</w:t>
            </w:r>
          </w:p>
        </w:tc>
      </w:tr>
      <w:tr>
        <w:tc>
          <w:tcPr>
            <w:tcW w:w="5600" w:type="dxa"/>
            <w:vAlign w:val="center"/>
          </w:tcPr>
          <w:p>
            <w:pPr>
              <w:spacing w:after="20"/>
            </w:pPr>
            <w:r>
              <w:rPr>
                <w:sz w:val="20"/>
                <w:szCs w:val="20"/>
              </w:rPr>
              <w:t xml:space="preserve">Relatively high (but manageable)</w:t>
            </w:r>
          </w:p>
        </w:tc>
        <w:tc>
          <w:tcPr>
            <w:tcW w:w="1200" w:type="dxa"/>
            <w:vAlign w:val="center"/>
          </w:tcPr>
          <w:p>
            <w:pPr>
              <w:spacing w:after="20"/>
            </w:pPr>
            <w:r>
              <w:rPr>
                <w:sz w:val="20"/>
                <w:szCs w:val="20"/>
              </w:rPr>
              <w:t xml:space="preserve">17</w:t>
            </w:r>
          </w:p>
        </w:tc>
        <w:tc>
          <w:tcPr>
            <w:tcW w:w="1600" w:type="dxa"/>
            <w:vAlign w:val="center"/>
          </w:tcPr>
          <w:p>
            <w:pPr>
              <w:spacing w:after="20"/>
            </w:pPr>
            <w:r>
              <w:rPr>
                <w:sz w:val="20"/>
                <w:szCs w:val="20"/>
              </w:rPr>
              <w:t xml:space="preserve">26.56%</w:t>
            </w:r>
          </w:p>
        </w:tc>
      </w:tr>
      <w:tr>
        <w:tc>
          <w:tcPr>
            <w:tcW w:w="5600" w:type="dxa"/>
            <w:vAlign w:val="center"/>
          </w:tcPr>
          <w:p>
            <w:pPr>
              <w:spacing w:after="20"/>
            </w:pPr>
            <w:r>
              <w:rPr>
                <w:sz w:val="20"/>
                <w:szCs w:val="20"/>
              </w:rPr>
              <w:t xml:space="preserve">Moderate (similar to the risk of routine anesthesia)</w:t>
            </w:r>
          </w:p>
        </w:tc>
        <w:tc>
          <w:tcPr>
            <w:tcW w:w="1200" w:type="dxa"/>
            <w:vAlign w:val="center"/>
          </w:tcPr>
          <w:p>
            <w:pPr>
              <w:spacing w:after="20"/>
            </w:pPr>
            <w:r>
              <w:rPr>
                <w:sz w:val="20"/>
                <w:szCs w:val="20"/>
              </w:rPr>
              <w:t xml:space="preserve">22</w:t>
            </w:r>
          </w:p>
        </w:tc>
        <w:tc>
          <w:tcPr>
            <w:tcW w:w="1600" w:type="dxa"/>
            <w:vAlign w:val="center"/>
          </w:tcPr>
          <w:p>
            <w:pPr>
              <w:spacing w:after="20"/>
            </w:pPr>
            <w:r>
              <w:rPr>
                <w:sz w:val="20"/>
                <w:szCs w:val="20"/>
              </w:rPr>
              <w:t xml:space="preserve">34.38%</w:t>
            </w:r>
          </w:p>
        </w:tc>
      </w:tr>
      <w:tr>
        <w:tc>
          <w:tcPr>
            <w:tcW w:w="5600" w:type="dxa"/>
            <w:vAlign w:val="center"/>
          </w:tcPr>
          <w:p>
            <w:pPr>
              <w:spacing w:after="20"/>
            </w:pPr>
            <w:r>
              <w:rPr>
                <w:sz w:val="20"/>
                <w:szCs w:val="20"/>
              </w:rPr>
              <w:t xml:space="preserve">Relatively low (almost no additional risk)</w:t>
            </w:r>
          </w:p>
        </w:tc>
        <w:tc>
          <w:tcPr>
            <w:tcW w:w="1200" w:type="dxa"/>
            <w:vAlign w:val="center"/>
          </w:tcPr>
          <w:p>
            <w:pPr>
              <w:spacing w:after="20"/>
            </w:pPr>
            <w:r>
              <w:rPr>
                <w:sz w:val="20"/>
                <w:szCs w:val="20"/>
              </w:rPr>
              <w:t xml:space="preserve">22</w:t>
            </w:r>
          </w:p>
        </w:tc>
        <w:tc>
          <w:tcPr>
            <w:tcW w:w="1600" w:type="dxa"/>
            <w:vAlign w:val="center"/>
          </w:tcPr>
          <w:p>
            <w:pPr>
              <w:spacing w:after="20"/>
            </w:pPr>
            <w:r>
              <w:rPr>
                <w:sz w:val="20"/>
                <w:szCs w:val="20"/>
              </w:rPr>
              <w:t xml:space="preserve">34.38%</w:t>
            </w:r>
          </w:p>
        </w:tc>
      </w:tr>
      <w:tr>
        <w:tc>
          <w:tcPr>
            <w:tcW w:w="5600" w:type="dxa"/>
            <w:vAlign w:val="center"/>
          </w:tcPr>
          <w:p>
            <w:pPr>
              <w:spacing w:after="20"/>
            </w:pPr>
            <w:r>
              <w:rPr>
                <w:sz w:val="20"/>
                <w:szCs w:val="20"/>
              </w:rPr>
              <w:t xml:space="preserve">No risk</w:t>
            </w:r>
          </w:p>
        </w:tc>
        <w:tc>
          <w:tcPr>
            <w:tcW w:w="1200" w:type="dxa"/>
            <w:vAlign w:val="center"/>
          </w:tcPr>
          <w:p>
            <w:pPr>
              <w:spacing w:after="20"/>
            </w:pPr>
            <w:r>
              <w:rPr>
                <w:sz w:val="20"/>
                <w:szCs w:val="20"/>
              </w:rPr>
              <w:t xml:space="preserve">2</w:t>
            </w:r>
          </w:p>
        </w:tc>
        <w:tc>
          <w:tcPr>
            <w:tcW w:w="1600" w:type="dxa"/>
            <w:vAlign w:val="center"/>
          </w:tcPr>
          <w:p>
            <w:pPr>
              <w:spacing w:after="20"/>
            </w:pPr>
            <w:r>
              <w:rPr>
                <w:sz w:val="20"/>
                <w:szCs w:val="20"/>
              </w:rPr>
              <w:t xml:space="preserve">3.13%</w:t>
            </w:r>
          </w:p>
        </w:tc>
      </w:tr>
    </w:tbl>
    <w:p>
      <w:pPr>
        <w:spacing w:after="200"/>
      </w:pPr>
      <w:r>
        <w:rPr>
          <w:i/>
          <w:sz w:val="20"/>
          <w:szCs w:val="20"/>
        </w:rPr>
        <w:t xml:space="preserve">Valid responses for this item: 64</w:t>
      </w:r>
    </w:p>
    <w:p>
      <w:pPr>
        <w:spacing w:after="80"/>
      </w:pPr>
      <w:r>
        <w:rPr>
          <w:b/>
          <w:sz w:val="24"/>
          <w:szCs w:val="24"/>
        </w:rPr>
        <w:t xml:space="preserve">Q15. Which teaching-related risks concern you most? (Multiple choice)  [Multiple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Procedural complications (e.g., airway injury, failed vascular puncture)</w:t>
            </w:r>
          </w:p>
        </w:tc>
        <w:tc>
          <w:tcPr>
            <w:tcW w:w="1200" w:type="dxa"/>
            <w:vAlign w:val="center"/>
          </w:tcPr>
          <w:p>
            <w:pPr>
              <w:spacing w:after="20"/>
            </w:pPr>
            <w:r>
              <w:rPr>
                <w:sz w:val="20"/>
                <w:szCs w:val="20"/>
              </w:rPr>
              <w:t xml:space="preserve">49</w:t>
            </w:r>
          </w:p>
        </w:tc>
        <w:tc>
          <w:tcPr>
            <w:tcW w:w="1600" w:type="dxa"/>
            <w:vAlign w:val="center"/>
          </w:tcPr>
          <w:p>
            <w:pPr>
              <w:spacing w:after="20"/>
            </w:pPr>
            <w:r>
              <w:rPr>
                <w:sz w:val="20"/>
                <w:szCs w:val="20"/>
              </w:rPr>
              <w:t xml:space="preserve">76.56%</w:t>
            </w:r>
          </w:p>
        </w:tc>
      </w:tr>
      <w:tr>
        <w:tc>
          <w:tcPr>
            <w:tcW w:w="5600" w:type="dxa"/>
            <w:vAlign w:val="center"/>
          </w:tcPr>
          <w:p>
            <w:pPr>
              <w:spacing w:after="20"/>
            </w:pPr>
            <w:r>
              <w:rPr>
                <w:sz w:val="20"/>
                <w:szCs w:val="20"/>
              </w:rPr>
              <w:t xml:space="preserve">Privacy breach (e.g., inadequate protection of patient privacy)</w:t>
            </w:r>
          </w:p>
        </w:tc>
        <w:tc>
          <w:tcPr>
            <w:tcW w:w="1200" w:type="dxa"/>
            <w:vAlign w:val="center"/>
          </w:tcPr>
          <w:p>
            <w:pPr>
              <w:spacing w:after="20"/>
            </w:pPr>
            <w:r>
              <w:rPr>
                <w:sz w:val="20"/>
                <w:szCs w:val="20"/>
              </w:rPr>
              <w:t xml:space="preserve">19</w:t>
            </w:r>
          </w:p>
        </w:tc>
        <w:tc>
          <w:tcPr>
            <w:tcW w:w="1600" w:type="dxa"/>
            <w:vAlign w:val="center"/>
          </w:tcPr>
          <w:p>
            <w:pPr>
              <w:spacing w:after="20"/>
            </w:pPr>
            <w:r>
              <w:rPr>
                <w:sz w:val="20"/>
                <w:szCs w:val="20"/>
              </w:rPr>
              <w:t xml:space="preserve">29.69%</w:t>
            </w:r>
          </w:p>
        </w:tc>
      </w:tr>
      <w:tr>
        <w:tc>
          <w:tcPr>
            <w:tcW w:w="5600" w:type="dxa"/>
            <w:vAlign w:val="center"/>
          </w:tcPr>
          <w:p>
            <w:pPr>
              <w:spacing w:after="20"/>
            </w:pPr>
            <w:r>
              <w:rPr>
                <w:sz w:val="20"/>
                <w:szCs w:val="20"/>
              </w:rPr>
              <w:t xml:space="preserve">Psychological harm (e.g., the patient later learns they were not fully informed)</w:t>
            </w:r>
          </w:p>
        </w:tc>
        <w:tc>
          <w:tcPr>
            <w:tcW w:w="1200" w:type="dxa"/>
            <w:vAlign w:val="center"/>
          </w:tcPr>
          <w:p>
            <w:pPr>
              <w:spacing w:after="20"/>
            </w:pPr>
            <w:r>
              <w:rPr>
                <w:sz w:val="20"/>
                <w:szCs w:val="20"/>
              </w:rPr>
              <w:t xml:space="preserve">20</w:t>
            </w:r>
          </w:p>
        </w:tc>
        <w:tc>
          <w:tcPr>
            <w:tcW w:w="1600" w:type="dxa"/>
            <w:vAlign w:val="center"/>
          </w:tcPr>
          <w:p>
            <w:pPr>
              <w:spacing w:after="20"/>
            </w:pPr>
            <w:r>
              <w:rPr>
                <w:sz w:val="20"/>
                <w:szCs w:val="20"/>
              </w:rPr>
              <w:t xml:space="preserve">31.25%</w:t>
            </w:r>
          </w:p>
        </w:tc>
      </w:tr>
      <w:tr>
        <w:tc>
          <w:tcPr>
            <w:tcW w:w="5600" w:type="dxa"/>
            <w:vAlign w:val="center"/>
          </w:tcPr>
          <w:p>
            <w:pPr>
              <w:spacing w:after="20"/>
            </w:pPr>
            <w:r>
              <w:rPr>
                <w:sz w:val="20"/>
                <w:szCs w:val="20"/>
              </w:rPr>
              <w:t xml:space="preserve">Prolonged anesthesia time (affecting recovery)</w:t>
            </w:r>
          </w:p>
        </w:tc>
        <w:tc>
          <w:tcPr>
            <w:tcW w:w="1200" w:type="dxa"/>
            <w:vAlign w:val="center"/>
          </w:tcPr>
          <w:p>
            <w:pPr>
              <w:spacing w:after="20"/>
            </w:pPr>
            <w:r>
              <w:rPr>
                <w:sz w:val="20"/>
                <w:szCs w:val="20"/>
              </w:rPr>
              <w:t xml:space="preserve">14</w:t>
            </w:r>
          </w:p>
        </w:tc>
        <w:tc>
          <w:tcPr>
            <w:tcW w:w="1600" w:type="dxa"/>
            <w:vAlign w:val="center"/>
          </w:tcPr>
          <w:p>
            <w:pPr>
              <w:spacing w:after="20"/>
            </w:pPr>
            <w:r>
              <w:rPr>
                <w:sz w:val="20"/>
                <w:szCs w:val="20"/>
              </w:rPr>
              <w:t xml:space="preserve">21.88%</w:t>
            </w:r>
          </w:p>
        </w:tc>
      </w:tr>
      <w:tr>
        <w:tc>
          <w:tcPr>
            <w:tcW w:w="5600" w:type="dxa"/>
            <w:vAlign w:val="center"/>
          </w:tcPr>
          <w:p>
            <w:pPr>
              <w:spacing w:after="20"/>
            </w:pPr>
            <w:r>
              <w:rPr>
                <w:sz w:val="20"/>
                <w:szCs w:val="20"/>
              </w:rPr>
              <w:t xml:space="preserve">Risk of medical disputes</w:t>
            </w:r>
          </w:p>
        </w:tc>
        <w:tc>
          <w:tcPr>
            <w:tcW w:w="1200" w:type="dxa"/>
            <w:vAlign w:val="center"/>
          </w:tcPr>
          <w:p>
            <w:pPr>
              <w:spacing w:after="20"/>
            </w:pPr>
            <w:r>
              <w:rPr>
                <w:sz w:val="20"/>
                <w:szCs w:val="20"/>
              </w:rPr>
              <w:t xml:space="preserve">38</w:t>
            </w:r>
          </w:p>
        </w:tc>
        <w:tc>
          <w:tcPr>
            <w:tcW w:w="1600" w:type="dxa"/>
            <w:vAlign w:val="center"/>
          </w:tcPr>
          <w:p>
            <w:pPr>
              <w:spacing w:after="20"/>
            </w:pPr>
            <w:r>
              <w:rPr>
                <w:sz w:val="20"/>
                <w:szCs w:val="20"/>
              </w:rPr>
              <w:t xml:space="preserve">59.38%</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64</w:t>
      </w:r>
    </w:p>
    <w:p>
      <w:pPr>
        <w:spacing w:after="80"/>
      </w:pPr>
      <w:r>
        <w:rPr>
          <w:b/>
          <w:sz w:val="24"/>
          <w:szCs w:val="24"/>
        </w:rPr>
        <w:t xml:space="preserve">Q16. In your opinion, what are the main benefits of teaching procedures for patients? (Multiple choice)  [Multiple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More meticulous medical attention (e.g., an additional layer of examination)</w:t>
            </w:r>
          </w:p>
        </w:tc>
        <w:tc>
          <w:tcPr>
            <w:tcW w:w="1200" w:type="dxa"/>
            <w:vAlign w:val="center"/>
          </w:tcPr>
          <w:p>
            <w:pPr>
              <w:spacing w:after="20"/>
            </w:pPr>
            <w:r>
              <w:rPr>
                <w:sz w:val="20"/>
                <w:szCs w:val="20"/>
              </w:rPr>
              <w:t xml:space="preserve">43</w:t>
            </w:r>
          </w:p>
        </w:tc>
        <w:tc>
          <w:tcPr>
            <w:tcW w:w="1600" w:type="dxa"/>
            <w:vAlign w:val="center"/>
          </w:tcPr>
          <w:p>
            <w:pPr>
              <w:spacing w:after="20"/>
            </w:pPr>
            <w:r>
              <w:rPr>
                <w:sz w:val="20"/>
                <w:szCs w:val="20"/>
              </w:rPr>
              <w:t xml:space="preserve">67.19%</w:t>
            </w:r>
          </w:p>
        </w:tc>
      </w:tr>
      <w:tr>
        <w:tc>
          <w:tcPr>
            <w:tcW w:w="5600" w:type="dxa"/>
            <w:vAlign w:val="center"/>
          </w:tcPr>
          <w:p>
            <w:pPr>
              <w:spacing w:after="20"/>
            </w:pPr>
            <w:r>
              <w:rPr>
                <w:sz w:val="20"/>
                <w:szCs w:val="20"/>
              </w:rPr>
              <w:t xml:space="preserve">Potential detection of additional medical issues (e.g., anatomical variations)</w:t>
            </w:r>
          </w:p>
        </w:tc>
        <w:tc>
          <w:tcPr>
            <w:tcW w:w="1200" w:type="dxa"/>
            <w:vAlign w:val="center"/>
          </w:tcPr>
          <w:p>
            <w:pPr>
              <w:spacing w:after="20"/>
            </w:pPr>
            <w:r>
              <w:rPr>
                <w:sz w:val="20"/>
                <w:szCs w:val="20"/>
              </w:rPr>
              <w:t xml:space="preserve">32</w:t>
            </w:r>
          </w:p>
        </w:tc>
        <w:tc>
          <w:tcPr>
            <w:tcW w:w="1600" w:type="dxa"/>
            <w:vAlign w:val="center"/>
          </w:tcPr>
          <w:p>
            <w:pPr>
              <w:spacing w:after="20"/>
            </w:pPr>
            <w:r>
              <w:rPr>
                <w:sz w:val="20"/>
                <w:szCs w:val="20"/>
              </w:rPr>
              <w:t xml:space="preserve">50%</w:t>
            </w:r>
          </w:p>
        </w:tc>
      </w:tr>
      <w:tr>
        <w:tc>
          <w:tcPr>
            <w:tcW w:w="5600" w:type="dxa"/>
            <w:vAlign w:val="center"/>
          </w:tcPr>
          <w:p>
            <w:pPr>
              <w:spacing w:after="20"/>
            </w:pPr>
            <w:r>
              <w:rPr>
                <w:sz w:val="20"/>
                <w:szCs w:val="20"/>
              </w:rPr>
              <w:t xml:space="preserve">Advancing medical education (future patients benefit)</w:t>
            </w:r>
          </w:p>
        </w:tc>
        <w:tc>
          <w:tcPr>
            <w:tcW w:w="1200" w:type="dxa"/>
            <w:vAlign w:val="center"/>
          </w:tcPr>
          <w:p>
            <w:pPr>
              <w:spacing w:after="20"/>
            </w:pPr>
            <w:r>
              <w:rPr>
                <w:sz w:val="20"/>
                <w:szCs w:val="20"/>
              </w:rPr>
              <w:t xml:space="preserve">54</w:t>
            </w:r>
          </w:p>
        </w:tc>
        <w:tc>
          <w:tcPr>
            <w:tcW w:w="1600" w:type="dxa"/>
            <w:vAlign w:val="center"/>
          </w:tcPr>
          <w:p>
            <w:pPr>
              <w:spacing w:after="20"/>
            </w:pPr>
            <w:r>
              <w:rPr>
                <w:sz w:val="20"/>
                <w:szCs w:val="20"/>
              </w:rPr>
              <w:t xml:space="preserve">84.38%</w:t>
            </w:r>
          </w:p>
        </w:tc>
      </w:tr>
      <w:tr>
        <w:tc>
          <w:tcPr>
            <w:tcW w:w="5600" w:type="dxa"/>
            <w:vAlign w:val="center"/>
          </w:tcPr>
          <w:p>
            <w:pPr>
              <w:spacing w:after="20"/>
            </w:pPr>
            <w:r>
              <w:rPr>
                <w:sz w:val="20"/>
                <w:szCs w:val="20"/>
              </w:rPr>
              <w:t xml:space="preserve">No obvious direct benefit</w:t>
            </w:r>
          </w:p>
        </w:tc>
        <w:tc>
          <w:tcPr>
            <w:tcW w:w="1200" w:type="dxa"/>
            <w:vAlign w:val="center"/>
          </w:tcPr>
          <w:p>
            <w:pPr>
              <w:spacing w:after="20"/>
            </w:pPr>
            <w:r>
              <w:rPr>
                <w:sz w:val="20"/>
                <w:szCs w:val="20"/>
              </w:rPr>
              <w:t xml:space="preserve">4</w:t>
            </w:r>
          </w:p>
        </w:tc>
        <w:tc>
          <w:tcPr>
            <w:tcW w:w="1600" w:type="dxa"/>
            <w:vAlign w:val="center"/>
          </w:tcPr>
          <w:p>
            <w:pPr>
              <w:spacing w:after="20"/>
            </w:pPr>
            <w:r>
              <w:rPr>
                <w:sz w:val="20"/>
                <w:szCs w:val="20"/>
              </w:rPr>
              <w:t xml:space="preserve">6.25%</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64</w:t>
      </w:r>
    </w:p>
    <w:p>
      <w:pPr>
        <w:spacing w:after="80"/>
      </w:pPr>
      <w:r>
        <w:rPr>
          <w:b/>
          <w:sz w:val="24"/>
          <w:szCs w:val="24"/>
        </w:rPr>
        <w:t xml:space="preserve">Q17. How do you view the statement that "seeking care at a teaching hospital implies implicit consent to teaching procedures"?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Strongly agree (patients should expect a teaching environment)</w:t>
            </w:r>
          </w:p>
        </w:tc>
        <w:tc>
          <w:tcPr>
            <w:tcW w:w="1200" w:type="dxa"/>
            <w:vAlign w:val="center"/>
          </w:tcPr>
          <w:p>
            <w:pPr>
              <w:spacing w:after="20"/>
            </w:pPr>
            <w:r>
              <w:rPr>
                <w:sz w:val="20"/>
                <w:szCs w:val="20"/>
              </w:rPr>
              <w:t xml:space="preserve">12</w:t>
            </w:r>
          </w:p>
        </w:tc>
        <w:tc>
          <w:tcPr>
            <w:tcW w:w="1600" w:type="dxa"/>
            <w:vAlign w:val="center"/>
          </w:tcPr>
          <w:p>
            <w:pPr>
              <w:spacing w:after="20"/>
            </w:pPr>
            <w:r>
              <w:rPr>
                <w:sz w:val="20"/>
                <w:szCs w:val="20"/>
              </w:rPr>
              <w:t xml:space="preserve">18.75%</w:t>
            </w:r>
          </w:p>
        </w:tc>
      </w:tr>
      <w:tr>
        <w:tc>
          <w:tcPr>
            <w:tcW w:w="5600" w:type="dxa"/>
            <w:vAlign w:val="center"/>
          </w:tcPr>
          <w:p>
            <w:pPr>
              <w:spacing w:after="20"/>
            </w:pPr>
            <w:r>
              <w:rPr>
                <w:sz w:val="20"/>
                <w:szCs w:val="20"/>
              </w:rPr>
              <w:t xml:space="preserve">Somewhat agree (but basic notification is required)</w:t>
            </w:r>
          </w:p>
        </w:tc>
        <w:tc>
          <w:tcPr>
            <w:tcW w:w="1200" w:type="dxa"/>
            <w:vAlign w:val="center"/>
          </w:tcPr>
          <w:p>
            <w:pPr>
              <w:spacing w:after="20"/>
            </w:pPr>
            <w:r>
              <w:rPr>
                <w:sz w:val="20"/>
                <w:szCs w:val="20"/>
              </w:rPr>
              <w:t xml:space="preserve">30</w:t>
            </w:r>
          </w:p>
        </w:tc>
        <w:tc>
          <w:tcPr>
            <w:tcW w:w="1600" w:type="dxa"/>
            <w:vAlign w:val="center"/>
          </w:tcPr>
          <w:p>
            <w:pPr>
              <w:spacing w:after="20"/>
            </w:pPr>
            <w:r>
              <w:rPr>
                <w:sz w:val="20"/>
                <w:szCs w:val="20"/>
              </w:rPr>
              <w:t xml:space="preserve">46.88%</w:t>
            </w:r>
          </w:p>
        </w:tc>
      </w:tr>
      <w:tr>
        <w:tc>
          <w:tcPr>
            <w:tcW w:w="5600" w:type="dxa"/>
            <w:vAlign w:val="center"/>
          </w:tcPr>
          <w:p>
            <w:pPr>
              <w:spacing w:after="20"/>
            </w:pPr>
            <w:r>
              <w:rPr>
                <w:sz w:val="20"/>
                <w:szCs w:val="20"/>
              </w:rPr>
              <w:t xml:space="preserve">Neutral</w:t>
            </w:r>
          </w:p>
        </w:tc>
        <w:tc>
          <w:tcPr>
            <w:tcW w:w="1200" w:type="dxa"/>
            <w:vAlign w:val="center"/>
          </w:tcPr>
          <w:p>
            <w:pPr>
              <w:spacing w:after="20"/>
            </w:pPr>
            <w:r>
              <w:rPr>
                <w:sz w:val="20"/>
                <w:szCs w:val="20"/>
              </w:rPr>
              <w:t xml:space="preserve">17</w:t>
            </w:r>
          </w:p>
        </w:tc>
        <w:tc>
          <w:tcPr>
            <w:tcW w:w="1600" w:type="dxa"/>
            <w:vAlign w:val="center"/>
          </w:tcPr>
          <w:p>
            <w:pPr>
              <w:spacing w:after="20"/>
            </w:pPr>
            <w:r>
              <w:rPr>
                <w:sz w:val="20"/>
                <w:szCs w:val="20"/>
              </w:rPr>
              <w:t xml:space="preserve">26.56%</w:t>
            </w:r>
          </w:p>
        </w:tc>
      </w:tr>
      <w:tr>
        <w:tc>
          <w:tcPr>
            <w:tcW w:w="5600" w:type="dxa"/>
            <w:vAlign w:val="center"/>
          </w:tcPr>
          <w:p>
            <w:pPr>
              <w:spacing w:after="20"/>
            </w:pPr>
            <w:r>
              <w:rPr>
                <w:sz w:val="20"/>
                <w:szCs w:val="20"/>
              </w:rPr>
              <w:t xml:space="preserve">Somewhat disagree (explicit consent should be obtained)</w:t>
            </w:r>
          </w:p>
        </w:tc>
        <w:tc>
          <w:tcPr>
            <w:tcW w:w="1200" w:type="dxa"/>
            <w:vAlign w:val="center"/>
          </w:tcPr>
          <w:p>
            <w:pPr>
              <w:spacing w:after="20"/>
            </w:pPr>
            <w:r>
              <w:rPr>
                <w:sz w:val="20"/>
                <w:szCs w:val="20"/>
              </w:rPr>
              <w:t xml:space="preserve">4</w:t>
            </w:r>
          </w:p>
        </w:tc>
        <w:tc>
          <w:tcPr>
            <w:tcW w:w="1600" w:type="dxa"/>
            <w:vAlign w:val="center"/>
          </w:tcPr>
          <w:p>
            <w:pPr>
              <w:spacing w:after="20"/>
            </w:pPr>
            <w:r>
              <w:rPr>
                <w:sz w:val="20"/>
                <w:szCs w:val="20"/>
              </w:rPr>
              <w:t xml:space="preserve">6.25%</w:t>
            </w:r>
          </w:p>
        </w:tc>
      </w:tr>
      <w:tr>
        <w:tc>
          <w:tcPr>
            <w:tcW w:w="5600" w:type="dxa"/>
            <w:vAlign w:val="center"/>
          </w:tcPr>
          <w:p>
            <w:pPr>
              <w:spacing w:after="20"/>
            </w:pPr>
            <w:r>
              <w:rPr>
                <w:sz w:val="20"/>
                <w:szCs w:val="20"/>
              </w:rPr>
              <w:t xml:space="preserve">Strongly disagree (separate consent is mandatory)</w:t>
            </w:r>
          </w:p>
        </w:tc>
        <w:tc>
          <w:tcPr>
            <w:tcW w:w="1200" w:type="dxa"/>
            <w:vAlign w:val="center"/>
          </w:tcPr>
          <w:p>
            <w:pPr>
              <w:spacing w:after="20"/>
            </w:pPr>
            <w:r>
              <w:rPr>
                <w:sz w:val="20"/>
                <w:szCs w:val="20"/>
              </w:rPr>
              <w:t xml:space="preserve">1</w:t>
            </w:r>
          </w:p>
        </w:tc>
        <w:tc>
          <w:tcPr>
            <w:tcW w:w="1600" w:type="dxa"/>
            <w:vAlign w:val="center"/>
          </w:tcPr>
          <w:p>
            <w:pPr>
              <w:spacing w:after="20"/>
            </w:pPr>
            <w:r>
              <w:rPr>
                <w:sz w:val="20"/>
                <w:szCs w:val="20"/>
              </w:rPr>
              <w:t xml:space="preserve">1.56%</w:t>
            </w:r>
          </w:p>
        </w:tc>
      </w:tr>
    </w:tbl>
    <w:p>
      <w:pPr>
        <w:spacing w:after="200"/>
      </w:pPr>
      <w:r>
        <w:rPr>
          <w:i/>
          <w:sz w:val="20"/>
          <w:szCs w:val="20"/>
        </w:rPr>
        <w:t xml:space="preserve">Valid responses for this item: 64</w:t>
      </w:r>
    </w:p>
    <w:p>
      <w:pPr>
        <w:spacing w:after="80"/>
      </w:pPr>
      <w:r>
        <w:rPr>
          <w:b/>
          <w:sz w:val="24"/>
          <w:szCs w:val="24"/>
        </w:rPr>
        <w:t xml:space="preserve">Q18. If teaching procedures were restricted, how would this affect the training of anesthesia trainees?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Severe impact (key skills cannot be mastered)</w:t>
            </w:r>
          </w:p>
        </w:tc>
        <w:tc>
          <w:tcPr>
            <w:tcW w:w="1200" w:type="dxa"/>
            <w:vAlign w:val="center"/>
          </w:tcPr>
          <w:p>
            <w:pPr>
              <w:spacing w:after="20"/>
            </w:pPr>
            <w:r>
              <w:rPr>
                <w:sz w:val="20"/>
                <w:szCs w:val="20"/>
              </w:rPr>
              <w:t xml:space="preserve">38</w:t>
            </w:r>
          </w:p>
        </w:tc>
        <w:tc>
          <w:tcPr>
            <w:tcW w:w="1600" w:type="dxa"/>
            <w:vAlign w:val="center"/>
          </w:tcPr>
          <w:p>
            <w:pPr>
              <w:spacing w:after="20"/>
            </w:pPr>
            <w:r>
              <w:rPr>
                <w:sz w:val="20"/>
                <w:szCs w:val="20"/>
              </w:rPr>
              <w:t xml:space="preserve">59.38%</w:t>
            </w:r>
          </w:p>
        </w:tc>
      </w:tr>
      <w:tr>
        <w:tc>
          <w:tcPr>
            <w:tcW w:w="5600" w:type="dxa"/>
            <w:vAlign w:val="center"/>
          </w:tcPr>
          <w:p>
            <w:pPr>
              <w:spacing w:after="20"/>
            </w:pPr>
            <w:r>
              <w:rPr>
                <w:sz w:val="20"/>
                <w:szCs w:val="20"/>
              </w:rPr>
              <w:t xml:space="preserve">Major impact (but can be partially compensated)</w:t>
            </w:r>
          </w:p>
        </w:tc>
        <w:tc>
          <w:tcPr>
            <w:tcW w:w="1200" w:type="dxa"/>
            <w:vAlign w:val="center"/>
          </w:tcPr>
          <w:p>
            <w:pPr>
              <w:spacing w:after="20"/>
            </w:pPr>
            <w:r>
              <w:rPr>
                <w:sz w:val="20"/>
                <w:szCs w:val="20"/>
              </w:rPr>
              <w:t xml:space="preserve">21</w:t>
            </w:r>
          </w:p>
        </w:tc>
        <w:tc>
          <w:tcPr>
            <w:tcW w:w="1600" w:type="dxa"/>
            <w:vAlign w:val="center"/>
          </w:tcPr>
          <w:p>
            <w:pPr>
              <w:spacing w:after="20"/>
            </w:pPr>
            <w:r>
              <w:rPr>
                <w:sz w:val="20"/>
                <w:szCs w:val="20"/>
              </w:rPr>
              <w:t xml:space="preserve">32.81%</w:t>
            </w:r>
          </w:p>
        </w:tc>
      </w:tr>
      <w:tr>
        <w:tc>
          <w:tcPr>
            <w:tcW w:w="5600" w:type="dxa"/>
            <w:vAlign w:val="center"/>
          </w:tcPr>
          <w:p>
            <w:pPr>
              <w:spacing w:after="20"/>
            </w:pPr>
            <w:r>
              <w:rPr>
                <w:sz w:val="20"/>
                <w:szCs w:val="20"/>
              </w:rPr>
              <w:t xml:space="preserve">Moderate impact (can be compensated by simulation training)</w:t>
            </w:r>
          </w:p>
        </w:tc>
        <w:tc>
          <w:tcPr>
            <w:tcW w:w="1200" w:type="dxa"/>
            <w:vAlign w:val="center"/>
          </w:tcPr>
          <w:p>
            <w:pPr>
              <w:spacing w:after="20"/>
            </w:pPr>
            <w:r>
              <w:rPr>
                <w:sz w:val="20"/>
                <w:szCs w:val="20"/>
              </w:rPr>
              <w:t xml:space="preserve">4</w:t>
            </w:r>
          </w:p>
        </w:tc>
        <w:tc>
          <w:tcPr>
            <w:tcW w:w="1600" w:type="dxa"/>
            <w:vAlign w:val="center"/>
          </w:tcPr>
          <w:p>
            <w:pPr>
              <w:spacing w:after="20"/>
            </w:pPr>
            <w:r>
              <w:rPr>
                <w:sz w:val="20"/>
                <w:szCs w:val="20"/>
              </w:rPr>
              <w:t xml:space="preserve">6.25%</w:t>
            </w:r>
          </w:p>
        </w:tc>
      </w:tr>
      <w:tr>
        <w:tc>
          <w:tcPr>
            <w:tcW w:w="5600" w:type="dxa"/>
            <w:vAlign w:val="center"/>
          </w:tcPr>
          <w:p>
            <w:pPr>
              <w:spacing w:after="20"/>
            </w:pPr>
            <w:r>
              <w:rPr>
                <w:sz w:val="20"/>
                <w:szCs w:val="20"/>
              </w:rPr>
              <w:t xml:space="preserve">Minor impact (sufficient clinical opportunities remain)</w:t>
            </w:r>
          </w:p>
        </w:tc>
        <w:tc>
          <w:tcPr>
            <w:tcW w:w="1200" w:type="dxa"/>
            <w:vAlign w:val="center"/>
          </w:tcPr>
          <w:p>
            <w:pPr>
              <w:spacing w:after="20"/>
            </w:pPr>
            <w:r>
              <w:rPr>
                <w:sz w:val="20"/>
                <w:szCs w:val="20"/>
              </w:rPr>
              <w:t xml:space="preserve">1</w:t>
            </w:r>
          </w:p>
        </w:tc>
        <w:tc>
          <w:tcPr>
            <w:tcW w:w="1600" w:type="dxa"/>
            <w:vAlign w:val="center"/>
          </w:tcPr>
          <w:p>
            <w:pPr>
              <w:spacing w:after="20"/>
            </w:pPr>
            <w:r>
              <w:rPr>
                <w:sz w:val="20"/>
                <w:szCs w:val="20"/>
              </w:rPr>
              <w:t xml:space="preserve">1.56%</w:t>
            </w:r>
          </w:p>
        </w:tc>
      </w:tr>
      <w:tr>
        <w:tc>
          <w:tcPr>
            <w:tcW w:w="5600" w:type="dxa"/>
            <w:vAlign w:val="center"/>
          </w:tcPr>
          <w:p>
            <w:pPr>
              <w:spacing w:after="20"/>
            </w:pPr>
            <w:r>
              <w:rPr>
                <w:sz w:val="20"/>
                <w:szCs w:val="20"/>
              </w:rPr>
              <w:t xml:space="preserve">Almost no impact</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64</w:t>
      </w:r>
    </w:p>
    <w:p>
      <w:pPr>
        <w:spacing w:after="80"/>
      </w:pPr>
      <w:r>
        <w:rPr>
          <w:b/>
          <w:sz w:val="24"/>
          <w:szCs w:val="24"/>
        </w:rPr>
        <w:t xml:space="preserve">Q19. In your opinion, what is the most reasonable way to balance patient rights and teaching needs?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Prioritize patient rights (strict informed consent)</w:t>
            </w:r>
          </w:p>
        </w:tc>
        <w:tc>
          <w:tcPr>
            <w:tcW w:w="1200" w:type="dxa"/>
            <w:vAlign w:val="center"/>
          </w:tcPr>
          <w:p>
            <w:pPr>
              <w:spacing w:after="20"/>
            </w:pPr>
            <w:r>
              <w:rPr>
                <w:sz w:val="20"/>
                <w:szCs w:val="20"/>
              </w:rPr>
              <w:t xml:space="preserve">26</w:t>
            </w:r>
          </w:p>
        </w:tc>
        <w:tc>
          <w:tcPr>
            <w:tcW w:w="1600" w:type="dxa"/>
            <w:vAlign w:val="center"/>
          </w:tcPr>
          <w:p>
            <w:pPr>
              <w:spacing w:after="20"/>
            </w:pPr>
            <w:r>
              <w:rPr>
                <w:sz w:val="20"/>
                <w:szCs w:val="20"/>
              </w:rPr>
              <w:t xml:space="preserve">40.63%</w:t>
            </w:r>
          </w:p>
        </w:tc>
      </w:tr>
      <w:tr>
        <w:tc>
          <w:tcPr>
            <w:tcW w:w="5600" w:type="dxa"/>
            <w:vAlign w:val="center"/>
          </w:tcPr>
          <w:p>
            <w:pPr>
              <w:spacing w:after="20"/>
            </w:pPr>
            <w:r>
              <w:rPr>
                <w:sz w:val="20"/>
                <w:szCs w:val="20"/>
              </w:rPr>
              <w:t xml:space="preserve">Prioritize teaching needs (appropriately relax consent requirements)</w:t>
            </w:r>
          </w:p>
        </w:tc>
        <w:tc>
          <w:tcPr>
            <w:tcW w:w="1200" w:type="dxa"/>
            <w:vAlign w:val="center"/>
          </w:tcPr>
          <w:p>
            <w:pPr>
              <w:spacing w:after="20"/>
            </w:pPr>
            <w:r>
              <w:rPr>
                <w:sz w:val="20"/>
                <w:szCs w:val="20"/>
              </w:rPr>
              <w:t xml:space="preserve">7</w:t>
            </w:r>
          </w:p>
        </w:tc>
        <w:tc>
          <w:tcPr>
            <w:tcW w:w="1600" w:type="dxa"/>
            <w:vAlign w:val="center"/>
          </w:tcPr>
          <w:p>
            <w:pPr>
              <w:spacing w:after="20"/>
            </w:pPr>
            <w:r>
              <w:rPr>
                <w:sz w:val="20"/>
                <w:szCs w:val="20"/>
              </w:rPr>
              <w:t xml:space="preserve">10.94%</w:t>
            </w:r>
          </w:p>
        </w:tc>
      </w:tr>
      <w:tr>
        <w:tc>
          <w:tcPr>
            <w:tcW w:w="5600" w:type="dxa"/>
            <w:vAlign w:val="center"/>
          </w:tcPr>
          <w:p>
            <w:pPr>
              <w:spacing w:after="20"/>
            </w:pPr>
            <w:r>
              <w:rPr>
                <w:sz w:val="20"/>
                <w:szCs w:val="20"/>
              </w:rPr>
              <w:t xml:space="preserve">Stratified management according to procedural risk (low-risk procedures may be presumed; high-risk procedures require explicit consent)</w:t>
            </w:r>
          </w:p>
        </w:tc>
        <w:tc>
          <w:tcPr>
            <w:tcW w:w="1200" w:type="dxa"/>
            <w:vAlign w:val="center"/>
          </w:tcPr>
          <w:p>
            <w:pPr>
              <w:spacing w:after="20"/>
            </w:pPr>
            <w:r>
              <w:rPr>
                <w:sz w:val="20"/>
                <w:szCs w:val="20"/>
              </w:rPr>
              <w:t xml:space="preserve">31</w:t>
            </w:r>
          </w:p>
        </w:tc>
        <w:tc>
          <w:tcPr>
            <w:tcW w:w="1600" w:type="dxa"/>
            <w:vAlign w:val="center"/>
          </w:tcPr>
          <w:p>
            <w:pPr>
              <w:spacing w:after="20"/>
            </w:pPr>
            <w:r>
              <w:rPr>
                <w:sz w:val="20"/>
                <w:szCs w:val="20"/>
              </w:rPr>
              <w:t xml:space="preserve">48.44%</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64</w:t>
      </w:r>
    </w:p>
    <w:p>
      <w:pPr>
        <w:spacing w:after="80"/>
      </w:pPr>
      <w:r>
        <w:rPr>
          <w:b/>
          <w:sz w:val="24"/>
          <w:szCs w:val="24"/>
        </w:rPr>
        <w:t xml:space="preserve">Q20. Please briefly describe your personal views on the necessity of informed consent for anesthesia teaching supervision (e.g., should all procedures require consent? Are there exceptions?)  [Open-ended]</w:t>
      </w:r>
    </w:p>
    <w:p>
      <w:pPr>
        <w:spacing w:after="200"/>
      </w:pPr>
      <w:r>
        <w:rPr>
          <w:i/>
          <w:sz w:val="20"/>
          <w:szCs w:val="20"/>
        </w:rPr>
        <w:t xml:space="preserve">Open-ended question. Free-text responses were collected; no fixed response options apply.</w:t>
      </w:r>
    </w:p>
    <w:p>
      <w:pPr>
        <w:spacing w:after="80"/>
      </w:pPr>
      <w:r>
        <w:rPr>
          <w:b/>
          <w:sz w:val="24"/>
          <w:szCs w:val="24"/>
        </w:rPr>
        <w:t xml:space="preserve">Q21. Do you have any suggestions for improving the informed consent process for anesthesia teaching supervision (e.g., optimizing the notification approach, strengthening patient education, policy adjustments, etc.)?  [Open-ended]</w:t>
      </w:r>
    </w:p>
    <w:p>
      <w:pPr>
        <w:spacing w:after="200"/>
      </w:pPr>
      <w:r>
        <w:rPr>
          <w:i/>
          <w:sz w:val="20"/>
          <w:szCs w:val="20"/>
        </w:rPr>
        <w:t xml:space="preserve">Open-ended question. Free-text responses were collected; no fixed response options apply.</w:t>
      </w:r>
    </w:p>
    <w:p>
      <w:pPr>
        <w:spacing w:after="160"/>
      </w:pPr>
      <w:r>
        <w:rPr>
          <w:b/>
          <w:sz w:val="28"/>
          <w:szCs w:val="28"/>
          <w:color w:val="1F4E79"/>
        </w:rPr>
        <w:t xml:space="preserve">Part II. Response summary (raw data, unmodified)</w:t>
      </w:r>
    </w:p>
    <w:p>
      <w:pPr>
        <w:spacing w:after="160"/>
      </w:pPr>
      <w:r>
        <w:rPr>
          <w:sz w:val="22"/>
          <w:szCs w:val="22"/>
        </w:rPr>
        <w:t xml:space="preserve">The response summary for each item (option counts and percentages) is presented in the tables of Part I. These figures were exported directly from the survey platform and are identical to the original Chinese-language data files.</w:t>
      </w:r>
    </w:p>
    <w:sectPr>
      <w:pgSz w:w="11906" w:h="16838"/>
      <w:pgMar w:top="1440" w:right="1440" w:bottom="1440" w:left="1440"/>
    </w:sectPr>
  </w:body>
</w:document>
</file>

<file path=word/_rels/document.xml.rels><?xml version="1.0" encoding="UTF-8" standalone="yes"?><Relationships xmlns="http://schemas.openxmlformats.org/package/2006/relationships"></Relationships>
</file>