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60"/>
      </w:pPr>
      <w:r>
        <w:rPr>
          <w:b/>
          <w:sz w:val="36"/>
          <w:szCs w:val="36"/>
        </w:rPr>
        <w:t xml:space="preserve">Survey Questionnaire (English Version)</w:t>
      </w:r>
    </w:p>
    <w:p>
      <w:pPr>
        <w:jc w:val="center"/>
        <w:spacing w:after="240"/>
      </w:pPr>
      <w:r>
        <w:rPr>
          <w:b/>
          <w:sz w:val="28"/>
          <w:szCs w:val="28"/>
        </w:rPr>
        <w:t xml:space="preserve">Informed Consent for Skills-Based Teaching in Clinical Education (Interns, 2025)</w:t>
      </w:r>
    </w:p>
    <w:p>
      <w:pPr>
        <w:spacing w:after="240"/>
      </w:pPr>
      <w:r>
        <w:rPr>
          <w:i/>
          <w:sz w:val="22"/>
          <w:szCs w:val="22"/>
        </w:rPr>
        <w:t xml:space="preserve">This questionnaire was developed by the research team specifically for this study and has not been previously published elsewhere. It was administered anonymously through an online survey platform. The document below presents the complete set of questions and response options in English (Part I), followed by the response summary for each item (Part II). All figures are the raw data exported directly from the survey platform and have not been modified.</w:t>
      </w:r>
    </w:p>
    <w:p>
      <w:pPr>
        <w:spacing w:after="240"/>
      </w:pPr>
      <w:r>
        <w:rPr>
          <w:b/>
          <w:sz w:val="24"/>
          <w:szCs w:val="24"/>
        </w:rPr>
        <w:t xml:space="preserve">Total number of valid responses: 23</w:t>
      </w:r>
    </w:p>
    <w:p>
      <w:pPr>
        <w:spacing w:after="160"/>
      </w:pPr>
      <w:r>
        <w:rPr>
          <w:b/>
          <w:sz w:val="28"/>
          <w:szCs w:val="28"/>
          <w:color w:val="1F4E79"/>
        </w:rPr>
        <w:t xml:space="preserve">Part I. Questionnaire items and response options</w:t>
      </w:r>
    </w:p>
    <w:p>
      <w:pPr>
        <w:spacing w:after="80"/>
      </w:pPr>
      <w:r>
        <w:rPr>
          <w:b/>
          <w:sz w:val="24"/>
          <w:szCs w:val="24"/>
        </w:rPr>
        <w:t xml:space="preserve">Q1. What is your gender?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Male</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52.17%</w:t>
            </w:r>
          </w:p>
        </w:tc>
      </w:tr>
      <w:tr>
        <w:tc>
          <w:tcPr>
            <w:tcW w:w="5600" w:type="dxa"/>
            <w:vAlign w:val="center"/>
          </w:tcPr>
          <w:p>
            <w:pPr>
              <w:spacing w:after="20"/>
            </w:pPr>
            <w:r>
              <w:rPr>
                <w:sz w:val="20"/>
                <w:szCs w:val="20"/>
              </w:rPr>
              <w:t xml:space="preserve">Female</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47.83%</w:t>
            </w:r>
          </w:p>
        </w:tc>
      </w:tr>
    </w:tbl>
    <w:p>
      <w:pPr>
        <w:spacing w:after="200"/>
      </w:pPr>
      <w:r>
        <w:rPr>
          <w:i/>
          <w:sz w:val="20"/>
          <w:szCs w:val="20"/>
        </w:rPr>
        <w:t xml:space="preserve">Valid responses for this item: 23</w:t>
      </w:r>
    </w:p>
    <w:p>
      <w:pPr>
        <w:spacing w:after="80"/>
      </w:pPr>
      <w:r>
        <w:rPr>
          <w:b/>
          <w:sz w:val="24"/>
          <w:szCs w:val="24"/>
        </w:rPr>
        <w:t xml:space="preserve">Q2. What is your age?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Under 25 years</w:t>
            </w:r>
          </w:p>
        </w:tc>
        <w:tc>
          <w:tcPr>
            <w:tcW w:w="1200" w:type="dxa"/>
            <w:vAlign w:val="center"/>
          </w:tcPr>
          <w:p>
            <w:pPr>
              <w:spacing w:after="20"/>
            </w:pPr>
            <w:r>
              <w:rPr>
                <w:sz w:val="20"/>
                <w:szCs w:val="20"/>
              </w:rPr>
              <w:t xml:space="preserve">23</w:t>
            </w:r>
          </w:p>
        </w:tc>
        <w:tc>
          <w:tcPr>
            <w:tcW w:w="1600" w:type="dxa"/>
            <w:vAlign w:val="center"/>
          </w:tcPr>
          <w:p>
            <w:pPr>
              <w:spacing w:after="20"/>
            </w:pPr>
            <w:r>
              <w:rPr>
                <w:sz w:val="20"/>
                <w:szCs w:val="20"/>
              </w:rPr>
              <w:t xml:space="preserve">100%</w:t>
            </w:r>
          </w:p>
        </w:tc>
      </w:tr>
      <w:tr>
        <w:tc>
          <w:tcPr>
            <w:tcW w:w="5600" w:type="dxa"/>
            <w:vAlign w:val="center"/>
          </w:tcPr>
          <w:p>
            <w:pPr>
              <w:spacing w:after="20"/>
            </w:pPr>
            <w:r>
              <w:rPr>
                <w:sz w:val="20"/>
                <w:szCs w:val="20"/>
              </w:rPr>
              <w:t xml:space="preserve">26-30 years</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Q3. What is your current post-graduation status?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Employed (or delegated standardized residency training commissioned by the employing hospital)</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34.78%</w:t>
            </w:r>
          </w:p>
        </w:tc>
      </w:tr>
      <w:tr>
        <w:tc>
          <w:tcPr>
            <w:tcW w:w="5600" w:type="dxa"/>
            <w:vAlign w:val="center"/>
          </w:tcPr>
          <w:p>
            <w:pPr>
              <w:spacing w:after="20"/>
            </w:pPr>
            <w:r>
              <w:rPr>
                <w:sz w:val="20"/>
                <w:szCs w:val="20"/>
              </w:rPr>
              <w:t xml:space="preserve">Standardized residency training (unified recruitment, socially recruited)</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21.74%</w:t>
            </w:r>
          </w:p>
        </w:tc>
      </w:tr>
      <w:tr>
        <w:tc>
          <w:tcPr>
            <w:tcW w:w="5600" w:type="dxa"/>
            <w:vAlign w:val="center"/>
          </w:tcPr>
          <w:p>
            <w:pPr>
              <w:spacing w:after="20"/>
            </w:pPr>
            <w:r>
              <w:rPr>
                <w:sz w:val="20"/>
                <w:szCs w:val="20"/>
              </w:rPr>
              <w:t xml:space="preserve">Continuing graduate education (professional master's degree)</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r>
        <w:tc>
          <w:tcPr>
            <w:tcW w:w="5600" w:type="dxa"/>
            <w:vAlign w:val="center"/>
          </w:tcPr>
          <w:p>
            <w:pPr>
              <w:spacing w:after="20"/>
            </w:pPr>
            <w:r>
              <w:rPr>
                <w:sz w:val="20"/>
                <w:szCs w:val="20"/>
              </w:rPr>
              <w:t xml:space="preserve">Continuing graduate education (academic master's degree)</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None at present (including preparing for the postgraduate entrance examination)</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30.43%</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Q4. Which specialty do you plan or expect to pursue?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Surgery</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21.74%</w:t>
            </w:r>
          </w:p>
        </w:tc>
      </w:tr>
      <w:tr>
        <w:tc>
          <w:tcPr>
            <w:tcW w:w="5600" w:type="dxa"/>
            <w:vAlign w:val="center"/>
          </w:tcPr>
          <w:p>
            <w:pPr>
              <w:spacing w:after="20"/>
            </w:pPr>
            <w:r>
              <w:rPr>
                <w:sz w:val="20"/>
                <w:szCs w:val="20"/>
              </w:rPr>
              <w:t xml:space="preserve">Internal medicine</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52.17%</w:t>
            </w:r>
          </w:p>
        </w:tc>
      </w:tr>
      <w:tr>
        <w:tc>
          <w:tcPr>
            <w:tcW w:w="5600" w:type="dxa"/>
            <w:vAlign w:val="center"/>
          </w:tcPr>
          <w:p>
            <w:pPr>
              <w:spacing w:after="20"/>
            </w:pPr>
            <w:r>
              <w:rPr>
                <w:sz w:val="20"/>
                <w:szCs w:val="20"/>
              </w:rPr>
              <w:t xml:space="preserve">Pediatrics</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Obstetrics and Gynecology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Anesthesiology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Oral and maxillofacial surgery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26.09%</w:t>
            </w:r>
          </w:p>
        </w:tc>
      </w:tr>
    </w:tbl>
    <w:p>
      <w:pPr>
        <w:spacing w:after="200"/>
      </w:pPr>
      <w:r>
        <w:rPr>
          <w:i/>
          <w:sz w:val="20"/>
          <w:szCs w:val="20"/>
        </w:rPr>
        <w:t xml:space="preserve">Valid responses for this item: 23</w:t>
      </w:r>
    </w:p>
    <w:p>
      <w:pPr>
        <w:spacing w:after="80"/>
      </w:pPr>
      <w:r>
        <w:rPr>
          <w:b/>
          <w:sz w:val="24"/>
          <w:szCs w:val="24"/>
        </w:rPr>
        <w:t xml:space="preserve">Q5. During your clinical internship, how often did supervising teachers provide verbal bedside teaching (i.e., the teacher explained while performing the procedure)?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Every day</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47.83%</w:t>
            </w:r>
          </w:p>
        </w:tc>
      </w:tr>
      <w:tr>
        <w:tc>
          <w:tcPr>
            <w:tcW w:w="5600" w:type="dxa"/>
            <w:vAlign w:val="center"/>
          </w:tcPr>
          <w:p>
            <w:pPr>
              <w:spacing w:after="20"/>
            </w:pPr>
            <w:r>
              <w:rPr>
                <w:sz w:val="20"/>
                <w:szCs w:val="20"/>
              </w:rPr>
              <w:t xml:space="preserve">3-5 times per week</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30.43%</w:t>
            </w:r>
          </w:p>
        </w:tc>
      </w:tr>
      <w:tr>
        <w:tc>
          <w:tcPr>
            <w:tcW w:w="5600" w:type="dxa"/>
            <w:vAlign w:val="center"/>
          </w:tcPr>
          <w:p>
            <w:pPr>
              <w:spacing w:after="20"/>
            </w:pPr>
            <w:r>
              <w:rPr>
                <w:sz w:val="20"/>
                <w:szCs w:val="20"/>
              </w:rPr>
              <w:t xml:space="preserve">1-2 times per week</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r>
        <w:tc>
          <w:tcPr>
            <w:tcW w:w="5600" w:type="dxa"/>
            <w:vAlign w:val="center"/>
          </w:tcPr>
          <w:p>
            <w:pPr>
              <w:spacing w:after="20"/>
            </w:pPr>
            <w:r>
              <w:rPr>
                <w:sz w:val="20"/>
                <w:szCs w:val="20"/>
              </w:rPr>
              <w:t xml:space="preserve">Rarely</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8.7%</w:t>
            </w:r>
          </w:p>
        </w:tc>
      </w:tr>
    </w:tbl>
    <w:p>
      <w:pPr>
        <w:spacing w:after="200"/>
      </w:pPr>
      <w:r>
        <w:rPr>
          <w:i/>
          <w:sz w:val="20"/>
          <w:szCs w:val="20"/>
        </w:rPr>
        <w:t xml:space="preserve">Valid responses for this item: 23</w:t>
      </w:r>
    </w:p>
    <w:p>
      <w:pPr>
        <w:spacing w:after="80"/>
      </w:pPr>
      <w:r>
        <w:rPr>
          <w:b/>
          <w:sz w:val="24"/>
          <w:szCs w:val="24"/>
        </w:rPr>
        <w:t xml:space="preserve">Q6. During your clinical internship, how often did supervising teachers provide hands-on procedural supervision (i.e., the teacher observed and guided while the student performed the procedure)?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Every day</w:t>
            </w:r>
          </w:p>
        </w:tc>
        <w:tc>
          <w:tcPr>
            <w:tcW w:w="1200" w:type="dxa"/>
            <w:vAlign w:val="center"/>
          </w:tcPr>
          <w:p>
            <w:pPr>
              <w:spacing w:after="20"/>
            </w:pPr>
            <w:r>
              <w:rPr>
                <w:sz w:val="20"/>
                <w:szCs w:val="20"/>
              </w:rPr>
              <w:t xml:space="preserve">10</w:t>
            </w:r>
          </w:p>
        </w:tc>
        <w:tc>
          <w:tcPr>
            <w:tcW w:w="1600" w:type="dxa"/>
            <w:vAlign w:val="center"/>
          </w:tcPr>
          <w:p>
            <w:pPr>
              <w:spacing w:after="20"/>
            </w:pPr>
            <w:r>
              <w:rPr>
                <w:sz w:val="20"/>
                <w:szCs w:val="20"/>
              </w:rPr>
              <w:t xml:space="preserve">43.48%</w:t>
            </w:r>
          </w:p>
        </w:tc>
      </w:tr>
      <w:tr>
        <w:tc>
          <w:tcPr>
            <w:tcW w:w="5600" w:type="dxa"/>
            <w:vAlign w:val="center"/>
          </w:tcPr>
          <w:p>
            <w:pPr>
              <w:spacing w:after="20"/>
            </w:pPr>
            <w:r>
              <w:rPr>
                <w:sz w:val="20"/>
                <w:szCs w:val="20"/>
              </w:rPr>
              <w:t xml:space="preserve">3-5 times per week</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30.43%</w:t>
            </w:r>
          </w:p>
        </w:tc>
      </w:tr>
      <w:tr>
        <w:tc>
          <w:tcPr>
            <w:tcW w:w="5600" w:type="dxa"/>
            <w:vAlign w:val="center"/>
          </w:tcPr>
          <w:p>
            <w:pPr>
              <w:spacing w:after="20"/>
            </w:pPr>
            <w:r>
              <w:rPr>
                <w:sz w:val="20"/>
                <w:szCs w:val="20"/>
              </w:rPr>
              <w:t xml:space="preserve">1-2 times per week</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17.39%</w:t>
            </w:r>
          </w:p>
        </w:tc>
      </w:tr>
      <w:tr>
        <w:tc>
          <w:tcPr>
            <w:tcW w:w="5600" w:type="dxa"/>
            <w:vAlign w:val="center"/>
          </w:tcPr>
          <w:p>
            <w:pPr>
              <w:spacing w:after="20"/>
            </w:pPr>
            <w:r>
              <w:rPr>
                <w:sz w:val="20"/>
                <w:szCs w:val="20"/>
              </w:rPr>
              <w:t xml:space="preserve">Rarely</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8.7%</w:t>
            </w:r>
          </w:p>
        </w:tc>
      </w:tr>
    </w:tbl>
    <w:p>
      <w:pPr>
        <w:spacing w:after="200"/>
      </w:pPr>
      <w:r>
        <w:rPr>
          <w:i/>
          <w:sz w:val="20"/>
          <w:szCs w:val="20"/>
        </w:rPr>
        <w:t xml:space="preserve">Valid responses for this item: 23</w:t>
      </w:r>
    </w:p>
    <w:p>
      <w:pPr>
        <w:spacing w:after="80"/>
      </w:pPr>
      <w:r>
        <w:rPr>
          <w:b/>
          <w:sz w:val="24"/>
          <w:szCs w:val="24"/>
        </w:rPr>
        <w:t xml:space="preserve">Q7. Do you believe that, in your current situation, you can independently complete routine clinical work? (Independence means that more than 80% of routine tasks require no intervention from senior physicians, including routine ward admissions, ward rounds, discharges, and related non-invasive skills; major surgical procedures are excluded.)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Yes</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21.74%</w:t>
            </w:r>
          </w:p>
        </w:tc>
      </w:tr>
      <w:tr>
        <w:tc>
          <w:tcPr>
            <w:tcW w:w="5600" w:type="dxa"/>
            <w:vAlign w:val="center"/>
          </w:tcPr>
          <w:p>
            <w:pPr>
              <w:spacing w:after="20"/>
            </w:pPr>
            <w:r>
              <w:rPr>
                <w:sz w:val="20"/>
                <w:szCs w:val="20"/>
              </w:rPr>
              <w:t xml:space="preserve">No</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78.26%</w:t>
            </w:r>
          </w:p>
        </w:tc>
      </w:tr>
    </w:tbl>
    <w:p>
      <w:pPr>
        <w:spacing w:after="200"/>
      </w:pPr>
      <w:r>
        <w:rPr>
          <w:i/>
          <w:sz w:val="20"/>
          <w:szCs w:val="20"/>
        </w:rPr>
        <w:t xml:space="preserve">Valid responses for this item: 23</w:t>
      </w:r>
    </w:p>
    <w:p>
      <w:pPr>
        <w:spacing w:after="80"/>
      </w:pPr>
      <w:r>
        <w:rPr>
          <w:b/>
          <w:sz w:val="24"/>
          <w:szCs w:val="24"/>
        </w:rPr>
        <w:t xml:space="preserve">Q8. How many months of clinical work did you complete during your undergraduate phase?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0-6 months</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52.17%</w:t>
            </w:r>
          </w:p>
        </w:tc>
      </w:tr>
      <w:tr>
        <w:tc>
          <w:tcPr>
            <w:tcW w:w="5600" w:type="dxa"/>
            <w:vAlign w:val="center"/>
          </w:tcPr>
          <w:p>
            <w:pPr>
              <w:spacing w:after="20"/>
            </w:pPr>
            <w:r>
              <w:rPr>
                <w:sz w:val="20"/>
                <w:szCs w:val="20"/>
              </w:rPr>
              <w:t xml:space="preserve">7-12 months</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17.39%</w:t>
            </w:r>
          </w:p>
        </w:tc>
      </w:tr>
      <w:tr>
        <w:tc>
          <w:tcPr>
            <w:tcW w:w="5600" w:type="dxa"/>
            <w:vAlign w:val="center"/>
          </w:tcPr>
          <w:p>
            <w:pPr>
              <w:spacing w:after="20"/>
            </w:pPr>
            <w:r>
              <w:rPr>
                <w:sz w:val="20"/>
                <w:szCs w:val="20"/>
              </w:rPr>
              <w:t xml:space="preserve">13-18 months</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30.43%</w:t>
            </w:r>
          </w:p>
        </w:tc>
      </w:tr>
    </w:tbl>
    <w:p>
      <w:pPr>
        <w:spacing w:after="200"/>
      </w:pPr>
      <w:r>
        <w:rPr>
          <w:i/>
          <w:sz w:val="20"/>
          <w:szCs w:val="20"/>
        </w:rPr>
        <w:t xml:space="preserve">Valid responses for this item: 23</w:t>
      </w:r>
    </w:p>
    <w:p>
      <w:pPr>
        <w:spacing w:after="80"/>
      </w:pPr>
      <w:r>
        <w:rPr>
          <w:b/>
          <w:sz w:val="24"/>
          <w:szCs w:val="24"/>
        </w:rPr>
        <w:t xml:space="preserve">Q9. Which of the following skills can you perform independently in your clinical work?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Thoracentesis</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r>
        <w:tc>
          <w:tcPr>
            <w:tcW w:w="5600" w:type="dxa"/>
            <w:vAlign w:val="center"/>
          </w:tcPr>
          <w:p>
            <w:pPr>
              <w:spacing w:after="20"/>
            </w:pPr>
            <w:r>
              <w:rPr>
                <w:sz w:val="20"/>
                <w:szCs w:val="20"/>
              </w:rPr>
              <w:t xml:space="preserve">Abdominal paracentesis</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r>
        <w:tc>
          <w:tcPr>
            <w:tcW w:w="5600" w:type="dxa"/>
            <w:vAlign w:val="center"/>
          </w:tcPr>
          <w:p>
            <w:pPr>
              <w:spacing w:after="20"/>
            </w:pPr>
            <w:r>
              <w:rPr>
                <w:sz w:val="20"/>
                <w:szCs w:val="20"/>
              </w:rPr>
              <w:t xml:space="preserve">Lumbar puncture</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8.7%</w:t>
            </w:r>
          </w:p>
        </w:tc>
      </w:tr>
      <w:tr>
        <w:tc>
          <w:tcPr>
            <w:tcW w:w="5600" w:type="dxa"/>
            <w:vAlign w:val="center"/>
          </w:tcPr>
          <w:p>
            <w:pPr>
              <w:spacing w:after="20"/>
            </w:pPr>
            <w:r>
              <w:rPr>
                <w:sz w:val="20"/>
                <w:szCs w:val="20"/>
              </w:rPr>
              <w:t xml:space="preserve">Bone marrow puncture</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8.7%</w:t>
            </w:r>
          </w:p>
        </w:tc>
      </w:tr>
      <w:tr>
        <w:tc>
          <w:tcPr>
            <w:tcW w:w="5600" w:type="dxa"/>
            <w:vAlign w:val="center"/>
          </w:tcPr>
          <w:p>
            <w:pPr>
              <w:spacing w:after="20"/>
            </w:pPr>
            <w:r>
              <w:rPr>
                <w:sz w:val="20"/>
                <w:szCs w:val="20"/>
              </w:rPr>
              <w:t xml:space="preserve">Urethral catheterization</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17.39%</w:t>
            </w:r>
          </w:p>
        </w:tc>
      </w:tr>
      <w:tr>
        <w:tc>
          <w:tcPr>
            <w:tcW w:w="5600" w:type="dxa"/>
            <w:vAlign w:val="center"/>
          </w:tcPr>
          <w:p>
            <w:pPr>
              <w:spacing w:after="20"/>
            </w:pPr>
            <w:r>
              <w:rPr>
                <w:sz w:val="20"/>
                <w:szCs w:val="20"/>
              </w:rPr>
              <w:t xml:space="preserve">Suture removal and dressing change</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82.61%</w:t>
            </w:r>
          </w:p>
        </w:tc>
      </w:tr>
      <w:tr>
        <w:tc>
          <w:tcPr>
            <w:tcW w:w="5600" w:type="dxa"/>
            <w:vAlign w:val="center"/>
          </w:tcPr>
          <w:p>
            <w:pPr>
              <w:spacing w:after="20"/>
            </w:pPr>
            <w:r>
              <w:rPr>
                <w:sz w:val="20"/>
                <w:szCs w:val="20"/>
              </w:rPr>
              <w:t xml:space="preserve">Basic surgical skills: incision, knot-tying, and suturing</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52.17%</w:t>
            </w:r>
          </w:p>
        </w:tc>
      </w:tr>
      <w:tr>
        <w:tc>
          <w:tcPr>
            <w:tcW w:w="5600" w:type="dxa"/>
            <w:vAlign w:val="center"/>
          </w:tcPr>
          <w:p>
            <w:pPr>
              <w:spacing w:after="20"/>
            </w:pPr>
            <w:r>
              <w:rPr>
                <w:sz w:val="20"/>
                <w:szCs w:val="20"/>
              </w:rPr>
              <w:t xml:space="preserve">Debridement</w:t>
            </w:r>
          </w:p>
        </w:tc>
        <w:tc>
          <w:tcPr>
            <w:tcW w:w="1200" w:type="dxa"/>
            <w:vAlign w:val="center"/>
          </w:tcPr>
          <w:p>
            <w:pPr>
              <w:spacing w:after="20"/>
            </w:pPr>
            <w:r>
              <w:rPr>
                <w:sz w:val="20"/>
                <w:szCs w:val="20"/>
              </w:rPr>
              <w:t xml:space="preserve">9</w:t>
            </w:r>
          </w:p>
        </w:tc>
        <w:tc>
          <w:tcPr>
            <w:tcW w:w="1600" w:type="dxa"/>
            <w:vAlign w:val="center"/>
          </w:tcPr>
          <w:p>
            <w:pPr>
              <w:spacing w:after="20"/>
            </w:pPr>
            <w:r>
              <w:rPr>
                <w:sz w:val="20"/>
                <w:szCs w:val="20"/>
              </w:rPr>
              <w:t xml:space="preserve">39.13%</w:t>
            </w:r>
          </w:p>
        </w:tc>
      </w:tr>
      <w:tr>
        <w:tc>
          <w:tcPr>
            <w:tcW w:w="5600" w:type="dxa"/>
            <w:vAlign w:val="center"/>
          </w:tcPr>
          <w:p>
            <w:pPr>
              <w:spacing w:after="20"/>
            </w:pPr>
            <w:r>
              <w:rPr>
                <w:sz w:val="20"/>
                <w:szCs w:val="20"/>
              </w:rPr>
              <w:t xml:space="preserve">Specialty-specific physical examination (please specify)</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21.74%</w:t>
            </w:r>
          </w:p>
        </w:tc>
      </w:tr>
      <w:tr>
        <w:tc>
          <w:tcPr>
            <w:tcW w:w="5600" w:type="dxa"/>
            <w:vAlign w:val="center"/>
          </w:tcPr>
          <w:p>
            <w:pPr>
              <w:spacing w:after="20"/>
            </w:pPr>
            <w:r>
              <w:rPr>
                <w:sz w:val="20"/>
                <w:szCs w:val="20"/>
              </w:rPr>
              <w:t xml:space="preserve">Arterial puncture</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r>
        <w:tc>
          <w:tcPr>
            <w:tcW w:w="5600" w:type="dxa"/>
            <w:vAlign w:val="center"/>
          </w:tcPr>
          <w:p>
            <w:pPr>
              <w:spacing w:after="20"/>
            </w:pPr>
            <w:r>
              <w:rPr>
                <w:sz w:val="20"/>
                <w:szCs w:val="20"/>
              </w:rPr>
              <w:t xml:space="preserve">Venous blood sampling</w:t>
            </w:r>
          </w:p>
        </w:tc>
        <w:tc>
          <w:tcPr>
            <w:tcW w:w="1200" w:type="dxa"/>
            <w:vAlign w:val="center"/>
          </w:tcPr>
          <w:p>
            <w:pPr>
              <w:spacing w:after="20"/>
            </w:pPr>
            <w:r>
              <w:rPr>
                <w:sz w:val="20"/>
                <w:szCs w:val="20"/>
              </w:rPr>
              <w:t xml:space="preserve">9</w:t>
            </w:r>
          </w:p>
        </w:tc>
        <w:tc>
          <w:tcPr>
            <w:tcW w:w="1600" w:type="dxa"/>
            <w:vAlign w:val="center"/>
          </w:tcPr>
          <w:p>
            <w:pPr>
              <w:spacing w:after="20"/>
            </w:pPr>
            <w:r>
              <w:rPr>
                <w:sz w:val="20"/>
                <w:szCs w:val="20"/>
              </w:rPr>
              <w:t xml:space="preserve">39.13%</w:t>
            </w:r>
          </w:p>
        </w:tc>
      </w:tr>
      <w:tr>
        <w:tc>
          <w:tcPr>
            <w:tcW w:w="5600" w:type="dxa"/>
            <w:vAlign w:val="center"/>
          </w:tcPr>
          <w:p>
            <w:pPr>
              <w:spacing w:after="20"/>
            </w:pPr>
            <w:r>
              <w:rPr>
                <w:sz w:val="20"/>
                <w:szCs w:val="20"/>
              </w:rPr>
              <w:t xml:space="preserve">Central venous catheterization</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r>
        <w:tc>
          <w:tcPr>
            <w:tcW w:w="5600" w:type="dxa"/>
            <w:vAlign w:val="center"/>
          </w:tcPr>
          <w:p>
            <w:pPr>
              <w:spacing w:after="20"/>
            </w:pPr>
            <w:r>
              <w:rPr>
                <w:sz w:val="20"/>
                <w:szCs w:val="20"/>
              </w:rPr>
              <w:t xml:space="preserve">Nasogastric tube insertion</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r>
        <w:tc>
          <w:tcPr>
            <w:tcW w:w="5600" w:type="dxa"/>
            <w:vAlign w:val="center"/>
          </w:tcPr>
          <w:p>
            <w:pPr>
              <w:spacing w:after="20"/>
            </w:pPr>
            <w:r>
              <w:rPr>
                <w:sz w:val="20"/>
                <w:szCs w:val="20"/>
              </w:rPr>
              <w:t xml:space="preserve">Endotracheal intubation</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r>
        <w:tc>
          <w:tcPr>
            <w:tcW w:w="5600" w:type="dxa"/>
            <w:vAlign w:val="center"/>
          </w:tcPr>
          <w:p>
            <w:pPr>
              <w:spacing w:after="20"/>
            </w:pPr>
            <w:r>
              <w:rPr>
                <w:sz w:val="20"/>
                <w:szCs w:val="20"/>
              </w:rPr>
              <w:t xml:space="preserve">Neuraxial anesthesia</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r>
        <w:tc>
          <w:tcPr>
            <w:tcW w:w="5600" w:type="dxa"/>
            <w:vAlign w:val="center"/>
          </w:tcPr>
          <w:p>
            <w:pPr>
              <w:spacing w:after="20"/>
            </w:pPr>
            <w:r>
              <w:rPr>
                <w:sz w:val="20"/>
                <w:szCs w:val="20"/>
              </w:rPr>
              <w:t xml:space="preserve">Peripheral nerve block</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r>
        <w:tc>
          <w:tcPr>
            <w:tcW w:w="5600" w:type="dxa"/>
            <w:vAlign w:val="center"/>
          </w:tcPr>
          <w:p>
            <w:pPr>
              <w:spacing w:after="20"/>
            </w:pPr>
            <w:r>
              <w:rPr>
                <w:sz w:val="20"/>
                <w:szCs w:val="20"/>
              </w:rPr>
              <w:t xml:space="preserve">General anesthesia induction (laryngeal mask airway insertion)</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Q10. Which of the following skills do you think should specifically require informed consent (signed consent)?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Thoracentesis</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86.96%</w:t>
            </w:r>
          </w:p>
        </w:tc>
      </w:tr>
      <w:tr>
        <w:tc>
          <w:tcPr>
            <w:tcW w:w="5600" w:type="dxa"/>
            <w:vAlign w:val="center"/>
          </w:tcPr>
          <w:p>
            <w:pPr>
              <w:spacing w:after="20"/>
            </w:pPr>
            <w:r>
              <w:rPr>
                <w:sz w:val="20"/>
                <w:szCs w:val="20"/>
              </w:rPr>
              <w:t xml:space="preserve">Lumbar puncture</w:t>
            </w:r>
          </w:p>
        </w:tc>
        <w:tc>
          <w:tcPr>
            <w:tcW w:w="1200" w:type="dxa"/>
            <w:vAlign w:val="center"/>
          </w:tcPr>
          <w:p>
            <w:pPr>
              <w:spacing w:after="20"/>
            </w:pPr>
            <w:r>
              <w:rPr>
                <w:sz w:val="20"/>
                <w:szCs w:val="20"/>
              </w:rPr>
              <w:t xml:space="preserve">21</w:t>
            </w:r>
          </w:p>
        </w:tc>
        <w:tc>
          <w:tcPr>
            <w:tcW w:w="1600" w:type="dxa"/>
            <w:vAlign w:val="center"/>
          </w:tcPr>
          <w:p>
            <w:pPr>
              <w:spacing w:after="20"/>
            </w:pPr>
            <w:r>
              <w:rPr>
                <w:sz w:val="20"/>
                <w:szCs w:val="20"/>
              </w:rPr>
              <w:t xml:space="preserve">91.3%</w:t>
            </w:r>
          </w:p>
        </w:tc>
      </w:tr>
      <w:tr>
        <w:tc>
          <w:tcPr>
            <w:tcW w:w="5600" w:type="dxa"/>
            <w:vAlign w:val="center"/>
          </w:tcPr>
          <w:p>
            <w:pPr>
              <w:spacing w:after="20"/>
            </w:pPr>
            <w:r>
              <w:rPr>
                <w:sz w:val="20"/>
                <w:szCs w:val="20"/>
              </w:rPr>
              <w:t xml:space="preserve">Bone marrow puncture</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86.96%</w:t>
            </w:r>
          </w:p>
        </w:tc>
      </w:tr>
      <w:tr>
        <w:tc>
          <w:tcPr>
            <w:tcW w:w="5600" w:type="dxa"/>
            <w:vAlign w:val="center"/>
          </w:tcPr>
          <w:p>
            <w:pPr>
              <w:spacing w:after="20"/>
            </w:pPr>
            <w:r>
              <w:rPr>
                <w:sz w:val="20"/>
                <w:szCs w:val="20"/>
              </w:rPr>
              <w:t xml:space="preserve">Abdominal paracentesis</w:t>
            </w:r>
          </w:p>
        </w:tc>
        <w:tc>
          <w:tcPr>
            <w:tcW w:w="1200" w:type="dxa"/>
            <w:vAlign w:val="center"/>
          </w:tcPr>
          <w:p>
            <w:pPr>
              <w:spacing w:after="20"/>
            </w:pPr>
            <w:r>
              <w:rPr>
                <w:sz w:val="20"/>
                <w:szCs w:val="20"/>
              </w:rPr>
              <w:t xml:space="preserve">20</w:t>
            </w:r>
          </w:p>
        </w:tc>
        <w:tc>
          <w:tcPr>
            <w:tcW w:w="1600" w:type="dxa"/>
            <w:vAlign w:val="center"/>
          </w:tcPr>
          <w:p>
            <w:pPr>
              <w:spacing w:after="20"/>
            </w:pPr>
            <w:r>
              <w:rPr>
                <w:sz w:val="20"/>
                <w:szCs w:val="20"/>
              </w:rPr>
              <w:t xml:space="preserve">86.96%</w:t>
            </w:r>
          </w:p>
        </w:tc>
      </w:tr>
      <w:tr>
        <w:tc>
          <w:tcPr>
            <w:tcW w:w="5600" w:type="dxa"/>
            <w:vAlign w:val="center"/>
          </w:tcPr>
          <w:p>
            <w:pPr>
              <w:spacing w:after="20"/>
            </w:pPr>
            <w:r>
              <w:rPr>
                <w:sz w:val="20"/>
                <w:szCs w:val="20"/>
              </w:rPr>
              <w:t xml:space="preserve">Urethral catheterization</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34.78%</w:t>
            </w:r>
          </w:p>
        </w:tc>
      </w:tr>
      <w:tr>
        <w:tc>
          <w:tcPr>
            <w:tcW w:w="5600" w:type="dxa"/>
            <w:vAlign w:val="center"/>
          </w:tcPr>
          <w:p>
            <w:pPr>
              <w:spacing w:after="20"/>
            </w:pPr>
            <w:r>
              <w:rPr>
                <w:sz w:val="20"/>
                <w:szCs w:val="20"/>
              </w:rPr>
              <w:t xml:space="preserve">Suture removal and dressing change</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34.78%</w:t>
            </w:r>
          </w:p>
        </w:tc>
      </w:tr>
      <w:tr>
        <w:tc>
          <w:tcPr>
            <w:tcW w:w="5600" w:type="dxa"/>
            <w:vAlign w:val="center"/>
          </w:tcPr>
          <w:p>
            <w:pPr>
              <w:spacing w:after="20"/>
            </w:pPr>
            <w:r>
              <w:rPr>
                <w:sz w:val="20"/>
                <w:szCs w:val="20"/>
              </w:rPr>
              <w:t xml:space="preserve">Basic surgical skills: incision, knot-tying, and suturing</w:t>
            </w:r>
          </w:p>
        </w:tc>
        <w:tc>
          <w:tcPr>
            <w:tcW w:w="1200" w:type="dxa"/>
            <w:vAlign w:val="center"/>
          </w:tcPr>
          <w:p>
            <w:pPr>
              <w:spacing w:after="20"/>
            </w:pPr>
            <w:r>
              <w:rPr>
                <w:sz w:val="20"/>
                <w:szCs w:val="20"/>
              </w:rPr>
              <w:t xml:space="preserve">10</w:t>
            </w:r>
          </w:p>
        </w:tc>
        <w:tc>
          <w:tcPr>
            <w:tcW w:w="1600" w:type="dxa"/>
            <w:vAlign w:val="center"/>
          </w:tcPr>
          <w:p>
            <w:pPr>
              <w:spacing w:after="20"/>
            </w:pPr>
            <w:r>
              <w:rPr>
                <w:sz w:val="20"/>
                <w:szCs w:val="20"/>
              </w:rPr>
              <w:t xml:space="preserve">43.48%</w:t>
            </w:r>
          </w:p>
        </w:tc>
      </w:tr>
      <w:tr>
        <w:tc>
          <w:tcPr>
            <w:tcW w:w="5600" w:type="dxa"/>
            <w:vAlign w:val="center"/>
          </w:tcPr>
          <w:p>
            <w:pPr>
              <w:spacing w:after="20"/>
            </w:pPr>
            <w:r>
              <w:rPr>
                <w:sz w:val="20"/>
                <w:szCs w:val="20"/>
              </w:rPr>
              <w:t xml:space="preserve">Debridement</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34.78%</w:t>
            </w:r>
          </w:p>
        </w:tc>
      </w:tr>
      <w:tr>
        <w:tc>
          <w:tcPr>
            <w:tcW w:w="5600" w:type="dxa"/>
            <w:vAlign w:val="center"/>
          </w:tcPr>
          <w:p>
            <w:pPr>
              <w:spacing w:after="20"/>
            </w:pPr>
            <w:r>
              <w:rPr>
                <w:sz w:val="20"/>
                <w:szCs w:val="20"/>
              </w:rPr>
              <w:t xml:space="preserve">Specialty-specific physical examination (please specify)</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r>
        <w:tc>
          <w:tcPr>
            <w:tcW w:w="5600" w:type="dxa"/>
            <w:vAlign w:val="center"/>
          </w:tcPr>
          <w:p>
            <w:pPr>
              <w:spacing w:after="20"/>
            </w:pPr>
            <w:r>
              <w:rPr>
                <w:sz w:val="20"/>
                <w:szCs w:val="20"/>
              </w:rPr>
              <w:t xml:space="preserve">Arterial puncture</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60.87%</w:t>
            </w:r>
          </w:p>
        </w:tc>
      </w:tr>
      <w:tr>
        <w:tc>
          <w:tcPr>
            <w:tcW w:w="5600" w:type="dxa"/>
            <w:vAlign w:val="center"/>
          </w:tcPr>
          <w:p>
            <w:pPr>
              <w:spacing w:after="20"/>
            </w:pPr>
            <w:r>
              <w:rPr>
                <w:sz w:val="20"/>
                <w:szCs w:val="20"/>
              </w:rPr>
              <w:t xml:space="preserve">Venous blood sampling</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34.78%</w:t>
            </w:r>
          </w:p>
        </w:tc>
      </w:tr>
      <w:tr>
        <w:tc>
          <w:tcPr>
            <w:tcW w:w="5600" w:type="dxa"/>
            <w:vAlign w:val="center"/>
          </w:tcPr>
          <w:p>
            <w:pPr>
              <w:spacing w:after="20"/>
            </w:pPr>
            <w:r>
              <w:rPr>
                <w:sz w:val="20"/>
                <w:szCs w:val="20"/>
              </w:rPr>
              <w:t xml:space="preserve">Central venous catheterization</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65.22%</w:t>
            </w:r>
          </w:p>
        </w:tc>
      </w:tr>
      <w:tr>
        <w:tc>
          <w:tcPr>
            <w:tcW w:w="5600" w:type="dxa"/>
            <w:vAlign w:val="center"/>
          </w:tcPr>
          <w:p>
            <w:pPr>
              <w:spacing w:after="20"/>
            </w:pPr>
            <w:r>
              <w:rPr>
                <w:sz w:val="20"/>
                <w:szCs w:val="20"/>
              </w:rPr>
              <w:t xml:space="preserve">Nasogastric tube insertion</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73.91%</w:t>
            </w:r>
          </w:p>
        </w:tc>
      </w:tr>
      <w:tr>
        <w:tc>
          <w:tcPr>
            <w:tcW w:w="5600" w:type="dxa"/>
            <w:vAlign w:val="center"/>
          </w:tcPr>
          <w:p>
            <w:pPr>
              <w:spacing w:after="20"/>
            </w:pPr>
            <w:r>
              <w:rPr>
                <w:sz w:val="20"/>
                <w:szCs w:val="20"/>
              </w:rPr>
              <w:t xml:space="preserve">Endotracheal intubation</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78.26%</w:t>
            </w:r>
          </w:p>
        </w:tc>
      </w:tr>
      <w:tr>
        <w:tc>
          <w:tcPr>
            <w:tcW w:w="5600" w:type="dxa"/>
            <w:vAlign w:val="center"/>
          </w:tcPr>
          <w:p>
            <w:pPr>
              <w:spacing w:after="20"/>
            </w:pPr>
            <w:r>
              <w:rPr>
                <w:sz w:val="20"/>
                <w:szCs w:val="20"/>
              </w:rPr>
              <w:t xml:space="preserve">Neuraxial anesthesia</w:t>
            </w:r>
          </w:p>
        </w:tc>
        <w:tc>
          <w:tcPr>
            <w:tcW w:w="1200" w:type="dxa"/>
            <w:vAlign w:val="center"/>
          </w:tcPr>
          <w:p>
            <w:pPr>
              <w:spacing w:after="20"/>
            </w:pPr>
            <w:r>
              <w:rPr>
                <w:sz w:val="20"/>
                <w:szCs w:val="20"/>
              </w:rPr>
              <w:t xml:space="preserve">19</w:t>
            </w:r>
          </w:p>
        </w:tc>
        <w:tc>
          <w:tcPr>
            <w:tcW w:w="1600" w:type="dxa"/>
            <w:vAlign w:val="center"/>
          </w:tcPr>
          <w:p>
            <w:pPr>
              <w:spacing w:after="20"/>
            </w:pPr>
            <w:r>
              <w:rPr>
                <w:sz w:val="20"/>
                <w:szCs w:val="20"/>
              </w:rPr>
              <w:t xml:space="preserve">82.61%</w:t>
            </w:r>
          </w:p>
        </w:tc>
      </w:tr>
      <w:tr>
        <w:tc>
          <w:tcPr>
            <w:tcW w:w="5600" w:type="dxa"/>
            <w:vAlign w:val="center"/>
          </w:tcPr>
          <w:p>
            <w:pPr>
              <w:spacing w:after="20"/>
            </w:pPr>
            <w:r>
              <w:rPr>
                <w:sz w:val="20"/>
                <w:szCs w:val="20"/>
              </w:rPr>
              <w:t xml:space="preserve">Peripheral nerve block</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78.26%</w:t>
            </w:r>
          </w:p>
        </w:tc>
      </w:tr>
      <w:tr>
        <w:tc>
          <w:tcPr>
            <w:tcW w:w="5600" w:type="dxa"/>
            <w:vAlign w:val="center"/>
          </w:tcPr>
          <w:p>
            <w:pPr>
              <w:spacing w:after="20"/>
            </w:pPr>
            <w:r>
              <w:rPr>
                <w:sz w:val="20"/>
                <w:szCs w:val="20"/>
              </w:rPr>
              <w:t xml:space="preserve">General anesthesia induction (laryngeal mask airway insertion)</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78.26%</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Q11. What is the informed consent process for clinical teaching supervision at your hospital?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A dedicated written consent form (e.g., a separate clause for skills-based teaching consent)</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73.91%</w:t>
            </w:r>
          </w:p>
        </w:tc>
      </w:tr>
      <w:tr>
        <w:tc>
          <w:tcPr>
            <w:tcW w:w="5600" w:type="dxa"/>
            <w:vAlign w:val="center"/>
          </w:tcPr>
          <w:p>
            <w:pPr>
              <w:spacing w:after="20"/>
            </w:pPr>
            <w:r>
              <w:rPr>
                <w:sz w:val="20"/>
                <w:szCs w:val="20"/>
              </w:rPr>
              <w:t xml:space="preserve">Included in the surgical/anesthesia/patient informed consent form</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r>
        <w:tc>
          <w:tcPr>
            <w:tcW w:w="5600" w:type="dxa"/>
            <w:vAlign w:val="center"/>
          </w:tcPr>
          <w:p>
            <w:pPr>
              <w:spacing w:after="20"/>
            </w:pPr>
            <w:r>
              <w:rPr>
                <w:sz w:val="20"/>
                <w:szCs w:val="20"/>
              </w:rPr>
              <w:t xml:space="preserve">Verbal notification only, without written documentation</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No specific process; consent presumed by default</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Q12. In your opinion, do clinical teaching procedures require separate, explicit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Separate consent is mandatory (e.g., a separate signature)</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65.22%</w:t>
            </w:r>
          </w:p>
        </w:tc>
      </w:tr>
      <w:tr>
        <w:tc>
          <w:tcPr>
            <w:tcW w:w="5600" w:type="dxa"/>
            <w:vAlign w:val="center"/>
          </w:tcPr>
          <w:p>
            <w:pPr>
              <w:spacing w:after="20"/>
            </w:pPr>
            <w:r>
              <w:rPr>
                <w:sz w:val="20"/>
                <w:szCs w:val="20"/>
              </w:rPr>
              <w:t xml:space="preserve">Should be explicitly mentioned in the general consent form</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30.43%</w:t>
            </w:r>
          </w:p>
        </w:tc>
      </w:tr>
      <w:tr>
        <w:tc>
          <w:tcPr>
            <w:tcW w:w="5600" w:type="dxa"/>
            <w:vAlign w:val="center"/>
          </w:tcPr>
          <w:p>
            <w:pPr>
              <w:spacing w:after="20"/>
            </w:pPr>
            <w:r>
              <w:rPr>
                <w:sz w:val="20"/>
                <w:szCs w:val="20"/>
              </w:rPr>
              <w:t xml:space="preserve">Verbal notification is sufficient</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No special notification needed (default permission in teaching hospitals)</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Depends on the risk of the procedure (e.g., high-risk procedures require additional consent)</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bl>
    <w:p>
      <w:pPr>
        <w:spacing w:after="200"/>
      </w:pPr>
      <w:r>
        <w:rPr>
          <w:i/>
          <w:sz w:val="20"/>
          <w:szCs w:val="20"/>
        </w:rPr>
        <w:t xml:space="preserve">Valid responses for this item: 23</w:t>
      </w:r>
    </w:p>
    <w:p>
      <w:pPr>
        <w:spacing w:after="80"/>
      </w:pPr>
      <w:r>
        <w:rPr>
          <w:b/>
          <w:sz w:val="24"/>
          <w:szCs w:val="24"/>
        </w:rPr>
        <w:t xml:space="preserve">Q13. In your opinion, what is the best timing for providing informed consent?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Verbal notification at the time of the procedure</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8.7%</w:t>
            </w:r>
          </w:p>
        </w:tc>
      </w:tr>
      <w:tr>
        <w:tc>
          <w:tcPr>
            <w:tcW w:w="5600" w:type="dxa"/>
            <w:vAlign w:val="center"/>
          </w:tcPr>
          <w:p>
            <w:pPr>
              <w:spacing w:after="20"/>
            </w:pPr>
            <w:r>
              <w:rPr>
                <w:sz w:val="20"/>
                <w:szCs w:val="20"/>
              </w:rPr>
              <w:t xml:space="preserve">If the procedure has a consent form, verbal notification at the same time is sufficient</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17.39%</w:t>
            </w:r>
          </w:p>
        </w:tc>
      </w:tr>
      <w:tr>
        <w:tc>
          <w:tcPr>
            <w:tcW w:w="5600" w:type="dxa"/>
            <w:vAlign w:val="center"/>
          </w:tcPr>
          <w:p>
            <w:pPr>
              <w:spacing w:after="20"/>
            </w:pPr>
            <w:r>
              <w:rPr>
                <w:sz w:val="20"/>
                <w:szCs w:val="20"/>
              </w:rPr>
              <w:t xml:space="preserve">If the procedure has a consent form, it should be documented, explained, and signed at the same time</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73.91%</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Q14. In your clinical experience, how often do patients refuse teaching procedures when the teacher performs the procedure (verbal teaching only)?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Frequently (&gt;30% of cases)</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Occasionally (10-30%)</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8.7%</w:t>
            </w:r>
          </w:p>
        </w:tc>
      </w:tr>
      <w:tr>
        <w:tc>
          <w:tcPr>
            <w:tcW w:w="5600" w:type="dxa"/>
            <w:vAlign w:val="center"/>
          </w:tcPr>
          <w:p>
            <w:pPr>
              <w:spacing w:after="20"/>
            </w:pPr>
            <w:r>
              <w:rPr>
                <w:sz w:val="20"/>
                <w:szCs w:val="20"/>
              </w:rPr>
              <w:t xml:space="preserve">Rarely (&lt;10%)</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21.74%</w:t>
            </w:r>
          </w:p>
        </w:tc>
      </w:tr>
      <w:tr>
        <w:tc>
          <w:tcPr>
            <w:tcW w:w="5600" w:type="dxa"/>
            <w:vAlign w:val="center"/>
          </w:tcPr>
          <w:p>
            <w:pPr>
              <w:spacing w:after="20"/>
            </w:pPr>
            <w:r>
              <w:rPr>
                <w:sz w:val="20"/>
                <w:szCs w:val="20"/>
              </w:rPr>
              <w:t xml:space="preserve">Never encountered</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65.22%</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bl>
    <w:p>
      <w:pPr>
        <w:spacing w:after="200"/>
      </w:pPr>
      <w:r>
        <w:rPr>
          <w:i/>
          <w:sz w:val="20"/>
          <w:szCs w:val="20"/>
        </w:rPr>
        <w:t xml:space="preserve">Valid responses for this item: 23</w:t>
      </w:r>
    </w:p>
    <w:p>
      <w:pPr>
        <w:spacing w:after="80"/>
      </w:pPr>
      <w:r>
        <w:rPr>
          <w:b/>
          <w:sz w:val="24"/>
          <w:szCs w:val="24"/>
        </w:rPr>
        <w:t xml:space="preserve">Q15. In your clinical experience, how often do patients refuse teaching procedures when the teacher supervises while the student performs the procedure?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Frequently (&gt;30% of cases)</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Occasionally (10-30%)</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r>
        <w:tc>
          <w:tcPr>
            <w:tcW w:w="5600" w:type="dxa"/>
            <w:vAlign w:val="center"/>
          </w:tcPr>
          <w:p>
            <w:pPr>
              <w:spacing w:after="20"/>
            </w:pPr>
            <w:r>
              <w:rPr>
                <w:sz w:val="20"/>
                <w:szCs w:val="20"/>
              </w:rPr>
              <w:t xml:space="preserve">Rarely (&lt;10%)</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21.74%</w:t>
            </w:r>
          </w:p>
        </w:tc>
      </w:tr>
      <w:tr>
        <w:tc>
          <w:tcPr>
            <w:tcW w:w="5600" w:type="dxa"/>
            <w:vAlign w:val="center"/>
          </w:tcPr>
          <w:p>
            <w:pPr>
              <w:spacing w:after="20"/>
            </w:pPr>
            <w:r>
              <w:rPr>
                <w:sz w:val="20"/>
                <w:szCs w:val="20"/>
              </w:rPr>
              <w:t xml:space="preserve">Never encountered</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47.83%</w:t>
            </w:r>
          </w:p>
        </w:tc>
      </w:tr>
      <w:tr>
        <w:tc>
          <w:tcPr>
            <w:tcW w:w="5600" w:type="dxa"/>
            <w:vAlign w:val="center"/>
          </w:tcPr>
          <w:p>
            <w:pPr>
              <w:spacing w:after="20"/>
            </w:pPr>
            <w:r>
              <w:rPr>
                <w:sz w:val="20"/>
                <w:szCs w:val="20"/>
              </w:rPr>
              <w:t xml:space="preserve">Not sure / unclear</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17.39%</w:t>
            </w:r>
          </w:p>
        </w:tc>
      </w:tr>
    </w:tbl>
    <w:p>
      <w:pPr>
        <w:spacing w:after="200"/>
      </w:pPr>
      <w:r>
        <w:rPr>
          <w:i/>
          <w:sz w:val="20"/>
          <w:szCs w:val="20"/>
        </w:rPr>
        <w:t xml:space="preserve">Valid responses for this item: 23</w:t>
      </w:r>
    </w:p>
    <w:p>
      <w:pPr>
        <w:spacing w:after="80"/>
      </w:pPr>
      <w:r>
        <w:rPr>
          <w:b/>
          <w:sz w:val="24"/>
          <w:szCs w:val="24"/>
        </w:rPr>
        <w:t xml:space="preserve">Q16. In your opinion, what are the main reasons why patients refuse teaching procedures?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Concern about procedural risks (e.g., complications)</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60.87%</w:t>
            </w:r>
          </w:p>
        </w:tc>
      </w:tr>
      <w:tr>
        <w:tc>
          <w:tcPr>
            <w:tcW w:w="5600" w:type="dxa"/>
            <w:vAlign w:val="center"/>
          </w:tcPr>
          <w:p>
            <w:pPr>
              <w:spacing w:after="20"/>
            </w:pPr>
            <w:r>
              <w:rPr>
                <w:sz w:val="20"/>
                <w:szCs w:val="20"/>
              </w:rPr>
              <w:t xml:space="preserve">Privacy concerns (e.g., sensitive body areas)</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47.83%</w:t>
            </w:r>
          </w:p>
        </w:tc>
      </w:tr>
      <w:tr>
        <w:tc>
          <w:tcPr>
            <w:tcW w:w="5600" w:type="dxa"/>
            <w:vAlign w:val="center"/>
          </w:tcPr>
          <w:p>
            <w:pPr>
              <w:spacing w:after="20"/>
            </w:pPr>
            <w:r>
              <w:rPr>
                <w:sz w:val="20"/>
                <w:szCs w:val="20"/>
              </w:rPr>
              <w:t xml:space="preserve">Lack of trust in trainees' competence</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73.91%</w:t>
            </w:r>
          </w:p>
        </w:tc>
      </w:tr>
      <w:tr>
        <w:tc>
          <w:tcPr>
            <w:tcW w:w="5600" w:type="dxa"/>
            <w:vAlign w:val="center"/>
          </w:tcPr>
          <w:p>
            <w:pPr>
              <w:spacing w:after="20"/>
            </w:pPr>
            <w:r>
              <w:rPr>
                <w:sz w:val="20"/>
                <w:szCs w:val="20"/>
              </w:rPr>
              <w:t xml:space="preserve">Unawareness of the importance of teaching</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21.74%</w:t>
            </w:r>
          </w:p>
        </w:tc>
      </w:tr>
      <w:tr>
        <w:tc>
          <w:tcPr>
            <w:tcW w:w="5600" w:type="dxa"/>
            <w:vAlign w:val="center"/>
          </w:tcPr>
          <w:p>
            <w:pPr>
              <w:spacing w:after="20"/>
            </w:pPr>
            <w:r>
              <w:rPr>
                <w:sz w:val="20"/>
                <w:szCs w:val="20"/>
              </w:rPr>
              <w:t xml:space="preserve">Belief that teaching procedures are "unnecessary"</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17.39%</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Q17. How would you rate the potential risk to patients posed by clinical skills-based teaching?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Very high (may affect patient safety)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r>
        <w:tc>
          <w:tcPr>
            <w:tcW w:w="5600" w:type="dxa"/>
            <w:vAlign w:val="center"/>
          </w:tcPr>
          <w:p>
            <w:pPr>
              <w:spacing w:after="20"/>
            </w:pPr>
            <w:r>
              <w:rPr>
                <w:sz w:val="20"/>
                <w:szCs w:val="20"/>
              </w:rPr>
              <w:t xml:space="preserve">Relatively high (but manageable)</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8.7%</w:t>
            </w:r>
          </w:p>
        </w:tc>
      </w:tr>
      <w:tr>
        <w:tc>
          <w:tcPr>
            <w:tcW w:w="5600" w:type="dxa"/>
            <w:vAlign w:val="center"/>
          </w:tcPr>
          <w:p>
            <w:pPr>
              <w:spacing w:after="20"/>
            </w:pPr>
            <w:r>
              <w:rPr>
                <w:sz w:val="20"/>
                <w:szCs w:val="20"/>
              </w:rPr>
              <w:t xml:space="preserve">Moderate (similar to the risk of routine procedures)</w:t>
            </w:r>
          </w:p>
        </w:tc>
        <w:tc>
          <w:tcPr>
            <w:tcW w:w="1200" w:type="dxa"/>
            <w:vAlign w:val="center"/>
          </w:tcPr>
          <w:p>
            <w:pPr>
              <w:spacing w:after="20"/>
            </w:pPr>
            <w:r>
              <w:rPr>
                <w:sz w:val="20"/>
                <w:szCs w:val="20"/>
              </w:rPr>
              <w:t xml:space="preserve">10</w:t>
            </w:r>
          </w:p>
        </w:tc>
        <w:tc>
          <w:tcPr>
            <w:tcW w:w="1600" w:type="dxa"/>
            <w:vAlign w:val="center"/>
          </w:tcPr>
          <w:p>
            <w:pPr>
              <w:spacing w:after="20"/>
            </w:pPr>
            <w:r>
              <w:rPr>
                <w:sz w:val="20"/>
                <w:szCs w:val="20"/>
              </w:rPr>
              <w:t xml:space="preserve">43.48%</w:t>
            </w:r>
          </w:p>
        </w:tc>
      </w:tr>
      <w:tr>
        <w:tc>
          <w:tcPr>
            <w:tcW w:w="5600" w:type="dxa"/>
            <w:vAlign w:val="center"/>
          </w:tcPr>
          <w:p>
            <w:pPr>
              <w:spacing w:after="20"/>
            </w:pPr>
            <w:r>
              <w:rPr>
                <w:sz w:val="20"/>
                <w:szCs w:val="20"/>
              </w:rPr>
              <w:t xml:space="preserve">Relatively low (almost no additional risk)</w:t>
            </w:r>
          </w:p>
        </w:tc>
        <w:tc>
          <w:tcPr>
            <w:tcW w:w="1200" w:type="dxa"/>
            <w:vAlign w:val="center"/>
          </w:tcPr>
          <w:p>
            <w:pPr>
              <w:spacing w:after="20"/>
            </w:pPr>
            <w:r>
              <w:rPr>
                <w:sz w:val="20"/>
                <w:szCs w:val="20"/>
              </w:rPr>
              <w:t xml:space="preserve">8</w:t>
            </w:r>
          </w:p>
        </w:tc>
        <w:tc>
          <w:tcPr>
            <w:tcW w:w="1600" w:type="dxa"/>
            <w:vAlign w:val="center"/>
          </w:tcPr>
          <w:p>
            <w:pPr>
              <w:spacing w:after="20"/>
            </w:pPr>
            <w:r>
              <w:rPr>
                <w:sz w:val="20"/>
                <w:szCs w:val="20"/>
              </w:rPr>
              <w:t xml:space="preserve">34.78%</w:t>
            </w:r>
          </w:p>
        </w:tc>
      </w:tr>
      <w:tr>
        <w:tc>
          <w:tcPr>
            <w:tcW w:w="5600" w:type="dxa"/>
            <w:vAlign w:val="center"/>
          </w:tcPr>
          <w:p>
            <w:pPr>
              <w:spacing w:after="20"/>
            </w:pPr>
            <w:r>
              <w:rPr>
                <w:sz w:val="20"/>
                <w:szCs w:val="20"/>
              </w:rPr>
              <w:t xml:space="preserve">No risk</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bl>
    <w:p>
      <w:pPr>
        <w:spacing w:after="200"/>
      </w:pPr>
      <w:r>
        <w:rPr>
          <w:i/>
          <w:sz w:val="20"/>
          <w:szCs w:val="20"/>
        </w:rPr>
        <w:t xml:space="preserve">Valid responses for this item: 23</w:t>
      </w:r>
    </w:p>
    <w:p>
      <w:pPr>
        <w:spacing w:after="80"/>
      </w:pPr>
      <w:r>
        <w:rPr>
          <w:b/>
          <w:sz w:val="24"/>
          <w:szCs w:val="24"/>
        </w:rPr>
        <w:t xml:space="preserve">Q18. Which teaching-related risks concern you most?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Procedural complications (e.g., failed puncture, repeated attempts)</w:t>
            </w:r>
          </w:p>
        </w:tc>
        <w:tc>
          <w:tcPr>
            <w:tcW w:w="1200" w:type="dxa"/>
            <w:vAlign w:val="center"/>
          </w:tcPr>
          <w:p>
            <w:pPr>
              <w:spacing w:after="20"/>
            </w:pPr>
            <w:r>
              <w:rPr>
                <w:sz w:val="20"/>
                <w:szCs w:val="20"/>
              </w:rPr>
              <w:t xml:space="preserve">17</w:t>
            </w:r>
          </w:p>
        </w:tc>
        <w:tc>
          <w:tcPr>
            <w:tcW w:w="1600" w:type="dxa"/>
            <w:vAlign w:val="center"/>
          </w:tcPr>
          <w:p>
            <w:pPr>
              <w:spacing w:after="20"/>
            </w:pPr>
            <w:r>
              <w:rPr>
                <w:sz w:val="20"/>
                <w:szCs w:val="20"/>
              </w:rPr>
              <w:t xml:space="preserve">73.91%</w:t>
            </w:r>
          </w:p>
        </w:tc>
      </w:tr>
      <w:tr>
        <w:tc>
          <w:tcPr>
            <w:tcW w:w="5600" w:type="dxa"/>
            <w:vAlign w:val="center"/>
          </w:tcPr>
          <w:p>
            <w:pPr>
              <w:spacing w:after="20"/>
            </w:pPr>
            <w:r>
              <w:rPr>
                <w:sz w:val="20"/>
                <w:szCs w:val="20"/>
              </w:rPr>
              <w:t xml:space="preserve">Privacy breach (e.g., inadequate protection of patient privacy)</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30.43%</w:t>
            </w:r>
          </w:p>
        </w:tc>
      </w:tr>
      <w:tr>
        <w:tc>
          <w:tcPr>
            <w:tcW w:w="5600" w:type="dxa"/>
            <w:vAlign w:val="center"/>
          </w:tcPr>
          <w:p>
            <w:pPr>
              <w:spacing w:after="20"/>
            </w:pPr>
            <w:r>
              <w:rPr>
                <w:sz w:val="20"/>
                <w:szCs w:val="20"/>
              </w:rPr>
              <w:t xml:space="preserve">Psychological harm (e.g., the patient later learns they were not fully informed)</w:t>
            </w:r>
          </w:p>
        </w:tc>
        <w:tc>
          <w:tcPr>
            <w:tcW w:w="1200" w:type="dxa"/>
            <w:vAlign w:val="center"/>
          </w:tcPr>
          <w:p>
            <w:pPr>
              <w:spacing w:after="20"/>
            </w:pPr>
            <w:r>
              <w:rPr>
                <w:sz w:val="20"/>
                <w:szCs w:val="20"/>
              </w:rPr>
              <w:t xml:space="preserve">6</w:t>
            </w:r>
          </w:p>
        </w:tc>
        <w:tc>
          <w:tcPr>
            <w:tcW w:w="1600" w:type="dxa"/>
            <w:vAlign w:val="center"/>
          </w:tcPr>
          <w:p>
            <w:pPr>
              <w:spacing w:after="20"/>
            </w:pPr>
            <w:r>
              <w:rPr>
                <w:sz w:val="20"/>
                <w:szCs w:val="20"/>
              </w:rPr>
              <w:t xml:space="preserve">26.09%</w:t>
            </w:r>
          </w:p>
        </w:tc>
      </w:tr>
      <w:tr>
        <w:tc>
          <w:tcPr>
            <w:tcW w:w="5600" w:type="dxa"/>
            <w:vAlign w:val="center"/>
          </w:tcPr>
          <w:p>
            <w:pPr>
              <w:spacing w:after="20"/>
            </w:pPr>
            <w:r>
              <w:rPr>
                <w:sz w:val="20"/>
                <w:szCs w:val="20"/>
              </w:rPr>
              <w:t xml:space="preserve">Risk of medical disputes</w:t>
            </w:r>
          </w:p>
        </w:tc>
        <w:tc>
          <w:tcPr>
            <w:tcW w:w="1200" w:type="dxa"/>
            <w:vAlign w:val="center"/>
          </w:tcPr>
          <w:p>
            <w:pPr>
              <w:spacing w:after="20"/>
            </w:pPr>
            <w:r>
              <w:rPr>
                <w:sz w:val="20"/>
                <w:szCs w:val="20"/>
              </w:rPr>
              <w:t xml:space="preserve">12</w:t>
            </w:r>
          </w:p>
        </w:tc>
        <w:tc>
          <w:tcPr>
            <w:tcW w:w="1600" w:type="dxa"/>
            <w:vAlign w:val="center"/>
          </w:tcPr>
          <w:p>
            <w:pPr>
              <w:spacing w:after="20"/>
            </w:pPr>
            <w:r>
              <w:rPr>
                <w:sz w:val="20"/>
                <w:szCs w:val="20"/>
              </w:rPr>
              <w:t xml:space="preserve">52.17%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Q19. In your opinion, what are the main benefits of teaching procedures for patients? (Multiple choice)  [Multiple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More meticulous medical attention (e.g., an additional layer of examination)</w:t>
            </w:r>
          </w:p>
        </w:tc>
        <w:tc>
          <w:tcPr>
            <w:tcW w:w="1200" w:type="dxa"/>
            <w:vAlign w:val="center"/>
          </w:tcPr>
          <w:p>
            <w:pPr>
              <w:spacing w:after="20"/>
            </w:pPr>
            <w:r>
              <w:rPr>
                <w:sz w:val="20"/>
                <w:szCs w:val="20"/>
              </w:rPr>
              <w:t xml:space="preserve">18</w:t>
            </w:r>
          </w:p>
        </w:tc>
        <w:tc>
          <w:tcPr>
            <w:tcW w:w="1600" w:type="dxa"/>
            <w:vAlign w:val="center"/>
          </w:tcPr>
          <w:p>
            <w:pPr>
              <w:spacing w:after="20"/>
            </w:pPr>
            <w:r>
              <w:rPr>
                <w:sz w:val="20"/>
                <w:szCs w:val="20"/>
              </w:rPr>
              <w:t xml:space="preserve">78.26%</w:t>
            </w:r>
          </w:p>
        </w:tc>
      </w:tr>
      <w:tr>
        <w:tc>
          <w:tcPr>
            <w:tcW w:w="5600" w:type="dxa"/>
            <w:vAlign w:val="center"/>
          </w:tcPr>
          <w:p>
            <w:pPr>
              <w:spacing w:after="20"/>
            </w:pPr>
            <w:r>
              <w:rPr>
                <w:sz w:val="20"/>
                <w:szCs w:val="20"/>
              </w:rPr>
              <w:t xml:space="preserve">Potential detection of additional medical issues (e.g., anatomical variations)</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47.83%</w:t>
            </w:r>
          </w:p>
        </w:tc>
      </w:tr>
      <w:tr>
        <w:tc>
          <w:tcPr>
            <w:tcW w:w="5600" w:type="dxa"/>
            <w:vAlign w:val="center"/>
          </w:tcPr>
          <w:p>
            <w:pPr>
              <w:spacing w:after="20"/>
            </w:pPr>
            <w:r>
              <w:rPr>
                <w:sz w:val="20"/>
                <w:szCs w:val="20"/>
              </w:rPr>
              <w:t xml:space="preserve">Advancing medical education (future patients benefit)</w:t>
            </w:r>
          </w:p>
        </w:tc>
        <w:tc>
          <w:tcPr>
            <w:tcW w:w="1200" w:type="dxa"/>
            <w:vAlign w:val="center"/>
          </w:tcPr>
          <w:p>
            <w:pPr>
              <w:spacing w:after="20"/>
            </w:pPr>
            <w:r>
              <w:rPr>
                <w:sz w:val="20"/>
                <w:szCs w:val="20"/>
              </w:rPr>
              <w:t xml:space="preserve">15</w:t>
            </w:r>
          </w:p>
        </w:tc>
        <w:tc>
          <w:tcPr>
            <w:tcW w:w="1600" w:type="dxa"/>
            <w:vAlign w:val="center"/>
          </w:tcPr>
          <w:p>
            <w:pPr>
              <w:spacing w:after="20"/>
            </w:pPr>
            <w:r>
              <w:rPr>
                <w:sz w:val="20"/>
                <w:szCs w:val="20"/>
              </w:rPr>
              <w:t xml:space="preserve">65.22%</w:t>
            </w:r>
          </w:p>
        </w:tc>
      </w:tr>
      <w:tr>
        <w:tc>
          <w:tcPr>
            <w:tcW w:w="5600" w:type="dxa"/>
            <w:vAlign w:val="center"/>
          </w:tcPr>
          <w:p>
            <w:pPr>
              <w:spacing w:after="20"/>
            </w:pPr>
            <w:r>
              <w:rPr>
                <w:sz w:val="20"/>
                <w:szCs w:val="20"/>
              </w:rPr>
              <w:t xml:space="preserve">No obvious direct benefit</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8.7%</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Q20. How do you view the statement that "seeking care at a teaching hospital implies implicit consent to teaching procedures"?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Strongly agree (patients should expect a teaching environment)</w:t>
            </w:r>
          </w:p>
        </w:tc>
        <w:tc>
          <w:tcPr>
            <w:tcW w:w="1200" w:type="dxa"/>
            <w:vAlign w:val="center"/>
          </w:tcPr>
          <w:p>
            <w:pPr>
              <w:spacing w:after="20"/>
            </w:pPr>
            <w:r>
              <w:rPr>
                <w:sz w:val="20"/>
                <w:szCs w:val="20"/>
              </w:rPr>
              <w:t xml:space="preserve">4</w:t>
            </w:r>
          </w:p>
        </w:tc>
        <w:tc>
          <w:tcPr>
            <w:tcW w:w="1600" w:type="dxa"/>
            <w:vAlign w:val="center"/>
          </w:tcPr>
          <w:p>
            <w:pPr>
              <w:spacing w:after="20"/>
            </w:pPr>
            <w:r>
              <w:rPr>
                <w:sz w:val="20"/>
                <w:szCs w:val="20"/>
              </w:rPr>
              <w:t xml:space="preserve">17.39%</w:t>
            </w:r>
          </w:p>
        </w:tc>
      </w:tr>
      <w:tr>
        <w:tc>
          <w:tcPr>
            <w:tcW w:w="5600" w:type="dxa"/>
            <w:vAlign w:val="center"/>
          </w:tcPr>
          <w:p>
            <w:pPr>
              <w:spacing w:after="20"/>
            </w:pPr>
            <w:r>
              <w:rPr>
                <w:sz w:val="20"/>
                <w:szCs w:val="20"/>
              </w:rPr>
              <w:t xml:space="preserve">Somewhat agree (but basic notification is required)</w:t>
            </w:r>
          </w:p>
        </w:tc>
        <w:tc>
          <w:tcPr>
            <w:tcW w:w="1200" w:type="dxa"/>
            <w:vAlign w:val="center"/>
          </w:tcPr>
          <w:p>
            <w:pPr>
              <w:spacing w:after="20"/>
            </w:pPr>
            <w:r>
              <w:rPr>
                <w:sz w:val="20"/>
                <w:szCs w:val="20"/>
              </w:rPr>
              <w:t xml:space="preserve">14</w:t>
            </w:r>
          </w:p>
        </w:tc>
        <w:tc>
          <w:tcPr>
            <w:tcW w:w="1600" w:type="dxa"/>
            <w:vAlign w:val="center"/>
          </w:tcPr>
          <w:p>
            <w:pPr>
              <w:spacing w:after="20"/>
            </w:pPr>
            <w:r>
              <w:rPr>
                <w:sz w:val="20"/>
                <w:szCs w:val="20"/>
              </w:rPr>
              <w:t xml:space="preserve">60.87%</w:t>
            </w:r>
          </w:p>
        </w:tc>
      </w:tr>
      <w:tr>
        <w:tc>
          <w:tcPr>
            <w:tcW w:w="5600" w:type="dxa"/>
            <w:vAlign w:val="center"/>
          </w:tcPr>
          <w:p>
            <w:pPr>
              <w:spacing w:after="20"/>
            </w:pPr>
            <w:r>
              <w:rPr>
                <w:sz w:val="20"/>
                <w:szCs w:val="20"/>
              </w:rPr>
              <w:t xml:space="preserve">Neutral</w:t>
            </w:r>
          </w:p>
        </w:tc>
        <w:tc>
          <w:tcPr>
            <w:tcW w:w="1200" w:type="dxa"/>
            <w:vAlign w:val="center"/>
          </w:tcPr>
          <w:p>
            <w:pPr>
              <w:spacing w:after="20"/>
            </w:pPr>
            <w:r>
              <w:rPr>
                <w:sz w:val="20"/>
                <w:szCs w:val="20"/>
              </w:rPr>
              <w:t xml:space="preserve">3</w:t>
            </w:r>
          </w:p>
        </w:tc>
        <w:tc>
          <w:tcPr>
            <w:tcW w:w="1600" w:type="dxa"/>
            <w:vAlign w:val="center"/>
          </w:tcPr>
          <w:p>
            <w:pPr>
              <w:spacing w:after="20"/>
            </w:pPr>
            <w:r>
              <w:rPr>
                <w:sz w:val="20"/>
                <w:szCs w:val="20"/>
              </w:rPr>
              <w:t xml:space="preserve">13.04%</w:t>
            </w:r>
          </w:p>
        </w:tc>
      </w:tr>
      <w:tr>
        <w:tc>
          <w:tcPr>
            <w:tcW w:w="5600" w:type="dxa"/>
            <w:vAlign w:val="center"/>
          </w:tcPr>
          <w:p>
            <w:pPr>
              <w:spacing w:after="20"/>
            </w:pPr>
            <w:r>
              <w:rPr>
                <w:sz w:val="20"/>
                <w:szCs w:val="20"/>
              </w:rPr>
              <w:t xml:space="preserve">Somewhat disagree (explicit consent should be obtained)</w:t>
            </w:r>
          </w:p>
        </w:tc>
        <w:tc>
          <w:tcPr>
            <w:tcW w:w="1200" w:type="dxa"/>
            <w:vAlign w:val="center"/>
          </w:tcPr>
          <w:p>
            <w:pPr>
              <w:spacing w:after="20"/>
            </w:pPr>
            <w:r>
              <w:rPr>
                <w:sz w:val="20"/>
                <w:szCs w:val="20"/>
              </w:rPr>
              <w:t xml:space="preserve">2</w:t>
            </w:r>
          </w:p>
        </w:tc>
        <w:tc>
          <w:tcPr>
            <w:tcW w:w="1600" w:type="dxa"/>
            <w:vAlign w:val="center"/>
          </w:tcPr>
          <w:p>
            <w:pPr>
              <w:spacing w:after="20"/>
            </w:pPr>
            <w:r>
              <w:rPr>
                <w:sz w:val="20"/>
                <w:szCs w:val="20"/>
              </w:rPr>
              <w:t xml:space="preserve">8.7%</w:t>
            </w:r>
          </w:p>
        </w:tc>
      </w:tr>
      <w:tr>
        <w:tc>
          <w:tcPr>
            <w:tcW w:w="5600" w:type="dxa"/>
            <w:vAlign w:val="center"/>
          </w:tcPr>
          <w:p>
            <w:pPr>
              <w:spacing w:after="20"/>
            </w:pPr>
            <w:r>
              <w:rPr>
                <w:sz w:val="20"/>
                <w:szCs w:val="20"/>
              </w:rPr>
              <w:t xml:space="preserve">Strongly disagree (separate consent is mandatory)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Q21. If teaching procedures were restricted, how would this affect the training of residents?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Severe impact (key skills cannot be mastered)</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30.43%</w:t>
            </w:r>
          </w:p>
        </w:tc>
      </w:tr>
      <w:tr>
        <w:tc>
          <w:tcPr>
            <w:tcW w:w="5600" w:type="dxa"/>
            <w:vAlign w:val="center"/>
          </w:tcPr>
          <w:p>
            <w:pPr>
              <w:spacing w:after="20"/>
            </w:pPr>
            <w:r>
              <w:rPr>
                <w:sz w:val="20"/>
                <w:szCs w:val="20"/>
              </w:rPr>
              <w:t xml:space="preserve">Major impact (but can be partially compensated)</w:t>
            </w:r>
          </w:p>
        </w:tc>
        <w:tc>
          <w:tcPr>
            <w:tcW w:w="1200" w:type="dxa"/>
            <w:vAlign w:val="center"/>
          </w:tcPr>
          <w:p>
            <w:pPr>
              <w:spacing w:after="20"/>
            </w:pPr>
            <w:r>
              <w:rPr>
                <w:sz w:val="20"/>
                <w:szCs w:val="20"/>
              </w:rPr>
              <w:t xml:space="preserve">10</w:t>
            </w:r>
          </w:p>
        </w:tc>
        <w:tc>
          <w:tcPr>
            <w:tcW w:w="1600" w:type="dxa"/>
            <w:vAlign w:val="center"/>
          </w:tcPr>
          <w:p>
            <w:pPr>
              <w:spacing w:after="20"/>
            </w:pPr>
            <w:r>
              <w:rPr>
                <w:sz w:val="20"/>
                <w:szCs w:val="20"/>
              </w:rPr>
              <w:t xml:space="preserve">43.48%</w:t>
            </w:r>
          </w:p>
        </w:tc>
      </w:tr>
      <w:tr>
        <w:tc>
          <w:tcPr>
            <w:tcW w:w="5600" w:type="dxa"/>
            <w:vAlign w:val="center"/>
          </w:tcPr>
          <w:p>
            <w:pPr>
              <w:spacing w:after="20"/>
            </w:pPr>
            <w:r>
              <w:rPr>
                <w:sz w:val="20"/>
                <w:szCs w:val="20"/>
              </w:rPr>
              <w:t xml:space="preserve">Moderate impact (can be compensated by simulation training)</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21.74%</w:t>
            </w:r>
          </w:p>
        </w:tc>
      </w:tr>
      <w:tr>
        <w:tc>
          <w:tcPr>
            <w:tcW w:w="5600" w:type="dxa"/>
            <w:vAlign w:val="center"/>
          </w:tcPr>
          <w:p>
            <w:pPr>
              <w:spacing w:after="20"/>
            </w:pPr>
            <w:r>
              <w:rPr>
                <w:sz w:val="20"/>
                <w:szCs w:val="20"/>
              </w:rPr>
              <w:t xml:space="preserve">Minor impact (sufficient clinical opportunities remain)</w:t>
            </w:r>
          </w:p>
        </w:tc>
        <w:tc>
          <w:tcPr>
            <w:tcW w:w="1200" w:type="dxa"/>
            <w:vAlign w:val="center"/>
          </w:tcPr>
          <w:p>
            <w:pPr>
              <w:spacing w:after="20"/>
            </w:pPr>
            <w:r>
              <w:rPr>
                <w:sz w:val="20"/>
                <w:szCs w:val="20"/>
              </w:rPr>
              <w:t xml:space="preserve">1</w:t>
            </w:r>
          </w:p>
        </w:tc>
        <w:tc>
          <w:tcPr>
            <w:tcW w:w="1600" w:type="dxa"/>
            <w:vAlign w:val="center"/>
          </w:tcPr>
          <w:p>
            <w:pPr>
              <w:spacing w:after="20"/>
            </w:pPr>
            <w:r>
              <w:rPr>
                <w:sz w:val="20"/>
                <w:szCs w:val="20"/>
              </w:rPr>
              <w:t xml:space="preserve">4.35%</w:t>
            </w:r>
          </w:p>
        </w:tc>
      </w:tr>
      <w:tr>
        <w:tc>
          <w:tcPr>
            <w:tcW w:w="5600" w:type="dxa"/>
            <w:vAlign w:val="center"/>
          </w:tcPr>
          <w:p>
            <w:pPr>
              <w:spacing w:after="20"/>
            </w:pPr>
            <w:r>
              <w:rPr>
                <w:sz w:val="20"/>
                <w:szCs w:val="20"/>
              </w:rPr>
              <w:t xml:space="preserve">Almost no impact</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Q22. In your opinion, what is the most reasonable way to balance patient rights and teaching needs?  [Single choice]</w:t>
      </w:r>
    </w:p>
    <w:tbl>
      <w:tblPr>
        <w:tblW w:w="0" w:type="auto"/>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Pr>
      <w:tblGrid>
        <w:gridCol w:w="5600"/>
        <w:gridCol w:w="1200"/>
        <w:gridCol w:w="1600"/>
      </w:tblGrid>
      <w:tr>
        <w:tc>
          <w:tcPr>
            <w:tcW w:w="5600" w:type="dxa"/>
            <w:shd w:val="clear" w:color="auto" w:fill="F2F2F2"/>
            <w:vAlign w:val="center"/>
          </w:tcPr>
          <w:p>
            <w:pPr>
              <w:spacing w:after="20"/>
            </w:pPr>
            <w:r>
              <w:rPr>
                <w:b/>
                <w:sz w:val="20"/>
                <w:szCs w:val="20"/>
              </w:rPr>
              <w:t xml:space="preserve">Option</w:t>
            </w:r>
          </w:p>
        </w:tc>
        <w:tc>
          <w:tcPr>
            <w:tcW w:w="1200" w:type="dxa"/>
            <w:shd w:val="clear" w:color="auto" w:fill="F2F2F2"/>
            <w:vAlign w:val="center"/>
          </w:tcPr>
          <w:p>
            <w:pPr>
              <w:spacing w:after="20"/>
            </w:pPr>
            <w:r>
              <w:rPr>
                <w:b/>
                <w:sz w:val="20"/>
                <w:szCs w:val="20"/>
              </w:rPr>
              <w:t xml:space="preserve">Count (n)</w:t>
            </w:r>
          </w:p>
        </w:tc>
        <w:tc>
          <w:tcPr>
            <w:tcW w:w="1600" w:type="dxa"/>
            <w:shd w:val="clear" w:color="auto" w:fill="F2F2F2"/>
            <w:vAlign w:val="center"/>
          </w:tcPr>
          <w:p>
            <w:pPr>
              <w:spacing w:after="20"/>
            </w:pPr>
            <w:r>
              <w:rPr>
                <w:b/>
                <w:sz w:val="20"/>
                <w:szCs w:val="20"/>
              </w:rPr>
              <w:t xml:space="preserve">Percentage (%)</w:t>
            </w:r>
          </w:p>
        </w:tc>
      </w:tr>
      <w:tr>
        <w:tc>
          <w:tcPr>
            <w:tcW w:w="5600" w:type="dxa"/>
            <w:vAlign w:val="center"/>
          </w:tcPr>
          <w:p>
            <w:pPr>
              <w:spacing w:after="20"/>
            </w:pPr>
            <w:r>
              <w:rPr>
                <w:sz w:val="20"/>
                <w:szCs w:val="20"/>
              </w:rPr>
              <w:t xml:space="preserve">Prioritize patient rights (strict informed consent)</w:t>
            </w:r>
          </w:p>
        </w:tc>
        <w:tc>
          <w:tcPr>
            <w:tcW w:w="1200" w:type="dxa"/>
            <w:vAlign w:val="center"/>
          </w:tcPr>
          <w:p>
            <w:pPr>
              <w:spacing w:after="20"/>
            </w:pPr>
            <w:r>
              <w:rPr>
                <w:sz w:val="20"/>
                <w:szCs w:val="20"/>
              </w:rPr>
              <w:t xml:space="preserve">11</w:t>
            </w:r>
          </w:p>
        </w:tc>
        <w:tc>
          <w:tcPr>
            <w:tcW w:w="1600" w:type="dxa"/>
            <w:vAlign w:val="center"/>
          </w:tcPr>
          <w:p>
            <w:pPr>
              <w:spacing w:after="20"/>
            </w:pPr>
            <w:r>
              <w:rPr>
                <w:sz w:val="20"/>
                <w:szCs w:val="20"/>
              </w:rPr>
              <w:t xml:space="preserve">47.83%</w:t>
            </w:r>
          </w:p>
        </w:tc>
      </w:tr>
      <w:tr>
        <w:tc>
          <w:tcPr>
            <w:tcW w:w="5600" w:type="dxa"/>
            <w:vAlign w:val="center"/>
          </w:tcPr>
          <w:p>
            <w:pPr>
              <w:spacing w:after="20"/>
            </w:pPr>
            <w:r>
              <w:rPr>
                <w:sz w:val="20"/>
                <w:szCs w:val="20"/>
              </w:rPr>
              <w:t xml:space="preserve">Prioritize teaching needs (appropriately relax consent requirements)</w:t>
            </w:r>
          </w:p>
        </w:tc>
        <w:tc>
          <w:tcPr>
            <w:tcW w:w="1200" w:type="dxa"/>
            <w:vAlign w:val="center"/>
          </w:tcPr>
          <w:p>
            <w:pPr>
              <w:spacing w:after="20"/>
            </w:pPr>
            <w:r>
              <w:rPr>
                <w:sz w:val="20"/>
                <w:szCs w:val="20"/>
              </w:rPr>
              <w:t xml:space="preserve">5</w:t>
            </w:r>
          </w:p>
        </w:tc>
        <w:tc>
          <w:tcPr>
            <w:tcW w:w="1600" w:type="dxa"/>
            <w:vAlign w:val="center"/>
          </w:tcPr>
          <w:p>
            <w:pPr>
              <w:spacing w:after="20"/>
            </w:pPr>
            <w:r>
              <w:rPr>
                <w:sz w:val="20"/>
                <w:szCs w:val="20"/>
              </w:rPr>
              <w:t xml:space="preserve">21.74%</w:t>
            </w:r>
          </w:p>
        </w:tc>
      </w:tr>
      <w:tr>
        <w:tc>
          <w:tcPr>
            <w:tcW w:w="5600" w:type="dxa"/>
            <w:vAlign w:val="center"/>
          </w:tcPr>
          <w:p>
            <w:pPr>
              <w:spacing w:after="20"/>
            </w:pPr>
            <w:r>
              <w:rPr>
                <w:sz w:val="20"/>
                <w:szCs w:val="20"/>
              </w:rPr>
              <w:t xml:space="preserve">Stratified management according to procedural risk (low-risk procedures may be presumed; high-risk procedures require explicit consent)</w:t>
            </w:r>
          </w:p>
        </w:tc>
        <w:tc>
          <w:tcPr>
            <w:tcW w:w="1200" w:type="dxa"/>
            <w:vAlign w:val="center"/>
          </w:tcPr>
          <w:p>
            <w:pPr>
              <w:spacing w:after="20"/>
            </w:pPr>
            <w:r>
              <w:rPr>
                <w:sz w:val="20"/>
                <w:szCs w:val="20"/>
              </w:rPr>
              <w:t xml:space="preserve">7</w:t>
            </w:r>
          </w:p>
        </w:tc>
        <w:tc>
          <w:tcPr>
            <w:tcW w:w="1600" w:type="dxa"/>
            <w:vAlign w:val="center"/>
          </w:tcPr>
          <w:p>
            <w:pPr>
              <w:spacing w:after="20"/>
            </w:pPr>
            <w:r>
              <w:rPr>
                <w:sz w:val="20"/>
                <w:szCs w:val="20"/>
              </w:rPr>
              <w:t xml:space="preserve">30.43%</w:t>
            </w:r>
          </w:p>
        </w:tc>
      </w:tr>
      <w:tr>
        <w:tc>
          <w:tcPr>
            <w:tcW w:w="5600" w:type="dxa"/>
            <w:vAlign w:val="center"/>
          </w:tcPr>
          <w:p>
            <w:pPr>
              <w:spacing w:after="20"/>
            </w:pPr>
            <w:r>
              <w:rPr>
                <w:sz w:val="20"/>
                <w:szCs w:val="20"/>
              </w:rPr>
              <w:t xml:space="preserve">Other (please specify)</w:t>
            </w:r>
          </w:p>
        </w:tc>
        <w:tc>
          <w:tcPr>
            <w:tcW w:w="1200" w:type="dxa"/>
            <w:vAlign w:val="center"/>
          </w:tcPr>
          <w:p>
            <w:pPr>
              <w:spacing w:after="20"/>
            </w:pPr>
            <w:r>
              <w:rPr>
                <w:sz w:val="20"/>
                <w:szCs w:val="20"/>
              </w:rPr>
              <w:t xml:space="preserve">0</w:t>
            </w:r>
          </w:p>
        </w:tc>
        <w:tc>
          <w:tcPr>
            <w:tcW w:w="1600" w:type="dxa"/>
            <w:vAlign w:val="center"/>
          </w:tcPr>
          <w:p>
            <w:pPr>
              <w:spacing w:after="20"/>
            </w:pPr>
            <w:r>
              <w:rPr>
                <w:sz w:val="20"/>
                <w:szCs w:val="20"/>
              </w:rPr>
              <w:t xml:space="preserve">0%</w:t>
            </w:r>
          </w:p>
        </w:tc>
      </w:tr>
    </w:tbl>
    <w:p>
      <w:pPr>
        <w:spacing w:after="200"/>
      </w:pPr>
      <w:r>
        <w:rPr>
          <w:i/>
          <w:sz w:val="20"/>
          <w:szCs w:val="20"/>
        </w:rPr>
        <w:t xml:space="preserve">Valid responses for this item: 23</w:t>
      </w:r>
    </w:p>
    <w:p>
      <w:pPr>
        <w:spacing w:after="80"/>
      </w:pPr>
      <w:r>
        <w:rPr>
          <w:b/>
          <w:sz w:val="24"/>
          <w:szCs w:val="24"/>
        </w:rPr>
        <w:t xml:space="preserve">Q23. Please briefly describe your personal views on the necessity of informed consent for clinical teaching supervision (e.g., should all procedures require consent? Are there exceptions?)  [Open-ended]</w:t>
      </w:r>
    </w:p>
    <w:p>
      <w:pPr>
        <w:spacing w:after="200"/>
      </w:pPr>
      <w:r>
        <w:rPr>
          <w:i/>
          <w:sz w:val="20"/>
          <w:szCs w:val="20"/>
        </w:rPr>
        <w:t xml:space="preserve">Open-ended question. Free-text responses were collected; no fixed response options apply.</w:t>
      </w:r>
    </w:p>
    <w:p>
      <w:pPr>
        <w:spacing w:after="80"/>
      </w:pPr>
      <w:r>
        <w:rPr>
          <w:b/>
          <w:sz w:val="24"/>
          <w:szCs w:val="24"/>
        </w:rPr>
        <w:t xml:space="preserve">Q24. Do you have any suggestions for improving the informed consent process for clinical teaching supervision (e.g., optimizing the notification approach, strengthening patient education, policy adjustments, etc.)?  [Open-ended]</w:t>
      </w:r>
    </w:p>
    <w:p>
      <w:pPr>
        <w:spacing w:after="200"/>
      </w:pPr>
      <w:r>
        <w:rPr>
          <w:i/>
          <w:sz w:val="20"/>
          <w:szCs w:val="20"/>
        </w:rPr>
        <w:t xml:space="preserve">Open-ended question. Free-text responses were collected; no fixed response options apply.</w:t>
      </w:r>
    </w:p>
    <w:p>
      <w:pPr>
        <w:spacing w:after="160"/>
      </w:pPr>
      <w:r>
        <w:rPr>
          <w:b/>
          <w:sz w:val="28"/>
          <w:szCs w:val="28"/>
          <w:color w:val="1F4E79"/>
        </w:rPr>
        <w:t xml:space="preserve">Part II. Response summary (raw data, unmodified)</w:t>
      </w:r>
    </w:p>
    <w:p>
      <w:pPr>
        <w:spacing w:after="160"/>
      </w:pPr>
      <w:r>
        <w:rPr>
          <w:sz w:val="22"/>
          <w:szCs w:val="22"/>
        </w:rPr>
        <w:t xml:space="preserve">The response summary for each item (option counts and percentages) is presented in the tables of Part I. These figures were exported directly from the survey platform and are identical to the original Chinese-language data files.</w:t>
      </w:r>
    </w:p>
    <w:sectPr>
      <w:pgSz w:w="11906" w:h="16838"/>
      <w:pgMar w:top="1440" w:right="1440" w:bottom="1440" w:left="1440"/>
    </w:sectPr>
  </w:body>
</w:document>
</file>

<file path=word/_rels/document.xml.rels><?xml version="1.0" encoding="UTF-8" standalone="yes"?><Relationships xmlns="http://schemas.openxmlformats.org/package/2006/relationships"></Relationships>
</file>