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F7B7" w14:textId="77777777" w:rsidR="00596BC7" w:rsidRDefault="00000000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</w:p>
    <w:p w14:paraId="2F9E4225" w14:textId="77777777" w:rsidR="00596BC7" w:rsidRDefault="00000000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S1.</w:t>
      </w:r>
      <w:r>
        <w:rPr>
          <w:rFonts w:ascii="Times New Roman" w:hAnsi="Times New Roman" w:cs="Times New Roman"/>
          <w:sz w:val="24"/>
          <w:szCs w:val="24"/>
        </w:rPr>
        <w:t xml:space="preserve"> Restricted cubic spline and threshold analyses of the association between serum Hcy level and cerebral microbleeds. </w:t>
      </w:r>
    </w:p>
    <w:tbl>
      <w:tblPr>
        <w:tblW w:w="10477" w:type="dxa"/>
        <w:tblInd w:w="-1090" w:type="dxa"/>
        <w:tblLook w:val="04A0" w:firstRow="1" w:lastRow="0" w:firstColumn="1" w:lastColumn="0" w:noHBand="0" w:noVBand="1"/>
      </w:tblPr>
      <w:tblGrid>
        <w:gridCol w:w="2928"/>
        <w:gridCol w:w="3541"/>
        <w:gridCol w:w="2820"/>
        <w:gridCol w:w="1188"/>
      </w:tblGrid>
      <w:tr w:rsidR="00596BC7" w14:paraId="61446697" w14:textId="77777777">
        <w:trPr>
          <w:trHeight w:val="288"/>
        </w:trPr>
        <w:tc>
          <w:tcPr>
            <w:tcW w:w="292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C4D5E14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Analysis</w:t>
            </w:r>
          </w:p>
        </w:tc>
        <w:tc>
          <w:tcPr>
            <w:tcW w:w="354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F1EF609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Term</w:t>
            </w:r>
          </w:p>
        </w:tc>
        <w:tc>
          <w:tcPr>
            <w:tcW w:w="2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D1B021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Estimate (95% CI)</w:t>
            </w:r>
          </w:p>
        </w:tc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45EBB4E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 xml:space="preserve"> value</w:t>
            </w:r>
          </w:p>
        </w:tc>
      </w:tr>
      <w:tr w:rsidR="00596BC7" w14:paraId="59425EDE" w14:textId="77777777">
        <w:trPr>
          <w:trHeight w:val="288"/>
        </w:trPr>
        <w:tc>
          <w:tcPr>
            <w:tcW w:w="2928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820A518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Restricted cubic spline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noWrap/>
            <w:vAlign w:val="center"/>
          </w:tcPr>
          <w:p w14:paraId="376A5552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Overall association</w:t>
            </w:r>
          </w:p>
        </w:tc>
        <w:tc>
          <w:tcPr>
            <w:tcW w:w="2820" w:type="dxa"/>
            <w:tcBorders>
              <w:top w:val="single" w:sz="4" w:space="0" w:color="auto"/>
            </w:tcBorders>
            <w:vAlign w:val="center"/>
          </w:tcPr>
          <w:p w14:paraId="05580F32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-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noWrap/>
            <w:vAlign w:val="center"/>
          </w:tcPr>
          <w:p w14:paraId="1E4BB3ED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0.018</w:t>
            </w:r>
          </w:p>
        </w:tc>
      </w:tr>
      <w:tr w:rsidR="00596BC7" w14:paraId="64B87BC5" w14:textId="77777777">
        <w:trPr>
          <w:trHeight w:val="288"/>
        </w:trPr>
        <w:tc>
          <w:tcPr>
            <w:tcW w:w="2928" w:type="dxa"/>
            <w:vMerge/>
            <w:tcBorders>
              <w:bottom w:val="single" w:sz="4" w:space="0" w:color="auto"/>
            </w:tcBorders>
            <w:vAlign w:val="center"/>
          </w:tcPr>
          <w:p w14:paraId="623E4755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41" w:type="dxa"/>
            <w:tcBorders>
              <w:bottom w:val="single" w:sz="4" w:space="0" w:color="auto"/>
            </w:tcBorders>
            <w:noWrap/>
            <w:vAlign w:val="center"/>
          </w:tcPr>
          <w:p w14:paraId="0A437C2C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Non-linearity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noWrap/>
            <w:vAlign w:val="center"/>
          </w:tcPr>
          <w:p w14:paraId="59FF53DD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noWrap/>
            <w:vAlign w:val="center"/>
          </w:tcPr>
          <w:p w14:paraId="334121BF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0.526</w:t>
            </w:r>
          </w:p>
        </w:tc>
      </w:tr>
      <w:tr w:rsidR="00596BC7" w14:paraId="15EF57C8" w14:textId="77777777">
        <w:trPr>
          <w:trHeight w:val="288"/>
        </w:trPr>
        <w:tc>
          <w:tcPr>
            <w:tcW w:w="2928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471172D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Threshold analysis</w:t>
            </w:r>
          </w:p>
        </w:tc>
        <w:tc>
          <w:tcPr>
            <w:tcW w:w="3541" w:type="dxa"/>
            <w:tcBorders>
              <w:top w:val="single" w:sz="4" w:space="0" w:color="auto"/>
            </w:tcBorders>
            <w:noWrap/>
            <w:vAlign w:val="center"/>
          </w:tcPr>
          <w:p w14:paraId="5192CE52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Estimated breakpoint,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μmol/L</w:t>
            </w:r>
          </w:p>
        </w:tc>
        <w:tc>
          <w:tcPr>
            <w:tcW w:w="2820" w:type="dxa"/>
            <w:tcBorders>
              <w:top w:val="single" w:sz="4" w:space="0" w:color="auto"/>
            </w:tcBorders>
            <w:noWrap/>
            <w:vAlign w:val="center"/>
          </w:tcPr>
          <w:p w14:paraId="080209BE" w14:textId="77777777" w:rsidR="00596BC7" w:rsidRDefault="0000000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9.98 (9.50-10.46)</w:t>
            </w:r>
          </w:p>
        </w:tc>
        <w:tc>
          <w:tcPr>
            <w:tcW w:w="1188" w:type="dxa"/>
            <w:tcBorders>
              <w:top w:val="single" w:sz="4" w:space="0" w:color="auto"/>
            </w:tcBorders>
            <w:noWrap/>
            <w:vAlign w:val="center"/>
          </w:tcPr>
          <w:p w14:paraId="513C6B5B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</w:p>
        </w:tc>
      </w:tr>
      <w:tr w:rsidR="00596BC7" w14:paraId="41CC9115" w14:textId="77777777">
        <w:trPr>
          <w:trHeight w:val="288"/>
        </w:trPr>
        <w:tc>
          <w:tcPr>
            <w:tcW w:w="2928" w:type="dxa"/>
            <w:vMerge/>
            <w:vAlign w:val="center"/>
          </w:tcPr>
          <w:p w14:paraId="1A073F58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41" w:type="dxa"/>
            <w:vAlign w:val="center"/>
          </w:tcPr>
          <w:p w14:paraId="2315C27A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OR below breakpoint</w:t>
            </w:r>
          </w:p>
        </w:tc>
        <w:tc>
          <w:tcPr>
            <w:tcW w:w="2820" w:type="dxa"/>
            <w:vAlign w:val="center"/>
          </w:tcPr>
          <w:p w14:paraId="14D27BF1" w14:textId="77777777" w:rsidR="00596BC7" w:rsidRDefault="0000000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1.69 (0.95-2.98)</w:t>
            </w:r>
          </w:p>
        </w:tc>
        <w:tc>
          <w:tcPr>
            <w:tcW w:w="1188" w:type="dxa"/>
            <w:vAlign w:val="center"/>
          </w:tcPr>
          <w:p w14:paraId="69E99A2D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0.07</w:t>
            </w:r>
          </w:p>
        </w:tc>
      </w:tr>
      <w:tr w:rsidR="00596BC7" w14:paraId="1E932ED6" w14:textId="77777777">
        <w:trPr>
          <w:trHeight w:val="288"/>
        </w:trPr>
        <w:tc>
          <w:tcPr>
            <w:tcW w:w="2928" w:type="dxa"/>
            <w:vMerge/>
            <w:vAlign w:val="center"/>
          </w:tcPr>
          <w:p w14:paraId="5FE69936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41" w:type="dxa"/>
            <w:noWrap/>
            <w:vAlign w:val="center"/>
          </w:tcPr>
          <w:p w14:paraId="2C908A81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OR above breakpoint</w:t>
            </w:r>
          </w:p>
        </w:tc>
        <w:tc>
          <w:tcPr>
            <w:tcW w:w="2820" w:type="dxa"/>
            <w:noWrap/>
            <w:vAlign w:val="center"/>
          </w:tcPr>
          <w:p w14:paraId="401E4131" w14:textId="77777777" w:rsidR="00596BC7" w:rsidRDefault="0000000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1.16 (1.04-1.28)</w:t>
            </w:r>
          </w:p>
        </w:tc>
        <w:tc>
          <w:tcPr>
            <w:tcW w:w="1188" w:type="dxa"/>
            <w:noWrap/>
            <w:vAlign w:val="center"/>
          </w:tcPr>
          <w:p w14:paraId="63B7D5D5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0.006</w:t>
            </w:r>
          </w:p>
        </w:tc>
      </w:tr>
      <w:tr w:rsidR="00596BC7" w14:paraId="73A78516" w14:textId="77777777">
        <w:trPr>
          <w:trHeight w:val="288"/>
        </w:trPr>
        <w:tc>
          <w:tcPr>
            <w:tcW w:w="2928" w:type="dxa"/>
            <w:vMerge/>
            <w:tcBorders>
              <w:bottom w:val="single" w:sz="4" w:space="0" w:color="auto"/>
            </w:tcBorders>
            <w:vAlign w:val="center"/>
          </w:tcPr>
          <w:p w14:paraId="0F789525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541" w:type="dxa"/>
            <w:tcBorders>
              <w:bottom w:val="single" w:sz="4" w:space="0" w:color="auto"/>
            </w:tcBorders>
            <w:vAlign w:val="center"/>
          </w:tcPr>
          <w:p w14:paraId="1FFE7845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Likelihood ratio test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noWrap/>
            <w:vAlign w:val="center"/>
          </w:tcPr>
          <w:p w14:paraId="0058C204" w14:textId="77777777" w:rsidR="00596BC7" w:rsidRDefault="00000000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-</w:t>
            </w:r>
          </w:p>
        </w:tc>
        <w:tc>
          <w:tcPr>
            <w:tcW w:w="1188" w:type="dxa"/>
            <w:tcBorders>
              <w:bottom w:val="single" w:sz="4" w:space="0" w:color="auto"/>
            </w:tcBorders>
            <w:vAlign w:val="center"/>
          </w:tcPr>
          <w:p w14:paraId="6817C9D9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0.12</w:t>
            </w:r>
          </w:p>
        </w:tc>
      </w:tr>
    </w:tbl>
    <w:p w14:paraId="243BB945" w14:textId="77777777" w:rsidR="00596BC7" w:rsidRDefault="00000000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Restricted cubic spline logistic regression and threshold analysis were used to evaluate the dose-response association between serum Hcy level and cerebral microbleeds. The reference value in the restricted cubic spline model was 11.4 μmol/L. The threshold analysis estimated a breakpoint at 9.98 μmol/L; however, the likelihood ratio test did not support a statistically significant threshold effect. Estimates for slopes are presented as odds ratios with 95% confidence intervals.</w:t>
      </w:r>
    </w:p>
    <w:p w14:paraId="78030012" w14:textId="77777777" w:rsidR="00596BC7" w:rsidRDefault="00596BC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7253F44" w14:textId="77777777" w:rsidR="00596BC7" w:rsidRDefault="000000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S2.</w:t>
      </w:r>
      <w:r>
        <w:rPr>
          <w:rFonts w:ascii="Times New Roman" w:hAnsi="Times New Roman" w:cs="Times New Roman"/>
          <w:sz w:val="24"/>
          <w:szCs w:val="24"/>
        </w:rPr>
        <w:t xml:space="preserve"> Subgroup and interaction analyses of the association between serum Hcy levels and the presence of CMBs in patients with hypertension.</w:t>
      </w:r>
    </w:p>
    <w:tbl>
      <w:tblPr>
        <w:tblpPr w:leftFromText="180" w:rightFromText="180" w:vertAnchor="text" w:horzAnchor="margin" w:tblpXSpec="center" w:tblpY="86"/>
        <w:tblW w:w="11978" w:type="dxa"/>
        <w:tblLayout w:type="fixed"/>
        <w:tblLook w:val="04A0" w:firstRow="1" w:lastRow="0" w:firstColumn="1" w:lastColumn="0" w:noHBand="0" w:noVBand="1"/>
      </w:tblPr>
      <w:tblGrid>
        <w:gridCol w:w="1276"/>
        <w:gridCol w:w="992"/>
        <w:gridCol w:w="1276"/>
        <w:gridCol w:w="1843"/>
        <w:gridCol w:w="1450"/>
        <w:gridCol w:w="1894"/>
        <w:gridCol w:w="1484"/>
        <w:gridCol w:w="1763"/>
      </w:tblGrid>
      <w:tr w:rsidR="00596BC7" w14:paraId="54592F56" w14:textId="77777777">
        <w:trPr>
          <w:trHeight w:val="285"/>
        </w:trPr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9C7C44F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Subgroup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FC2D960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Total, n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111A0714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Event, n (%)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E8E3D85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Crude OR</w:t>
            </w:r>
          </w:p>
          <w:p w14:paraId="21DAD416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(95% CI)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3070F61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Crude 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18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20E5EFB4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Adjusted OR (95% CI)</w:t>
            </w:r>
          </w:p>
        </w:tc>
        <w:tc>
          <w:tcPr>
            <w:tcW w:w="14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029A2B6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Adjusted</w:t>
            </w: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 xml:space="preserve"> P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value</w:t>
            </w:r>
          </w:p>
        </w:tc>
        <w:tc>
          <w:tcPr>
            <w:tcW w:w="176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853DD2F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for interaction</w:t>
            </w:r>
          </w:p>
        </w:tc>
      </w:tr>
      <w:tr w:rsidR="00596BC7" w14:paraId="6E5D970F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9D938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Sex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8F3785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51E506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CBECBF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645DB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2E71B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8DD16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66C82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kern w:val="0"/>
                <w:sz w:val="24"/>
                <w:szCs w:val="24"/>
              </w:rPr>
              <w:t>0.003</w:t>
            </w:r>
          </w:p>
        </w:tc>
      </w:tr>
      <w:tr w:rsidR="00596BC7" w14:paraId="42DB5960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90081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female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1517A1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3828E4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 (17.2)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5B5E2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1.32 (1.17-1.48)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F46BD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99DD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1.29 (1.09-1.53)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A4C59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AFF874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758F7466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008C8B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male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C9413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195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9862D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59 (30.3)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4D4E0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1.05 (0.98-1.11)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84387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0.156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38715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1.06 (0.98~1.14)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1FFFA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0.15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6015F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3A0A465A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71538F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Age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9F5B01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732F33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67857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A38004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2EE33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8DEB6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F4D132" w14:textId="7574B8B5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0.6</w:t>
            </w:r>
            <w:r w:rsidR="00B2004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26</w:t>
            </w:r>
          </w:p>
        </w:tc>
      </w:tr>
      <w:tr w:rsidR="00596BC7" w14:paraId="145FBE77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39C6B5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＜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88E9B1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7A0045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51 (20)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693028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1.11 (1.04-1.19)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69473F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0.002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F181F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1.08 (1.00-1.17)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D4E1B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A2A90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09791D07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AA14A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≥75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A675A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BCEDF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37 (33.9)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4C1F7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1.13 (1.03-1.25)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6126DA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0.009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1C3942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1.15 (1.01-1.31)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CD7E6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8198D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6EAA8787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B511D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BMI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38885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D93EFE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266AD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39AA80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EDE6C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B79AB1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B660C1" w14:textId="5918B060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0.9</w:t>
            </w:r>
            <w:r w:rsidR="00B2004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47</w:t>
            </w:r>
          </w:p>
        </w:tc>
      </w:tr>
      <w:tr w:rsidR="00596BC7" w14:paraId="17DFF3CD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E47D2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＜</w:t>
            </w: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B60DD7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179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3DE70B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47 (26.3)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D56717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1.14 (1.05-1.23)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E0ABE2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0.002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EBE5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1.14 (1.02-1.26)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9D7A5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E290F6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1773524C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8CF6D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≥24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A34C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8A31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41 (22.2)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69F67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1.13 (1.05-1.22)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DDC4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9646A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1.09 (0.99-1.20)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E2CAC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748732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22922626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8EBE0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Smoker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DC80B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01567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E1EE3A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7D10CB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FA20E6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CCF9A3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91B323" w14:textId="23334B49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0.14</w:t>
            </w:r>
            <w:r w:rsidR="00B2004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1</w:t>
            </w:r>
          </w:p>
        </w:tc>
      </w:tr>
      <w:tr w:rsidR="00596BC7" w14:paraId="53497E6B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CE50E0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018FBF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F45B37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59 (21.1)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C3C19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1.17 (1.09-1.25)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7A734F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66AA7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1.16 (1.06-1.27)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6510D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02507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6D6C0D75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83B8E5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5903DA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84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F5BA29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29 (34.5)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362F3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1.04 (0.96-1.13)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7FCFC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0.33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1415C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1.05 (0.94-1.17)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D56353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0.37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05F7C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03769190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D339E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IS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226D0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57E169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F6FE8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4ED60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34A66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A12AF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B7F11" w14:textId="1ED0C6BB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</w:t>
            </w:r>
            <w:r w:rsidR="00B2004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898</w:t>
            </w:r>
          </w:p>
        </w:tc>
      </w:tr>
      <w:tr w:rsidR="00596BC7" w14:paraId="742AF6A5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AE161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lastRenderedPageBreak/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53C8C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0BFDF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60 (23.2)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D8EFA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1.13 (1.06-1.21)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42D2CD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DF556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1.09 (1.02-1.18)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D9CF9D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FE9F1D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76D7CF98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5135A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41D78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B39CC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28 (26.7)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4F93C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1.12 (1.01-1.25)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A607D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0.04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44989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1.09 (0.92-1.28)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FACF4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0.34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BAF863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49E19F8D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EE0F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Diabetes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08865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D6773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6A209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30564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F2AA2B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76E91F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A1844" w14:textId="4A64B86B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0.20</w:t>
            </w:r>
            <w:r w:rsidR="00B2004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2</w:t>
            </w:r>
          </w:p>
        </w:tc>
      </w:tr>
      <w:tr w:rsidR="00596BC7" w14:paraId="6A2EE104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2BC90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8CB89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263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51DEA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58 (22.1)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795700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1.12 (1.05-1.19)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0B6F4B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0.001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B982D0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1.09 (1.00-1.18)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C34FC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E99611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773A17AF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B444D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F7FC63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101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9A4792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 (29.7)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86B35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1.19 (1.06-1.33)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58873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0.003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808676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1.16 (1.02-1.33)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B318CF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BA307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0752090F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AB941B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CHD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5D8947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84ED8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59D98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BA3FD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EEFD99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3A482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4AE578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0.81</w:t>
            </w:r>
          </w:p>
        </w:tc>
      </w:tr>
      <w:tr w:rsidR="00596BC7" w14:paraId="305BA5B8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23D78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D0733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305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BA0AD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74 (24.3)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3FAA3B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1.13 (1.06-1.2)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2937E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11E91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1.09 (1.01-1.17)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4E79B2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0.02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F4D0D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18BD541F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14DF3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482F68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59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F713D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14 (23.7)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7FD71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1.15 (1.01-1.31)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28815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0.04</w:t>
            </w: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B51AB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1.18 (0.95-1.47)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68C966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0.14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03400E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010CDCCF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50E6A1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WMHs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C7F42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AFFD6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558E0E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79CB4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839BB4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91AF7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8C2FA7" w14:textId="4C8760F9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</w:t>
            </w:r>
            <w:r w:rsidR="00B20040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>698</w:t>
            </w:r>
          </w:p>
        </w:tc>
      </w:tr>
      <w:tr w:rsidR="00596BC7" w14:paraId="1B28C48D" w14:textId="77777777">
        <w:trPr>
          <w:trHeight w:val="285"/>
        </w:trPr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57F9B15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B6D6312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125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E7EAB2A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16 (12.8)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C794D63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1.10 (0.97-1.24)</w:t>
            </w:r>
          </w:p>
        </w:tc>
        <w:tc>
          <w:tcPr>
            <w:tcW w:w="145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49AB4B8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0.15</w:t>
            </w:r>
          </w:p>
        </w:tc>
        <w:tc>
          <w:tcPr>
            <w:tcW w:w="189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E13C3F3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1.06 (0.87-1.3)</w:t>
            </w:r>
          </w:p>
        </w:tc>
        <w:tc>
          <w:tcPr>
            <w:tcW w:w="148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750F13C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0.55</w:t>
            </w:r>
          </w:p>
        </w:tc>
        <w:tc>
          <w:tcPr>
            <w:tcW w:w="176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74347DD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596BC7" w14:paraId="2893A835" w14:textId="77777777">
        <w:trPr>
          <w:trHeight w:val="401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60911D8" w14:textId="77777777" w:rsidR="00596BC7" w:rsidRDefault="00000000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FE3CEC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239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73FF14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72 (30.1)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50D77D6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1.12 (1.05-1.2)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BB10DB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&lt;0.001</w:t>
            </w: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382594D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1.1 (1.02-1.18)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A8E491" w14:textId="77777777" w:rsidR="00596BC7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0.008</w:t>
            </w:r>
          </w:p>
        </w:tc>
        <w:tc>
          <w:tcPr>
            <w:tcW w:w="17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C5589C8" w14:textId="77777777" w:rsidR="00596BC7" w:rsidRDefault="00596BC7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14:paraId="25C56200" w14:textId="77777777" w:rsidR="00596BC7" w:rsidRDefault="0000000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 xml:space="preserve">  </w:t>
      </w:r>
    </w:p>
    <w:p w14:paraId="241F32AC" w14:textId="77777777" w:rsidR="00596BC7" w:rsidRDefault="00000000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S3. </w:t>
      </w:r>
      <w:r>
        <w:rPr>
          <w:rFonts w:ascii="Times New Roman" w:hAnsi="Times New Roman" w:cs="Times New Roman"/>
          <w:sz w:val="24"/>
          <w:szCs w:val="24"/>
        </w:rPr>
        <w:t>Overall and pairwise comparisons of serum Hcy levels according to CMB location and burden.</w:t>
      </w:r>
    </w:p>
    <w:tbl>
      <w:tblPr>
        <w:tblW w:w="11178" w:type="dxa"/>
        <w:tblInd w:w="-1348" w:type="dxa"/>
        <w:tblLook w:val="04A0" w:firstRow="1" w:lastRow="0" w:firstColumn="1" w:lastColumn="0" w:noHBand="0" w:noVBand="1"/>
      </w:tblPr>
      <w:tblGrid>
        <w:gridCol w:w="1499"/>
        <w:gridCol w:w="5118"/>
        <w:gridCol w:w="3445"/>
        <w:gridCol w:w="1116"/>
      </w:tblGrid>
      <w:tr w:rsidR="00596BC7" w14:paraId="2B718EE4" w14:textId="77777777">
        <w:trPr>
          <w:trHeight w:val="286"/>
        </w:trPr>
        <w:tc>
          <w:tcPr>
            <w:tcW w:w="14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26C8E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Analysis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B7A5A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Comparison</w:t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17E6D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Test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9BEA1F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 xml:space="preserve">P 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value</w:t>
            </w:r>
          </w:p>
        </w:tc>
      </w:tr>
      <w:tr w:rsidR="00596BC7" w14:paraId="536BA8DC" w14:textId="77777777">
        <w:trPr>
          <w:trHeight w:val="286"/>
        </w:trPr>
        <w:tc>
          <w:tcPr>
            <w:tcW w:w="149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E837C52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CMB location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545382B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Overall comparison among four location groups</w:t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B88B66A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Kruskal–Wallis test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6CAF6D2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 w:rsidR="00596BC7" w14:paraId="5614E5A1" w14:textId="77777777">
        <w:trPr>
          <w:trHeight w:val="286"/>
        </w:trPr>
        <w:tc>
          <w:tcPr>
            <w:tcW w:w="1499" w:type="dxa"/>
            <w:vMerge/>
            <w:vAlign w:val="center"/>
          </w:tcPr>
          <w:p w14:paraId="6439E034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8" w:type="dxa"/>
            <w:tcBorders>
              <w:top w:val="single" w:sz="4" w:space="0" w:color="auto"/>
            </w:tcBorders>
            <w:noWrap/>
            <w:vAlign w:val="center"/>
          </w:tcPr>
          <w:p w14:paraId="1B5B1464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Non CMB vs Mixed CMBs</w:t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02A1094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Dunn test with Bonferroni correction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noWrap/>
            <w:vAlign w:val="center"/>
          </w:tcPr>
          <w:p w14:paraId="38CAC5D9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0.0003</w:t>
            </w:r>
          </w:p>
        </w:tc>
      </w:tr>
      <w:tr w:rsidR="00596BC7" w14:paraId="0A678BAC" w14:textId="77777777">
        <w:trPr>
          <w:trHeight w:val="286"/>
        </w:trPr>
        <w:tc>
          <w:tcPr>
            <w:tcW w:w="1499" w:type="dxa"/>
            <w:vMerge/>
            <w:vAlign w:val="center"/>
          </w:tcPr>
          <w:p w14:paraId="7ABA3C7C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8" w:type="dxa"/>
            <w:noWrap/>
            <w:vAlign w:val="center"/>
          </w:tcPr>
          <w:p w14:paraId="55AF4992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Non CMB vs Deep CMBs</w:t>
            </w:r>
          </w:p>
        </w:tc>
        <w:tc>
          <w:tcPr>
            <w:tcW w:w="3445" w:type="dxa"/>
            <w:vMerge/>
            <w:vAlign w:val="center"/>
          </w:tcPr>
          <w:p w14:paraId="40A64EDD" w14:textId="77777777" w:rsidR="00596BC7" w:rsidRDefault="00596B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noWrap/>
            <w:vAlign w:val="center"/>
          </w:tcPr>
          <w:p w14:paraId="472C528B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0.009</w:t>
            </w:r>
          </w:p>
        </w:tc>
      </w:tr>
      <w:tr w:rsidR="00596BC7" w14:paraId="130EB23A" w14:textId="77777777">
        <w:trPr>
          <w:trHeight w:val="286"/>
        </w:trPr>
        <w:tc>
          <w:tcPr>
            <w:tcW w:w="1499" w:type="dxa"/>
            <w:vMerge/>
            <w:vAlign w:val="center"/>
          </w:tcPr>
          <w:p w14:paraId="4165EB8C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8" w:type="dxa"/>
            <w:noWrap/>
            <w:vAlign w:val="center"/>
          </w:tcPr>
          <w:p w14:paraId="7E0A3E2F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Non CMB vs Lobar CMBs</w:t>
            </w:r>
          </w:p>
        </w:tc>
        <w:tc>
          <w:tcPr>
            <w:tcW w:w="3445" w:type="dxa"/>
            <w:vMerge/>
            <w:vAlign w:val="center"/>
          </w:tcPr>
          <w:p w14:paraId="6A009997" w14:textId="77777777" w:rsidR="00596BC7" w:rsidRDefault="00596B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noWrap/>
            <w:vAlign w:val="center"/>
          </w:tcPr>
          <w:p w14:paraId="34113443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0.332</w:t>
            </w:r>
          </w:p>
        </w:tc>
      </w:tr>
      <w:tr w:rsidR="00596BC7" w14:paraId="3D467C01" w14:textId="77777777">
        <w:trPr>
          <w:trHeight w:val="286"/>
        </w:trPr>
        <w:tc>
          <w:tcPr>
            <w:tcW w:w="1499" w:type="dxa"/>
            <w:vMerge/>
            <w:vAlign w:val="center"/>
          </w:tcPr>
          <w:p w14:paraId="35D82447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8" w:type="dxa"/>
            <w:noWrap/>
            <w:vAlign w:val="center"/>
          </w:tcPr>
          <w:p w14:paraId="3FF47D07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Lobar CMBs vs Mixed CMBs</w:t>
            </w:r>
          </w:p>
        </w:tc>
        <w:tc>
          <w:tcPr>
            <w:tcW w:w="3445" w:type="dxa"/>
            <w:vMerge/>
            <w:vAlign w:val="center"/>
          </w:tcPr>
          <w:p w14:paraId="216D4917" w14:textId="77777777" w:rsidR="00596BC7" w:rsidRDefault="00596B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noWrap/>
            <w:vAlign w:val="center"/>
          </w:tcPr>
          <w:p w14:paraId="7899BF22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0.584</w:t>
            </w:r>
          </w:p>
        </w:tc>
      </w:tr>
      <w:tr w:rsidR="00596BC7" w14:paraId="1BE30847" w14:textId="77777777">
        <w:trPr>
          <w:trHeight w:val="286"/>
        </w:trPr>
        <w:tc>
          <w:tcPr>
            <w:tcW w:w="1499" w:type="dxa"/>
            <w:vMerge/>
            <w:vAlign w:val="center"/>
          </w:tcPr>
          <w:p w14:paraId="5410078E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8" w:type="dxa"/>
            <w:noWrap/>
            <w:vAlign w:val="center"/>
          </w:tcPr>
          <w:p w14:paraId="05FEC096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Lobar CMBs vs Deep CMBs</w:t>
            </w:r>
          </w:p>
        </w:tc>
        <w:tc>
          <w:tcPr>
            <w:tcW w:w="3445" w:type="dxa"/>
            <w:vMerge/>
            <w:vAlign w:val="center"/>
          </w:tcPr>
          <w:p w14:paraId="192EE07C" w14:textId="77777777" w:rsidR="00596BC7" w:rsidRDefault="00596B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noWrap/>
            <w:vAlign w:val="center"/>
          </w:tcPr>
          <w:p w14:paraId="3666AC0C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1.000 </w:t>
            </w:r>
          </w:p>
        </w:tc>
      </w:tr>
      <w:tr w:rsidR="00596BC7" w14:paraId="417A0EA2" w14:textId="77777777">
        <w:trPr>
          <w:trHeight w:val="286"/>
        </w:trPr>
        <w:tc>
          <w:tcPr>
            <w:tcW w:w="1499" w:type="dxa"/>
            <w:vMerge/>
            <w:tcBorders>
              <w:bottom w:val="single" w:sz="4" w:space="0" w:color="auto"/>
            </w:tcBorders>
            <w:vAlign w:val="center"/>
          </w:tcPr>
          <w:p w14:paraId="6FC13CF1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8" w:type="dxa"/>
            <w:tcBorders>
              <w:bottom w:val="single" w:sz="4" w:space="0" w:color="auto"/>
            </w:tcBorders>
            <w:noWrap/>
            <w:vAlign w:val="center"/>
          </w:tcPr>
          <w:p w14:paraId="634BEFBF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Deep CMBs vs Mixed CMBs</w:t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vAlign w:val="center"/>
          </w:tcPr>
          <w:p w14:paraId="73395883" w14:textId="77777777" w:rsidR="00596BC7" w:rsidRDefault="00596BC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tcBorders>
              <w:bottom w:val="single" w:sz="4" w:space="0" w:color="auto"/>
            </w:tcBorders>
            <w:noWrap/>
            <w:vAlign w:val="center"/>
          </w:tcPr>
          <w:p w14:paraId="7A058988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1.000 </w:t>
            </w:r>
          </w:p>
        </w:tc>
      </w:tr>
      <w:tr w:rsidR="00596BC7" w14:paraId="1413F11C" w14:textId="77777777">
        <w:trPr>
          <w:trHeight w:val="286"/>
        </w:trPr>
        <w:tc>
          <w:tcPr>
            <w:tcW w:w="1499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29029CF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CMB burden</w:t>
            </w:r>
          </w:p>
        </w:tc>
        <w:tc>
          <w:tcPr>
            <w:tcW w:w="511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A08C37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Overall comparison among three burden groups</w:t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3005A7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Kruskal–Wallis test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55C92F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&lt;0.0001</w:t>
            </w:r>
          </w:p>
        </w:tc>
      </w:tr>
      <w:tr w:rsidR="00596BC7" w14:paraId="20F871A8" w14:textId="77777777">
        <w:trPr>
          <w:trHeight w:val="286"/>
        </w:trPr>
        <w:tc>
          <w:tcPr>
            <w:tcW w:w="1499" w:type="dxa"/>
            <w:vMerge/>
            <w:vAlign w:val="center"/>
          </w:tcPr>
          <w:p w14:paraId="5C157B43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8" w:type="dxa"/>
            <w:tcBorders>
              <w:top w:val="single" w:sz="4" w:space="0" w:color="auto"/>
            </w:tcBorders>
            <w:noWrap/>
            <w:vAlign w:val="center"/>
          </w:tcPr>
          <w:p w14:paraId="3F26AD1B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Absent vs Moderate-to-severe</w:t>
            </w:r>
          </w:p>
        </w:tc>
        <w:tc>
          <w:tcPr>
            <w:tcW w:w="3445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9CBB0A3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Dunn test with Bonferroni correction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noWrap/>
            <w:vAlign w:val="center"/>
          </w:tcPr>
          <w:p w14:paraId="2644302A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0.005</w:t>
            </w:r>
          </w:p>
        </w:tc>
      </w:tr>
      <w:tr w:rsidR="00596BC7" w14:paraId="5C08BA67" w14:textId="77777777">
        <w:trPr>
          <w:trHeight w:val="286"/>
        </w:trPr>
        <w:tc>
          <w:tcPr>
            <w:tcW w:w="1499" w:type="dxa"/>
            <w:vMerge/>
            <w:vAlign w:val="center"/>
          </w:tcPr>
          <w:p w14:paraId="762D0EEC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8" w:type="dxa"/>
            <w:noWrap/>
            <w:vAlign w:val="center"/>
          </w:tcPr>
          <w:p w14:paraId="39A26C38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Absent vs Mild</w:t>
            </w:r>
          </w:p>
        </w:tc>
        <w:tc>
          <w:tcPr>
            <w:tcW w:w="3445" w:type="dxa"/>
            <w:vMerge/>
            <w:vAlign w:val="center"/>
          </w:tcPr>
          <w:p w14:paraId="271E7D2F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noWrap/>
            <w:vAlign w:val="center"/>
          </w:tcPr>
          <w:p w14:paraId="57B52992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0.0002</w:t>
            </w:r>
          </w:p>
        </w:tc>
      </w:tr>
      <w:tr w:rsidR="00596BC7" w14:paraId="5017B92F" w14:textId="77777777">
        <w:trPr>
          <w:trHeight w:val="286"/>
        </w:trPr>
        <w:tc>
          <w:tcPr>
            <w:tcW w:w="1499" w:type="dxa"/>
            <w:vMerge/>
            <w:tcBorders>
              <w:bottom w:val="single" w:sz="4" w:space="0" w:color="auto"/>
            </w:tcBorders>
            <w:vAlign w:val="center"/>
          </w:tcPr>
          <w:p w14:paraId="55E3DEA1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118" w:type="dxa"/>
            <w:tcBorders>
              <w:bottom w:val="single" w:sz="4" w:space="0" w:color="auto"/>
            </w:tcBorders>
            <w:vAlign w:val="center"/>
          </w:tcPr>
          <w:p w14:paraId="21E09ED5" w14:textId="77777777" w:rsidR="00596BC7" w:rsidRDefault="00000000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Mild vs Moderate-to-severe</w:t>
            </w:r>
          </w:p>
        </w:tc>
        <w:tc>
          <w:tcPr>
            <w:tcW w:w="3445" w:type="dxa"/>
            <w:vMerge/>
            <w:tcBorders>
              <w:bottom w:val="single" w:sz="4" w:space="0" w:color="auto"/>
            </w:tcBorders>
            <w:vAlign w:val="center"/>
          </w:tcPr>
          <w:p w14:paraId="413A0AC6" w14:textId="77777777" w:rsidR="00596BC7" w:rsidRDefault="00596BC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16" w:type="dxa"/>
            <w:tcBorders>
              <w:bottom w:val="single" w:sz="4" w:space="0" w:color="auto"/>
            </w:tcBorders>
            <w:noWrap/>
            <w:vAlign w:val="center"/>
          </w:tcPr>
          <w:p w14:paraId="6ABC2D03" w14:textId="77777777" w:rsidR="00596BC7" w:rsidRDefault="00000000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1.000 </w:t>
            </w:r>
          </w:p>
        </w:tc>
      </w:tr>
    </w:tbl>
    <w:p w14:paraId="364A799C" w14:textId="77777777" w:rsidR="00596BC7" w:rsidRDefault="00000000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CMB location was categorized as Non CMB, Lobar CMBs, Deep CMBs, and Mixed CMBs. CMB burden was classified as absent (0 lesions), mild (1–5 lesions), and moderate-to-severe (6 or more lesions). Overall comparisons were performed using the Kruskal–Wallis test. Pairwise comparisons were performed using Dunn’s post hoc test with Bonferroni correction. P values less than 0.001 are reported as &lt;0.001. Hcy, homocysteine; CMB, cerebral microbleed.</w:t>
      </w:r>
    </w:p>
    <w:sectPr w:rsidR="00596B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BB32E" w14:textId="77777777" w:rsidR="00D51637" w:rsidRDefault="00D51637" w:rsidP="00B20040">
      <w:pPr>
        <w:rPr>
          <w:rFonts w:hint="eastAsia"/>
        </w:rPr>
      </w:pPr>
      <w:r>
        <w:separator/>
      </w:r>
    </w:p>
  </w:endnote>
  <w:endnote w:type="continuationSeparator" w:id="0">
    <w:p w14:paraId="21A6CD88" w14:textId="77777777" w:rsidR="00D51637" w:rsidRDefault="00D51637" w:rsidP="00B2004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1AE7D" w14:textId="77777777" w:rsidR="00D51637" w:rsidRDefault="00D51637" w:rsidP="00B20040">
      <w:pPr>
        <w:rPr>
          <w:rFonts w:hint="eastAsia"/>
        </w:rPr>
      </w:pPr>
      <w:r>
        <w:separator/>
      </w:r>
    </w:p>
  </w:footnote>
  <w:footnote w:type="continuationSeparator" w:id="0">
    <w:p w14:paraId="0162316D" w14:textId="77777777" w:rsidR="00D51637" w:rsidRDefault="00D51637" w:rsidP="00B2004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43D"/>
    <w:rsid w:val="0008195C"/>
    <w:rsid w:val="000D38A2"/>
    <w:rsid w:val="000D5413"/>
    <w:rsid w:val="000E05EC"/>
    <w:rsid w:val="00102F27"/>
    <w:rsid w:val="00130E05"/>
    <w:rsid w:val="00140AC6"/>
    <w:rsid w:val="0014207F"/>
    <w:rsid w:val="00196920"/>
    <w:rsid w:val="001E3325"/>
    <w:rsid w:val="001E4692"/>
    <w:rsid w:val="001F0517"/>
    <w:rsid w:val="002F1FDF"/>
    <w:rsid w:val="003046EB"/>
    <w:rsid w:val="0034524F"/>
    <w:rsid w:val="00361C90"/>
    <w:rsid w:val="00494CB2"/>
    <w:rsid w:val="0049543B"/>
    <w:rsid w:val="004C7549"/>
    <w:rsid w:val="00543BBE"/>
    <w:rsid w:val="00596BC7"/>
    <w:rsid w:val="006C5F23"/>
    <w:rsid w:val="007A2F9D"/>
    <w:rsid w:val="00876FEA"/>
    <w:rsid w:val="0089321D"/>
    <w:rsid w:val="008C730E"/>
    <w:rsid w:val="00A005B8"/>
    <w:rsid w:val="00A85AFA"/>
    <w:rsid w:val="00AE6379"/>
    <w:rsid w:val="00B20040"/>
    <w:rsid w:val="00B33265"/>
    <w:rsid w:val="00B96379"/>
    <w:rsid w:val="00C7645B"/>
    <w:rsid w:val="00CE6DA9"/>
    <w:rsid w:val="00D51637"/>
    <w:rsid w:val="00D740EE"/>
    <w:rsid w:val="00DD022E"/>
    <w:rsid w:val="00E7643D"/>
    <w:rsid w:val="00E97341"/>
    <w:rsid w:val="00EA5358"/>
    <w:rsid w:val="00F65846"/>
    <w:rsid w:val="00F904BD"/>
    <w:rsid w:val="00FC02AE"/>
    <w:rsid w:val="5ED9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1430D"/>
  <w15:docId w15:val="{7ECDA403-EF30-4F76-86BE-557FF6B39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莉 黄</dc:creator>
  <cp:lastModifiedBy>莉 黄</cp:lastModifiedBy>
  <cp:revision>18</cp:revision>
  <dcterms:created xsi:type="dcterms:W3CDTF">2026-06-30T12:46:00Z</dcterms:created>
  <dcterms:modified xsi:type="dcterms:W3CDTF">2026-08-14T03:15:00Z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eyJoZGlkIjoiNmZlOGJlNzI2ZmM1NmU3MjcyNzI5MjY3ZmM3Zjg2NmEiLCJ1c2VySWQiOiIyOTUxMzU3MDcifQ==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B85251F1D9A8491989D9425D5854ACCA_12</vt:lpwstr>
  </property>
</Properties>
</file>