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7D49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PingFang SC" w:cs="Times New Roman"/>
          <w:color w:val="2A2F45"/>
          <w:szCs w:val="21"/>
          <w:shd w:val="clear" w:color="auto" w:fill="FFFFFF"/>
          <w:lang w:val="en-US" w:eastAsia="zh-CN"/>
        </w:rPr>
      </w:pPr>
      <w:r>
        <w:rPr>
          <w:rFonts w:hint="eastAsia" w:ascii="Times New Roman" w:hAnsi="Times New Roman" w:cs="Times New Roman" w:eastAsiaTheme="minorEastAsia"/>
          <w:kern w:val="0"/>
          <w:sz w:val="21"/>
          <w:szCs w:val="24"/>
          <w:lang w:val="en-US" w:eastAsia="zh-CN" w:bidi="ar-SA"/>
        </w:rPr>
        <w:t>Supplementary Figure S</w:t>
      </w:r>
      <w:r>
        <w:rPr>
          <w:rFonts w:hint="eastAsia" w:ascii="Times New Roman" w:hAnsi="Times New Roman" w:cs="Times New Roman"/>
          <w:kern w:val="0"/>
          <w:sz w:val="21"/>
          <w:szCs w:val="24"/>
          <w:lang w:val="en-US" w:eastAsia="zh-CN" w:bidi="ar-SA"/>
        </w:rPr>
        <w:t>2</w:t>
      </w:r>
    </w:p>
    <w:p w14:paraId="42284BD3">
      <w:r>
        <w:drawing>
          <wp:inline distT="0" distB="0" distL="114300" distR="114300">
            <wp:extent cx="5263515" cy="3188970"/>
            <wp:effectExtent l="0" t="0" r="196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3515" cy="3343910"/>
            <wp:effectExtent l="0" t="0" r="1968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957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8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color w:val="1F1F1F"/>
          <w:kern w:val="0"/>
          <w:sz w:val="24"/>
          <w:szCs w:val="24"/>
          <w:lang w:eastAsia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i w:val="0"/>
          <w:color w:val="1F1F1F"/>
          <w:kern w:val="0"/>
          <w:sz w:val="24"/>
          <w:szCs w:val="24"/>
          <w:lang w:val="en-US" w:eastAsia="zh-CN"/>
        </w:rPr>
        <w:t>Supplementary Figure S2. Sensitivity analyses of overall survival restricted to published SCCOPT cases.</w:t>
      </w:r>
      <w:r>
        <w:rPr>
          <w:rFonts w:hint="default" w:ascii="Times New Roman" w:hAnsi="Times New Roman" w:cs="Times New Roman"/>
          <w:b w:val="0"/>
          <w:bCs w:val="0"/>
          <w:i w:val="0"/>
          <w:color w:val="1F1F1F"/>
          <w:kern w:val="0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i w:val="0"/>
          <w:color w:val="1F1F1F"/>
          <w:kern w:val="0"/>
          <w:sz w:val="24"/>
          <w:szCs w:val="24"/>
          <w:lang w:val="en-US" w:eastAsia="zh-CN"/>
        </w:rPr>
        <w:t>(A) Kaplan–Meier estimate of overall survival among 59 patients identified from published reports. The median overall survival was 14.0 months.</w:t>
      </w:r>
      <w:r>
        <w:rPr>
          <w:rFonts w:hint="default" w:ascii="Times New Roman" w:hAnsi="Times New Roman" w:cs="Times New Roman"/>
          <w:b w:val="0"/>
          <w:bCs w:val="0"/>
          <w:i w:val="0"/>
          <w:color w:val="1F1F1F"/>
          <w:kern w:val="0"/>
          <w:sz w:val="24"/>
          <w:szCs w:val="24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 w:val="0"/>
          <w:bCs w:val="0"/>
          <w:i w:val="0"/>
          <w:color w:val="1F1F1F"/>
          <w:kern w:val="0"/>
          <w:sz w:val="24"/>
          <w:szCs w:val="24"/>
          <w:lang w:val="en-US" w:eastAsia="zh-CN"/>
        </w:rPr>
        <w:t>(B) Overall survival according to FIGO stage among published cases with available stage information. Fourteen patients had early-stage disease (FIGO I–II), and 44 had advanced-stage disease (FIGO III–IV); one patient was excluded from the stage-stratified analysis because stage information was unavailable. No significant difference was observed between the two groups (log-rank P = 0.727). Shaded areas represent 95% confidence intervals, vertical tick marks indicate censored observations, and the numbers below the plots indicate patients at risk.</w:t>
      </w:r>
    </w:p>
    <w:p w14:paraId="039D3F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F1F31"/>
    <w:rsid w:val="FA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2026-08-14T11:19:00Z</dcterms:created>
  <dc:creator>LZ丫头</dc:creator>
  <cp:lastModifiedBy>LZ丫头</cp:lastModifiedBy>
  <dcterms:modified xsi:type="dcterms:W3CDTF">2026-08-14T11:40:40Z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925F37C2A657D81C51897E6AB673C99E_41</vt:lpwstr>
  </property>
</Properties>
</file>