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58AEB" w14:textId="32A1E614" w:rsidR="00EF4026" w:rsidRPr="007806B3" w:rsidRDefault="00A7384C" w:rsidP="007806B3">
      <w:pPr>
        <w:spacing w:before="120" w:after="120" w:line="360" w:lineRule="auto"/>
        <w:rPr>
          <w:rFonts w:ascii="Times New Roman Bold" w:hAnsi="Times New Roman Bold" w:cs="Times New Roman Bold"/>
          <w:b/>
          <w:bCs/>
        </w:rPr>
      </w:pPr>
      <w:r>
        <w:rPr>
          <w:rFonts w:ascii="Times New Roman Bold" w:hAnsi="Times New Roman Bold" w:cs="Times New Roman Bold"/>
          <w:b/>
          <w:bCs/>
        </w:rPr>
        <w:t>Supplementary figures</w:t>
      </w:r>
      <w:r>
        <w:rPr>
          <w:sz w:val="21"/>
          <w:szCs w:val="21"/>
          <w:lang w:val="en-US"/>
        </w:rPr>
        <w:br w:type="page"/>
      </w:r>
    </w:p>
    <w:p w14:paraId="133F4C2A" w14:textId="77777777" w:rsidR="00EF4026" w:rsidRDefault="00A7384C">
      <w:r>
        <w:rPr>
          <w:noProof/>
        </w:rPr>
        <w:lastRenderedPageBreak/>
        <w:drawing>
          <wp:inline distT="0" distB="0" distL="0" distR="0" wp14:anchorId="275A6730" wp14:editId="5235536F">
            <wp:extent cx="5274310" cy="5257800"/>
            <wp:effectExtent l="0" t="0" r="2540" b="0"/>
            <wp:docPr id="9" name="图片 1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Diagram&#10;&#10;Description automatically generated with low confidence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5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57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9A538" w14:textId="77777777" w:rsidR="00EF4026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Figure S1</w:t>
      </w:r>
      <w:r>
        <w:rPr>
          <w:sz w:val="21"/>
          <w:szCs w:val="21"/>
          <w:lang w:val="en-US"/>
        </w:rPr>
        <w:t xml:space="preserve"> </w:t>
      </w:r>
      <w:r>
        <w:rPr>
          <w:b/>
          <w:bCs/>
          <w:sz w:val="21"/>
          <w:szCs w:val="21"/>
          <w:lang w:val="en-US"/>
        </w:rPr>
        <w:t>Satb1 controls cell identity of DP thymocytes</w:t>
      </w:r>
    </w:p>
    <w:p w14:paraId="50245DDD" w14:textId="77777777" w:rsidR="00EF4026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a</w:t>
      </w:r>
      <w:r>
        <w:rPr>
          <w:sz w:val="21"/>
          <w:szCs w:val="21"/>
          <w:lang w:val="en-US"/>
        </w:rPr>
        <w:t>) Same UMAP plot of thymocytes cell by cell cycle phase gene expression.</w:t>
      </w:r>
    </w:p>
    <w:p w14:paraId="1E31BF54" w14:textId="77777777" w:rsidR="00EF4026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b</w:t>
      </w:r>
      <w:r>
        <w:rPr>
          <w:sz w:val="21"/>
          <w:szCs w:val="21"/>
          <w:lang w:val="en-US"/>
        </w:rPr>
        <w:t xml:space="preserve">) Dot plot of differently expressed (DE) genes in Satb1WT and Satb1cKO DP thymocytes from </w:t>
      </w:r>
      <w:r>
        <w:rPr>
          <w:sz w:val="21"/>
          <w:szCs w:val="21"/>
          <w:lang w:val="en-US"/>
        </w:rPr>
        <w:t>single-cell datasets.</w:t>
      </w:r>
    </w:p>
    <w:p w14:paraId="7585BD66" w14:textId="77777777" w:rsidR="00EF4026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c</w:t>
      </w:r>
      <w:r>
        <w:rPr>
          <w:sz w:val="21"/>
          <w:szCs w:val="21"/>
          <w:lang w:val="en-US"/>
        </w:rPr>
        <w:t>) UMAP expression plots of representative DE genes for DP thymocytes (Rag1, Il2ra, Bcl6, Ets2, and Ccr9) between Satb1WT and Satb1cKO group.</w:t>
      </w:r>
    </w:p>
    <w:p w14:paraId="26BFE1A0" w14:textId="77777777" w:rsidR="00EF4026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d</w:t>
      </w:r>
      <w:r>
        <w:rPr>
          <w:sz w:val="21"/>
          <w:szCs w:val="21"/>
          <w:lang w:val="en-US"/>
        </w:rPr>
        <w:t>) Cell number percentages of thymocyte subsets from single-cell datasets.</w:t>
      </w:r>
    </w:p>
    <w:p w14:paraId="2A3F7C6F" w14:textId="77777777" w:rsidR="00EF4026" w:rsidRDefault="00A7384C">
      <w:pPr>
        <w:rPr>
          <w:lang w:val="en-US"/>
        </w:rPr>
      </w:pPr>
      <w:r>
        <w:rPr>
          <w:lang w:val="en-US"/>
        </w:rPr>
        <w:br w:type="page"/>
      </w:r>
    </w:p>
    <w:p w14:paraId="609588D6" w14:textId="77777777" w:rsidR="00EF4026" w:rsidRDefault="00A7384C">
      <w:r>
        <w:rPr>
          <w:noProof/>
        </w:rPr>
        <w:lastRenderedPageBreak/>
        <w:drawing>
          <wp:inline distT="0" distB="0" distL="0" distR="0" wp14:anchorId="62CEAF99" wp14:editId="2E337E77">
            <wp:extent cx="5274310" cy="4305300"/>
            <wp:effectExtent l="0" t="0" r="2540" b="0"/>
            <wp:docPr id="10" name="图片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Diagram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29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05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F63C4" w14:textId="77777777" w:rsidR="00EF4026" w:rsidRDefault="00EF4026"/>
    <w:p w14:paraId="5A9330DD" w14:textId="77777777" w:rsidR="00EF4026" w:rsidRDefault="00A7384C">
      <w:pPr>
        <w:rPr>
          <w:b/>
          <w:bCs/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Figure S2 Sa</w:t>
      </w:r>
      <w:r>
        <w:rPr>
          <w:b/>
          <w:bCs/>
          <w:sz w:val="21"/>
          <w:szCs w:val="21"/>
          <w:lang w:val="en-US"/>
        </w:rPr>
        <w:t>tb1 regulates gene expression of DP thymocytes</w:t>
      </w:r>
    </w:p>
    <w:p w14:paraId="5BC6863E" w14:textId="77777777" w:rsidR="00EF4026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a</w:t>
      </w:r>
      <w:r>
        <w:rPr>
          <w:sz w:val="21"/>
          <w:szCs w:val="21"/>
          <w:lang w:val="en-US"/>
        </w:rPr>
        <w:t>) RNA-seq replicates were hierarchically clustered according to gene expression sample distances using DESeq2. Three biological replicates of each sample were analyzed.</w:t>
      </w:r>
    </w:p>
    <w:p w14:paraId="6A18F14E" w14:textId="77777777" w:rsidR="00EF4026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b</w:t>
      </w:r>
      <w:r>
        <w:rPr>
          <w:sz w:val="21"/>
          <w:szCs w:val="21"/>
          <w:lang w:val="en-US"/>
        </w:rPr>
        <w:t>) Pie chart indicating the fractions a</w:t>
      </w:r>
      <w:r>
        <w:rPr>
          <w:sz w:val="21"/>
          <w:szCs w:val="21"/>
          <w:lang w:val="en-US"/>
        </w:rPr>
        <w:t xml:space="preserve">nd absolute numbers of differentially expressed genes derived from the analysis of the transcriptome of Satb1 WT and Satb1cKO cells by bulk RNA-Seq. </w:t>
      </w:r>
      <w:r>
        <w:rPr>
          <w:rFonts w:hint="eastAsia"/>
          <w:sz w:val="21"/>
          <w:szCs w:val="21"/>
          <w:lang w:val="en-US"/>
        </w:rPr>
        <w:t>The RNA-Seq analysis indicated that 576 (red) of the total 27,285 genes showed significantly up-regulated (</w:t>
      </w:r>
      <w:r>
        <w:rPr>
          <w:rFonts w:hint="eastAsia"/>
          <w:sz w:val="21"/>
          <w:szCs w:val="21"/>
          <w:lang w:val="en-US"/>
        </w:rPr>
        <w:t xml:space="preserve">FDR ≥ 0.005) whilst 926 genes were down-regulated (blue) using </w:t>
      </w:r>
      <w:proofErr w:type="gramStart"/>
      <w:r>
        <w:rPr>
          <w:rFonts w:hint="eastAsia"/>
          <w:sz w:val="21"/>
          <w:szCs w:val="21"/>
          <w:lang w:val="en-US"/>
        </w:rPr>
        <w:t>an</w:t>
      </w:r>
      <w:proofErr w:type="gramEnd"/>
      <w:r>
        <w:rPr>
          <w:rFonts w:hint="eastAsia"/>
          <w:sz w:val="21"/>
          <w:szCs w:val="21"/>
          <w:lang w:val="en-US"/>
        </w:rPr>
        <w:t xml:space="preserve"> fold change (FC) &gt;1 on log 2 scale with an FDR &lt; 0.05 to determine abun</w:t>
      </w:r>
      <w:r>
        <w:rPr>
          <w:sz w:val="21"/>
          <w:szCs w:val="21"/>
          <w:lang w:val="en-US"/>
        </w:rPr>
        <w:t>dance. </w:t>
      </w:r>
    </w:p>
    <w:p w14:paraId="59EE360B" w14:textId="77777777" w:rsidR="00EF4026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c</w:t>
      </w:r>
      <w:r>
        <w:rPr>
          <w:sz w:val="21"/>
          <w:szCs w:val="21"/>
          <w:lang w:val="en-US"/>
        </w:rPr>
        <w:t>) Heatmap of differentially expressed genes between Satb1WT and Satb1cKO DP thymocytes. Three biological repli</w:t>
      </w:r>
      <w:r>
        <w:rPr>
          <w:sz w:val="21"/>
          <w:szCs w:val="21"/>
          <w:lang w:val="en-US"/>
        </w:rPr>
        <w:t>cates of bulk RNA-seq data were analyzed. Red represents the upregulated genes, while blue represents the downregulated genes.</w:t>
      </w:r>
    </w:p>
    <w:p w14:paraId="229C35BD" w14:textId="77777777" w:rsidR="00EF4026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d</w:t>
      </w:r>
      <w:r>
        <w:rPr>
          <w:sz w:val="21"/>
          <w:szCs w:val="21"/>
          <w:lang w:val="en-US"/>
        </w:rPr>
        <w:t>) Gene ontology analysis of the biological processes overrepresented in the group of transcripts up-regulated or down-regulate g</w:t>
      </w:r>
      <w:r>
        <w:rPr>
          <w:sz w:val="21"/>
          <w:szCs w:val="21"/>
          <w:lang w:val="en-US"/>
        </w:rPr>
        <w:t>ene. The size of a circle indicates the number of enriched genes, and its color corresponds to the adjusted p value.</w:t>
      </w:r>
    </w:p>
    <w:p w14:paraId="29F6231F" w14:textId="726473C0" w:rsidR="00EF4026" w:rsidRPr="00A7384C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e</w:t>
      </w:r>
      <w:r>
        <w:rPr>
          <w:sz w:val="21"/>
          <w:szCs w:val="21"/>
          <w:lang w:val="en-US"/>
        </w:rPr>
        <w:t>) Percentage of differentially expressed genes with highest mRNA level at each cell subset during the differentiation of DN1 into SP thymo</w:t>
      </w:r>
      <w:r>
        <w:rPr>
          <w:sz w:val="21"/>
          <w:szCs w:val="21"/>
          <w:lang w:val="en-US"/>
        </w:rPr>
        <w:t>cytes.</w:t>
      </w:r>
      <w:r>
        <w:rPr>
          <w:lang w:val="en-US"/>
        </w:rPr>
        <w:br w:type="page"/>
      </w:r>
    </w:p>
    <w:p w14:paraId="62AE1B46" w14:textId="77777777" w:rsidR="00EF4026" w:rsidRDefault="00A7384C">
      <w:r>
        <w:rPr>
          <w:noProof/>
        </w:rPr>
        <w:lastRenderedPageBreak/>
        <w:drawing>
          <wp:inline distT="0" distB="0" distL="0" distR="0" wp14:anchorId="088754B4" wp14:editId="4AC93D14">
            <wp:extent cx="3896995" cy="6219825"/>
            <wp:effectExtent l="0" t="0" r="1905" b="3175"/>
            <wp:docPr id="20" name="Picture 2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Diagram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2424" cy="622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9436A" w14:textId="77777777" w:rsidR="00EF4026" w:rsidRDefault="00A7384C">
      <w:pPr>
        <w:rPr>
          <w:b/>
          <w:bCs/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Figure S3 Related to Figure 2</w:t>
      </w:r>
    </w:p>
    <w:p w14:paraId="177C246F" w14:textId="77777777" w:rsidR="00EF4026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a</w:t>
      </w:r>
      <w:r>
        <w:rPr>
          <w:sz w:val="21"/>
          <w:szCs w:val="21"/>
          <w:lang w:val="en-US"/>
        </w:rPr>
        <w:t xml:space="preserve">) </w:t>
      </w:r>
      <w:r>
        <w:rPr>
          <w:rFonts w:hint="eastAsia"/>
          <w:sz w:val="21"/>
          <w:szCs w:val="21"/>
          <w:lang w:val="en-US"/>
        </w:rPr>
        <w:t>Lin</w:t>
      </w:r>
      <w:r>
        <w:rPr>
          <w:sz w:val="21"/>
          <w:szCs w:val="21"/>
          <w:lang w:val="en-US"/>
        </w:rPr>
        <w:t>e</w:t>
      </w:r>
      <w:r>
        <w:rPr>
          <w:rFonts w:hint="eastAsia"/>
          <w:sz w:val="21"/>
          <w:szCs w:val="21"/>
          <w:lang w:val="en-US"/>
        </w:rPr>
        <w:t xml:space="preserve"> diagram </w:t>
      </w:r>
      <w:r>
        <w:rPr>
          <w:sz w:val="21"/>
          <w:szCs w:val="21"/>
          <w:lang w:val="en-US"/>
        </w:rPr>
        <w:t xml:space="preserve">and </w:t>
      </w:r>
      <w:r>
        <w:rPr>
          <w:b/>
          <w:bCs/>
          <w:sz w:val="21"/>
          <w:szCs w:val="21"/>
          <w:lang w:val="en-US"/>
        </w:rPr>
        <w:t>b</w:t>
      </w:r>
      <w:r>
        <w:rPr>
          <w:sz w:val="21"/>
          <w:szCs w:val="21"/>
          <w:lang w:val="en-US"/>
        </w:rPr>
        <w:t xml:space="preserve">) heatmap </w:t>
      </w:r>
      <w:r>
        <w:rPr>
          <w:rFonts w:hint="eastAsia"/>
          <w:sz w:val="21"/>
          <w:szCs w:val="21"/>
          <w:lang w:val="en-US"/>
        </w:rPr>
        <w:t>of H3K27ac, H3K4me1,</w:t>
      </w:r>
      <w:r>
        <w:rPr>
          <w:sz w:val="21"/>
          <w:szCs w:val="21"/>
          <w:lang w:val="en-US"/>
        </w:rPr>
        <w:t xml:space="preserve"> and </w:t>
      </w:r>
      <w:r>
        <w:rPr>
          <w:rFonts w:hint="eastAsia"/>
          <w:sz w:val="21"/>
          <w:szCs w:val="21"/>
          <w:lang w:val="en-US"/>
        </w:rPr>
        <w:t xml:space="preserve">H3K4me3 </w:t>
      </w:r>
      <w:proofErr w:type="spellStart"/>
      <w:r>
        <w:rPr>
          <w:rFonts w:hint="eastAsia"/>
          <w:sz w:val="21"/>
          <w:szCs w:val="21"/>
          <w:lang w:val="en-US"/>
        </w:rPr>
        <w:t>Ch</w:t>
      </w:r>
      <w:r>
        <w:rPr>
          <w:sz w:val="21"/>
          <w:szCs w:val="21"/>
          <w:lang w:val="en-US"/>
        </w:rPr>
        <w:t>I</w:t>
      </w:r>
      <w:r>
        <w:rPr>
          <w:rFonts w:hint="eastAsia"/>
          <w:sz w:val="21"/>
          <w:szCs w:val="21"/>
          <w:lang w:val="en-US"/>
        </w:rPr>
        <w:t>P</w:t>
      </w:r>
      <w:proofErr w:type="spellEnd"/>
      <w:r>
        <w:rPr>
          <w:rFonts w:hint="eastAsia"/>
          <w:sz w:val="21"/>
          <w:szCs w:val="21"/>
          <w:lang w:val="en-US"/>
        </w:rPr>
        <w:t>-seq signal intensity at Satb1 binding sites</w:t>
      </w:r>
      <w:r>
        <w:rPr>
          <w:sz w:val="21"/>
          <w:szCs w:val="21"/>
          <w:lang w:val="en-US"/>
        </w:rPr>
        <w:t xml:space="preserve"> (top 10000 regions)</w:t>
      </w:r>
      <w:r>
        <w:rPr>
          <w:rFonts w:ascii="SimSun" w:eastAsia="SimSun" w:hAnsi="SimSun" w:cs="SimSun"/>
          <w:sz w:val="21"/>
          <w:szCs w:val="21"/>
          <w:lang w:val="en-US"/>
        </w:rPr>
        <w:t xml:space="preserve"> </w:t>
      </w:r>
      <w:r>
        <w:rPr>
          <w:sz w:val="21"/>
          <w:szCs w:val="21"/>
          <w:lang w:val="en-US"/>
        </w:rPr>
        <w:t>in DP thymocytes.</w:t>
      </w:r>
    </w:p>
    <w:p w14:paraId="108E7185" w14:textId="77777777" w:rsidR="00EF4026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c</w:t>
      </w:r>
      <w:r>
        <w:rPr>
          <w:sz w:val="21"/>
          <w:szCs w:val="21"/>
          <w:lang w:val="en-US"/>
        </w:rPr>
        <w:t xml:space="preserve">) </w:t>
      </w:r>
      <w:r>
        <w:rPr>
          <w:rFonts w:hint="eastAsia"/>
          <w:sz w:val="21"/>
          <w:szCs w:val="21"/>
          <w:lang w:val="en-US"/>
        </w:rPr>
        <w:t>Lin</w:t>
      </w:r>
      <w:r>
        <w:rPr>
          <w:sz w:val="21"/>
          <w:szCs w:val="21"/>
          <w:lang w:val="en-US"/>
        </w:rPr>
        <w:t>e</w:t>
      </w:r>
      <w:r>
        <w:rPr>
          <w:rFonts w:hint="eastAsia"/>
          <w:sz w:val="21"/>
          <w:szCs w:val="21"/>
          <w:lang w:val="en-US"/>
        </w:rPr>
        <w:t xml:space="preserve"> diagram</w:t>
      </w:r>
      <w:r>
        <w:rPr>
          <w:sz w:val="21"/>
          <w:szCs w:val="21"/>
          <w:lang w:val="en-US"/>
        </w:rPr>
        <w:t xml:space="preserve"> and </w:t>
      </w:r>
      <w:r>
        <w:rPr>
          <w:b/>
          <w:bCs/>
          <w:sz w:val="21"/>
          <w:szCs w:val="21"/>
          <w:lang w:val="en-US"/>
        </w:rPr>
        <w:t>d</w:t>
      </w:r>
      <w:r>
        <w:rPr>
          <w:sz w:val="21"/>
          <w:szCs w:val="21"/>
          <w:lang w:val="en-US"/>
        </w:rPr>
        <w:t>) heatmap</w:t>
      </w:r>
      <w:r>
        <w:rPr>
          <w:rFonts w:hint="eastAsia"/>
          <w:sz w:val="21"/>
          <w:szCs w:val="21"/>
          <w:lang w:val="en-US"/>
        </w:rPr>
        <w:t xml:space="preserve"> of Rad21, </w:t>
      </w:r>
      <w:proofErr w:type="spellStart"/>
      <w:r>
        <w:rPr>
          <w:rFonts w:hint="eastAsia"/>
          <w:sz w:val="21"/>
          <w:szCs w:val="21"/>
          <w:lang w:val="en-US"/>
        </w:rPr>
        <w:t>Nipbl</w:t>
      </w:r>
      <w:proofErr w:type="spellEnd"/>
      <w:r>
        <w:rPr>
          <w:rFonts w:hint="eastAsia"/>
          <w:sz w:val="21"/>
          <w:szCs w:val="21"/>
          <w:lang w:val="en-US"/>
        </w:rPr>
        <w:t>,</w:t>
      </w:r>
      <w:r>
        <w:rPr>
          <w:sz w:val="21"/>
          <w:szCs w:val="21"/>
          <w:lang w:val="en-US"/>
        </w:rPr>
        <w:t xml:space="preserve"> and </w:t>
      </w:r>
      <w:r>
        <w:rPr>
          <w:rFonts w:hint="eastAsia"/>
          <w:sz w:val="21"/>
          <w:szCs w:val="21"/>
          <w:lang w:val="en-US"/>
        </w:rPr>
        <w:t xml:space="preserve">CTCF </w:t>
      </w:r>
      <w:proofErr w:type="spellStart"/>
      <w:r>
        <w:rPr>
          <w:rFonts w:hint="eastAsia"/>
          <w:sz w:val="21"/>
          <w:szCs w:val="21"/>
          <w:lang w:val="en-US"/>
        </w:rPr>
        <w:t>ChIP</w:t>
      </w:r>
      <w:proofErr w:type="spellEnd"/>
      <w:r>
        <w:rPr>
          <w:rFonts w:hint="eastAsia"/>
          <w:sz w:val="21"/>
          <w:szCs w:val="21"/>
          <w:lang w:val="en-US"/>
        </w:rPr>
        <w:t>-seq signal intensity at Satb1 binding sites.</w:t>
      </w:r>
    </w:p>
    <w:p w14:paraId="43A5C1D3" w14:textId="77777777" w:rsidR="00EF4026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e</w:t>
      </w:r>
      <w:r>
        <w:rPr>
          <w:sz w:val="21"/>
          <w:szCs w:val="21"/>
          <w:lang w:val="en-US"/>
        </w:rPr>
        <w:t xml:space="preserve">) </w:t>
      </w:r>
      <w:r>
        <w:rPr>
          <w:rFonts w:hint="eastAsia"/>
          <w:sz w:val="21"/>
          <w:szCs w:val="21"/>
          <w:lang w:val="en-US"/>
        </w:rPr>
        <w:t xml:space="preserve">Distribution of Satb1 binding sites </w:t>
      </w:r>
      <w:r>
        <w:rPr>
          <w:sz w:val="21"/>
          <w:szCs w:val="21"/>
          <w:lang w:val="en-US"/>
        </w:rPr>
        <w:t xml:space="preserve">(top 10000 regions) </w:t>
      </w:r>
      <w:r>
        <w:rPr>
          <w:rFonts w:hint="eastAsia"/>
          <w:sz w:val="21"/>
          <w:szCs w:val="21"/>
          <w:lang w:val="en-US"/>
        </w:rPr>
        <w:t>in mouse DP thymocytes.</w:t>
      </w:r>
    </w:p>
    <w:p w14:paraId="49099292" w14:textId="77777777" w:rsidR="00EF4026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f</w:t>
      </w:r>
      <w:r>
        <w:rPr>
          <w:sz w:val="21"/>
          <w:szCs w:val="21"/>
          <w:lang w:val="en-US"/>
        </w:rPr>
        <w:t>) Bar graph showing the percentage of super-enhancers (SE</w:t>
      </w:r>
      <w:proofErr w:type="gramStart"/>
      <w:r>
        <w:rPr>
          <w:sz w:val="21"/>
          <w:szCs w:val="21"/>
          <w:lang w:val="en-US"/>
        </w:rPr>
        <w:t>)</w:t>
      </w:r>
      <w:proofErr w:type="gramEnd"/>
      <w:r>
        <w:rPr>
          <w:sz w:val="21"/>
          <w:szCs w:val="21"/>
          <w:lang w:val="en-US"/>
        </w:rPr>
        <w:t xml:space="preserve"> or traditional enhancers (TE) occupi</w:t>
      </w:r>
      <w:r>
        <w:rPr>
          <w:sz w:val="21"/>
          <w:szCs w:val="21"/>
          <w:lang w:val="en-US"/>
        </w:rPr>
        <w:t>ed by Satb1 or not.</w:t>
      </w:r>
    </w:p>
    <w:p w14:paraId="0F48B97E" w14:textId="77777777" w:rsidR="00EF4026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g</w:t>
      </w:r>
      <w:r>
        <w:rPr>
          <w:sz w:val="21"/>
          <w:szCs w:val="21"/>
          <w:lang w:val="en-US"/>
        </w:rPr>
        <w:t xml:space="preserve">) Bar graph showing the SE or TE numbers of WT and Satb1cKO DP thymocytes </w:t>
      </w:r>
    </w:p>
    <w:p w14:paraId="7400D111" w14:textId="77777777" w:rsidR="00EF4026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h</w:t>
      </w:r>
      <w:r>
        <w:rPr>
          <w:sz w:val="21"/>
          <w:szCs w:val="21"/>
          <w:lang w:val="en-US"/>
        </w:rPr>
        <w:t>) Line plot displaying H3K4me1 tag density in Satb1WT vs Satb1cKO at WT DP super-enhancers regions.</w:t>
      </w:r>
    </w:p>
    <w:p w14:paraId="1716912D" w14:textId="12B97DE5" w:rsidR="00EF4026" w:rsidRPr="00A7384C" w:rsidRDefault="00A7384C">
      <w:pPr>
        <w:rPr>
          <w:sz w:val="21"/>
          <w:szCs w:val="21"/>
          <w:lang w:val="en-US"/>
        </w:rPr>
      </w:pPr>
      <w:proofErr w:type="spellStart"/>
      <w:r>
        <w:rPr>
          <w:b/>
          <w:bCs/>
          <w:sz w:val="21"/>
          <w:szCs w:val="21"/>
          <w:lang w:val="en-US"/>
        </w:rPr>
        <w:t>i</w:t>
      </w:r>
      <w:proofErr w:type="spellEnd"/>
      <w:r>
        <w:rPr>
          <w:sz w:val="21"/>
          <w:szCs w:val="21"/>
          <w:lang w:val="en-US"/>
        </w:rPr>
        <w:t xml:space="preserve">) GSEA of the differentially expressed genes </w:t>
      </w:r>
      <w:r>
        <w:rPr>
          <w:sz w:val="21"/>
          <w:szCs w:val="21"/>
          <w:lang w:val="en-US"/>
        </w:rPr>
        <w:t xml:space="preserve">enriched for the gain super-enhancer associated </w:t>
      </w:r>
      <w:proofErr w:type="spellStart"/>
      <w:r>
        <w:rPr>
          <w:sz w:val="21"/>
          <w:szCs w:val="21"/>
          <w:lang w:val="en-US"/>
        </w:rPr>
        <w:t>geneset</w:t>
      </w:r>
      <w:proofErr w:type="spellEnd"/>
      <w:r>
        <w:rPr>
          <w:sz w:val="21"/>
          <w:szCs w:val="21"/>
          <w:lang w:val="en-US"/>
        </w:rPr>
        <w:t>.</w:t>
      </w:r>
      <w:r>
        <w:rPr>
          <w:lang w:val="en-US"/>
        </w:rPr>
        <w:br w:type="page"/>
      </w:r>
    </w:p>
    <w:p w14:paraId="4DC44AF1" w14:textId="77777777" w:rsidR="00EF4026" w:rsidRDefault="00A7384C">
      <w:r>
        <w:rPr>
          <w:noProof/>
        </w:rPr>
        <w:lastRenderedPageBreak/>
        <w:drawing>
          <wp:inline distT="0" distB="0" distL="114300" distR="114300" wp14:anchorId="2539113E" wp14:editId="19573D5C">
            <wp:extent cx="4887595" cy="6913880"/>
            <wp:effectExtent l="0" t="0" r="14605" b="20320"/>
            <wp:docPr id="1" name="Picture 1" descr="Fig S4 Hi-C V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ig S4 Hi-C V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7595" cy="691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BEDEB" w14:textId="77777777" w:rsidR="00EF4026" w:rsidRDefault="00A7384C">
      <w:pPr>
        <w:rPr>
          <w:b/>
          <w:bCs/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Figure S4 Related to Figure 4</w:t>
      </w:r>
    </w:p>
    <w:p w14:paraId="73633F90" w14:textId="77777777" w:rsidR="00EF4026" w:rsidRDefault="00A7384C">
      <w:pPr>
        <w:rPr>
          <w:b/>
          <w:bCs/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a</w:t>
      </w:r>
      <w:r>
        <w:rPr>
          <w:sz w:val="21"/>
          <w:szCs w:val="21"/>
          <w:lang w:val="en-US"/>
        </w:rPr>
        <w:t xml:space="preserve">) Subtraction heatmap of Hi-C data from Juicebox corresponding to Satb1cKO–Satb1WT at 500 kb resolution for chromosome 16, with H3K27ac and H3K4me3 </w:t>
      </w:r>
      <w:proofErr w:type="spellStart"/>
      <w:r>
        <w:rPr>
          <w:sz w:val="21"/>
          <w:szCs w:val="21"/>
          <w:lang w:val="en-US"/>
        </w:rPr>
        <w:t>ChIP</w:t>
      </w:r>
      <w:proofErr w:type="spellEnd"/>
      <w:r>
        <w:rPr>
          <w:sz w:val="21"/>
          <w:szCs w:val="21"/>
          <w:lang w:val="en-US"/>
        </w:rPr>
        <w:t>-seq and A</w:t>
      </w:r>
      <w:r>
        <w:rPr>
          <w:sz w:val="21"/>
          <w:szCs w:val="21"/>
          <w:lang w:val="en-US"/>
        </w:rPr>
        <w:t>/B compartment signals on top.</w:t>
      </w:r>
    </w:p>
    <w:p w14:paraId="418A666E" w14:textId="77777777" w:rsidR="00EF4026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b</w:t>
      </w:r>
      <w:r>
        <w:rPr>
          <w:sz w:val="21"/>
          <w:szCs w:val="21"/>
          <w:lang w:val="en-US"/>
        </w:rPr>
        <w:t xml:space="preserve">) Chromatin contact frequency decay curves of control (blue) and Satb1cKO (red) Hi-C data. </w:t>
      </w:r>
    </w:p>
    <w:p w14:paraId="7B5BACFC" w14:textId="711F7874" w:rsidR="00EF4026" w:rsidRPr="00A7384C" w:rsidRDefault="00A7384C">
      <w:pPr>
        <w:rPr>
          <w:sz w:val="21"/>
          <w:szCs w:val="21"/>
        </w:rPr>
      </w:pPr>
      <w:r w:rsidRPr="007806B3">
        <w:rPr>
          <w:rFonts w:ascii="Times New Roman Bold" w:hAnsi="Times New Roman Bold" w:cs="Times New Roman Bold"/>
          <w:b/>
          <w:bCs/>
          <w:sz w:val="21"/>
          <w:szCs w:val="21"/>
          <w:lang w:val="en-US"/>
        </w:rPr>
        <w:t>c</w:t>
      </w:r>
      <w:r w:rsidRPr="007806B3">
        <w:rPr>
          <w:sz w:val="21"/>
          <w:szCs w:val="21"/>
          <w:lang w:val="en-US"/>
        </w:rPr>
        <w:t xml:space="preserve">) </w:t>
      </w:r>
      <w:r>
        <w:rPr>
          <w:sz w:val="21"/>
          <w:szCs w:val="21"/>
          <w:lang w:val="en-US"/>
        </w:rPr>
        <w:t xml:space="preserve">Subtraction heatmap (corresponding to Satb1cKO–Satb1WT) of 10kb binned Hi-C data of DP thymocytes from WT or Satb1cKO mice. </w:t>
      </w:r>
      <w:r>
        <w:rPr>
          <w:sz w:val="21"/>
          <w:szCs w:val="21"/>
          <w:lang w:val="en-US"/>
        </w:rPr>
        <w:t>Data are one of two independent experiments.</w:t>
      </w:r>
      <w:r>
        <w:rPr>
          <w:lang w:val="en-US"/>
        </w:rPr>
        <w:br w:type="page"/>
      </w:r>
    </w:p>
    <w:p w14:paraId="07083D48" w14:textId="77777777" w:rsidR="00EF4026" w:rsidRDefault="00A7384C">
      <w:r>
        <w:rPr>
          <w:noProof/>
        </w:rPr>
        <w:lastRenderedPageBreak/>
        <w:drawing>
          <wp:inline distT="0" distB="0" distL="114300" distR="114300" wp14:anchorId="42D9B0FD" wp14:editId="3467A716">
            <wp:extent cx="3811905" cy="5597525"/>
            <wp:effectExtent l="0" t="0" r="23495" b="15875"/>
            <wp:docPr id="2" name="Picture 2" descr="Fig S5 V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Fig S5 V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1905" cy="559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39ED6" w14:textId="77777777" w:rsidR="00EF4026" w:rsidRDefault="00A7384C">
      <w:pPr>
        <w:rPr>
          <w:b/>
          <w:bCs/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Figure S5 Related to Figure 4</w:t>
      </w:r>
    </w:p>
    <w:p w14:paraId="0B9173FA" w14:textId="77777777" w:rsidR="00EF4026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a</w:t>
      </w:r>
      <w:r>
        <w:rPr>
          <w:sz w:val="21"/>
          <w:szCs w:val="21"/>
          <w:lang w:val="en-US"/>
        </w:rPr>
        <w:t xml:space="preserve">) </w:t>
      </w:r>
      <w:r>
        <w:rPr>
          <w:sz w:val="21"/>
          <w:szCs w:val="21"/>
          <w:lang w:val="en-US"/>
        </w:rPr>
        <w:t>Pie chart showing the compartment</w:t>
      </w:r>
      <w:r w:rsidRPr="007806B3">
        <w:rPr>
          <w:sz w:val="21"/>
          <w:szCs w:val="21"/>
          <w:lang w:val="en-US"/>
        </w:rPr>
        <w:t xml:space="preserve"> </w:t>
      </w:r>
      <w:r>
        <w:rPr>
          <w:sz w:val="21"/>
          <w:szCs w:val="21"/>
          <w:lang w:val="en-US"/>
        </w:rPr>
        <w:t>changes</w:t>
      </w:r>
      <w:r>
        <w:rPr>
          <w:sz w:val="21"/>
          <w:szCs w:val="21"/>
          <w:lang w:val="en-US"/>
        </w:rPr>
        <w:t xml:space="preserve"> between Satb1WT and Satb1cKO DP.</w:t>
      </w:r>
      <w:r w:rsidRPr="007806B3">
        <w:rPr>
          <w:sz w:val="21"/>
          <w:szCs w:val="21"/>
          <w:lang w:val="en-US"/>
        </w:rPr>
        <w:t xml:space="preserve"> </w:t>
      </w:r>
    </w:p>
    <w:p w14:paraId="661AF770" w14:textId="77777777" w:rsidR="00EF4026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b</w:t>
      </w:r>
      <w:r>
        <w:rPr>
          <w:sz w:val="21"/>
          <w:szCs w:val="21"/>
          <w:lang w:val="en-US"/>
        </w:rPr>
        <w:t>) Split violin plots correspond to sizes of total or super-enhancer (SE) containing TADs from Hi</w:t>
      </w:r>
      <w:r>
        <w:rPr>
          <w:sz w:val="21"/>
          <w:szCs w:val="21"/>
          <w:lang w:val="en-US"/>
        </w:rPr>
        <w:t>-C data of WT or Satb1cKO thymocytes. * p &lt; 0.05, ** p &lt; 0.01 by two-side Student’s t test.</w:t>
      </w:r>
    </w:p>
    <w:p w14:paraId="339377AD" w14:textId="77777777" w:rsidR="00EF4026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c</w:t>
      </w:r>
      <w:r>
        <w:rPr>
          <w:sz w:val="21"/>
          <w:szCs w:val="21"/>
          <w:lang w:val="en-US"/>
        </w:rPr>
        <w:t xml:space="preserve">) Aggregate TAD analysis for WT (up) and Satb1cKO (bottom) DP thymocytes. Average coverage-corrected Hi-C contact matrices are shown centered around 2 </w:t>
      </w:r>
      <w:r>
        <w:rPr>
          <w:sz w:val="21"/>
          <w:szCs w:val="21"/>
          <w:lang w:val="en-US"/>
        </w:rPr>
        <w:sym w:font="Symbol" w:char="F0B4"/>
      </w:r>
      <w:r>
        <w:rPr>
          <w:sz w:val="21"/>
          <w:szCs w:val="21"/>
          <w:lang w:val="en-US"/>
        </w:rPr>
        <w:t xml:space="preserve"> 495kb long</w:t>
      </w:r>
      <w:r>
        <w:rPr>
          <w:sz w:val="21"/>
          <w:szCs w:val="21"/>
          <w:lang w:val="en-US"/>
        </w:rPr>
        <w:t xml:space="preserve"> TADs identified in the WT thymocytes.</w:t>
      </w:r>
    </w:p>
    <w:p w14:paraId="3B630895" w14:textId="77777777" w:rsidR="00EF4026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d</w:t>
      </w:r>
      <w:r>
        <w:rPr>
          <w:sz w:val="21"/>
          <w:szCs w:val="21"/>
          <w:lang w:val="en-US"/>
        </w:rPr>
        <w:t>)</w:t>
      </w:r>
      <w:r w:rsidRPr="007806B3">
        <w:rPr>
          <w:sz w:val="21"/>
          <w:szCs w:val="21"/>
          <w:lang w:val="en-US"/>
        </w:rPr>
        <w:t xml:space="preserve"> related to Figure 4c.</w:t>
      </w:r>
    </w:p>
    <w:p w14:paraId="614D02B6" w14:textId="77777777" w:rsidR="00EF4026" w:rsidRDefault="00A7384C">
      <w:pPr>
        <w:rPr>
          <w:lang w:val="en-US"/>
        </w:rPr>
      </w:pPr>
      <w:r>
        <w:rPr>
          <w:b/>
          <w:bCs/>
          <w:sz w:val="21"/>
          <w:szCs w:val="21"/>
          <w:lang w:val="en-US"/>
        </w:rPr>
        <w:t>e</w:t>
      </w:r>
      <w:r>
        <w:rPr>
          <w:sz w:val="21"/>
          <w:szCs w:val="21"/>
          <w:lang w:val="en-US"/>
        </w:rPr>
        <w:t>) Split violin plots for loop number changes in promoters of the genes down-regulated (blue) or up-regulated (yellow) in Satb1cKO thymocytes. **** p &lt; 0.0001 by two-side Student’s t test.</w:t>
      </w:r>
    </w:p>
    <w:p w14:paraId="2BEA96B2" w14:textId="5F5CF82B" w:rsidR="00EF4026" w:rsidRPr="00A7384C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f-</w:t>
      </w:r>
      <w:proofErr w:type="spellStart"/>
      <w:r>
        <w:rPr>
          <w:b/>
          <w:bCs/>
          <w:sz w:val="21"/>
          <w:szCs w:val="21"/>
          <w:lang w:val="en-US"/>
        </w:rPr>
        <w:t>i</w:t>
      </w:r>
      <w:proofErr w:type="spellEnd"/>
      <w:r>
        <w:rPr>
          <w:sz w:val="21"/>
          <w:szCs w:val="21"/>
          <w:lang w:val="en-US"/>
        </w:rPr>
        <w:t xml:space="preserve">) Pearson's correlation </w:t>
      </w:r>
      <w:proofErr w:type="spellStart"/>
      <w:r>
        <w:rPr>
          <w:sz w:val="21"/>
          <w:szCs w:val="21"/>
          <w:lang w:val="en-US"/>
        </w:rPr>
        <w:t>correlation</w:t>
      </w:r>
      <w:proofErr w:type="spellEnd"/>
      <w:r>
        <w:rPr>
          <w:sz w:val="21"/>
          <w:szCs w:val="21"/>
          <w:lang w:val="en-US"/>
        </w:rPr>
        <w:t xml:space="preserve"> analysis of super-enhancer associated </w:t>
      </w:r>
      <w:r>
        <w:rPr>
          <w:b/>
          <w:bCs/>
          <w:sz w:val="21"/>
          <w:szCs w:val="21"/>
          <w:lang w:val="en-US"/>
        </w:rPr>
        <w:t>f</w:t>
      </w:r>
      <w:r>
        <w:rPr>
          <w:sz w:val="21"/>
          <w:szCs w:val="21"/>
          <w:lang w:val="en-US"/>
        </w:rPr>
        <w:t xml:space="preserve">) loop numbers with interactions, </w:t>
      </w:r>
      <w:r>
        <w:rPr>
          <w:b/>
          <w:bCs/>
          <w:sz w:val="21"/>
          <w:szCs w:val="21"/>
          <w:lang w:val="en-US"/>
        </w:rPr>
        <w:t>g</w:t>
      </w:r>
      <w:r>
        <w:rPr>
          <w:sz w:val="21"/>
          <w:szCs w:val="21"/>
          <w:lang w:val="en-US"/>
        </w:rPr>
        <w:t xml:space="preserve">) loop interaction with H3K27ac signals, </w:t>
      </w:r>
      <w:r>
        <w:rPr>
          <w:b/>
          <w:bCs/>
          <w:sz w:val="21"/>
          <w:szCs w:val="21"/>
          <w:lang w:val="en-US"/>
        </w:rPr>
        <w:t>h</w:t>
      </w:r>
      <w:r>
        <w:rPr>
          <w:sz w:val="21"/>
          <w:szCs w:val="21"/>
          <w:lang w:val="en-US"/>
        </w:rPr>
        <w:t xml:space="preserve">) loop interactions with gene expression, and </w:t>
      </w:r>
      <w:proofErr w:type="spellStart"/>
      <w:r>
        <w:rPr>
          <w:b/>
          <w:bCs/>
          <w:sz w:val="21"/>
          <w:szCs w:val="21"/>
          <w:lang w:val="en-US"/>
        </w:rPr>
        <w:t>i</w:t>
      </w:r>
      <w:proofErr w:type="spellEnd"/>
      <w:r>
        <w:rPr>
          <w:sz w:val="21"/>
          <w:szCs w:val="21"/>
          <w:lang w:val="en-US"/>
        </w:rPr>
        <w:t>) H3K27ac signals with gene expression.</w:t>
      </w:r>
      <w:r>
        <w:rPr>
          <w:lang w:val="en-US"/>
        </w:rPr>
        <w:br w:type="page"/>
      </w:r>
    </w:p>
    <w:p w14:paraId="61A3E555" w14:textId="77777777" w:rsidR="00EF4026" w:rsidRDefault="00A7384C">
      <w:r>
        <w:rPr>
          <w:noProof/>
        </w:rPr>
        <w:lastRenderedPageBreak/>
        <w:drawing>
          <wp:inline distT="0" distB="0" distL="0" distR="0" wp14:anchorId="0781D448" wp14:editId="1AB9871B">
            <wp:extent cx="5274310" cy="4295775"/>
            <wp:effectExtent l="0" t="0" r="2540" b="9525"/>
            <wp:docPr id="14" name="图片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 descr="Diagram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4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95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1D055" w14:textId="77777777" w:rsidR="00EF4026" w:rsidRDefault="00A7384C">
      <w:pPr>
        <w:rPr>
          <w:b/>
          <w:bCs/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Figure S6 Rel</w:t>
      </w:r>
      <w:r>
        <w:rPr>
          <w:b/>
          <w:bCs/>
          <w:sz w:val="21"/>
          <w:szCs w:val="21"/>
          <w:lang w:val="en-US"/>
        </w:rPr>
        <w:t>ated to figure 6</w:t>
      </w:r>
    </w:p>
    <w:p w14:paraId="45C240A5" w14:textId="77777777" w:rsidR="00EF4026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a</w:t>
      </w:r>
      <w:r>
        <w:rPr>
          <w:sz w:val="21"/>
          <w:szCs w:val="21"/>
          <w:lang w:val="en-US"/>
        </w:rPr>
        <w:t xml:space="preserve">) and </w:t>
      </w:r>
      <w:r>
        <w:rPr>
          <w:b/>
          <w:bCs/>
          <w:sz w:val="21"/>
          <w:szCs w:val="21"/>
          <w:lang w:val="en-US"/>
        </w:rPr>
        <w:t>b</w:t>
      </w:r>
      <w:r>
        <w:rPr>
          <w:sz w:val="21"/>
          <w:szCs w:val="21"/>
          <w:lang w:val="en-US"/>
        </w:rPr>
        <w:t xml:space="preserve">) Subtraction heatmaps (up) and insulation score profiles (bottom) of Hi-C data at </w:t>
      </w:r>
      <w:r>
        <w:rPr>
          <w:b/>
          <w:bCs/>
          <w:sz w:val="21"/>
          <w:szCs w:val="21"/>
          <w:lang w:val="en-US"/>
        </w:rPr>
        <w:t>a</w:t>
      </w:r>
      <w:r>
        <w:rPr>
          <w:sz w:val="21"/>
          <w:szCs w:val="21"/>
          <w:lang w:val="en-US"/>
        </w:rPr>
        <w:t xml:space="preserve">) Bcl6 and </w:t>
      </w:r>
      <w:r>
        <w:rPr>
          <w:b/>
          <w:bCs/>
          <w:sz w:val="21"/>
          <w:szCs w:val="21"/>
          <w:lang w:val="en-US"/>
        </w:rPr>
        <w:t>b</w:t>
      </w:r>
      <w:r>
        <w:rPr>
          <w:sz w:val="21"/>
          <w:szCs w:val="21"/>
          <w:lang w:val="en-US"/>
        </w:rPr>
        <w:t xml:space="preserve">) Ets2 loci in WT (red) and Satb1cKO (blue) DP thymocytes. </w:t>
      </w:r>
    </w:p>
    <w:p w14:paraId="4836C5C5" w14:textId="77777777" w:rsidR="00EF4026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c</w:t>
      </w:r>
      <w:r>
        <w:rPr>
          <w:sz w:val="21"/>
          <w:szCs w:val="21"/>
          <w:lang w:val="en-US"/>
        </w:rPr>
        <w:t>) Split violin plots for enhancer-promoter (EP) interactions of the Bcl6 a</w:t>
      </w:r>
      <w:r>
        <w:rPr>
          <w:sz w:val="21"/>
          <w:szCs w:val="21"/>
          <w:lang w:val="en-US"/>
        </w:rPr>
        <w:t>nd Ets2 promoters in WT and Satb1cKO DP thymocytes, *</w:t>
      </w:r>
      <w:r>
        <w:rPr>
          <w:rFonts w:eastAsia="SimSun" w:hint="eastAsia"/>
          <w:sz w:val="21"/>
          <w:szCs w:val="21"/>
          <w:lang w:val="en-US"/>
        </w:rPr>
        <w:t>*</w:t>
      </w:r>
      <w:r>
        <w:rPr>
          <w:sz w:val="21"/>
          <w:szCs w:val="21"/>
          <w:lang w:val="en-US"/>
        </w:rPr>
        <w:t>p value &lt; 0.0</w:t>
      </w:r>
      <w:r>
        <w:rPr>
          <w:rFonts w:eastAsia="SimSun" w:hint="eastAsia"/>
          <w:sz w:val="21"/>
          <w:szCs w:val="21"/>
          <w:lang w:val="en-US"/>
        </w:rPr>
        <w:t>1</w:t>
      </w:r>
      <w:r>
        <w:rPr>
          <w:sz w:val="21"/>
          <w:szCs w:val="21"/>
          <w:lang w:val="en-US"/>
        </w:rPr>
        <w:t xml:space="preserve"> </w:t>
      </w:r>
      <w:r>
        <w:rPr>
          <w:rFonts w:eastAsia="SimSun" w:hint="eastAsia"/>
          <w:sz w:val="21"/>
          <w:szCs w:val="21"/>
          <w:lang w:val="en-US"/>
        </w:rPr>
        <w:t xml:space="preserve">by </w:t>
      </w:r>
      <w:r>
        <w:rPr>
          <w:sz w:val="21"/>
          <w:szCs w:val="21"/>
          <w:lang w:val="en-US"/>
        </w:rPr>
        <w:t>Mann-Whitney test.</w:t>
      </w:r>
    </w:p>
    <w:p w14:paraId="19CD08BE" w14:textId="0CA9778B" w:rsidR="00EF4026" w:rsidRPr="00A7384C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d</w:t>
      </w:r>
      <w:r>
        <w:rPr>
          <w:sz w:val="21"/>
          <w:szCs w:val="21"/>
          <w:lang w:val="en-US"/>
        </w:rPr>
        <w:t xml:space="preserve">) </w:t>
      </w:r>
      <w:r>
        <w:rPr>
          <w:rFonts w:eastAsia="Microsoft YaHei"/>
          <w:sz w:val="21"/>
          <w:szCs w:val="21"/>
          <w:lang w:val="en-US"/>
        </w:rPr>
        <w:t xml:space="preserve">The expression values (FPKM) of Satb1, Bcl6, and Ets2 during the differentiation of DN1 into DP thymocytes. </w:t>
      </w:r>
      <w:r>
        <w:rPr>
          <w:lang w:val="en-US"/>
        </w:rPr>
        <w:br w:type="page"/>
      </w:r>
    </w:p>
    <w:p w14:paraId="69D51AB7" w14:textId="77777777" w:rsidR="00EF4026" w:rsidRDefault="00A7384C">
      <w:r>
        <w:rPr>
          <w:noProof/>
        </w:rPr>
        <w:lastRenderedPageBreak/>
        <w:drawing>
          <wp:inline distT="0" distB="0" distL="0" distR="0" wp14:anchorId="5A80CC15" wp14:editId="1A222117">
            <wp:extent cx="5274310" cy="3829050"/>
            <wp:effectExtent l="0" t="0" r="2540" b="0"/>
            <wp:docPr id="15" name="图片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 descr="Diagram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00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90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87A4C" w14:textId="77777777" w:rsidR="00EF4026" w:rsidRDefault="00A7384C">
      <w:pPr>
        <w:rPr>
          <w:b/>
          <w:bCs/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Figure S7 Ets2 SE deletion doesn’t affect Tcra rearrangement</w:t>
      </w:r>
    </w:p>
    <w:p w14:paraId="38AF5ED3" w14:textId="5C5BD4E1" w:rsidR="00EF4026" w:rsidRPr="00A7384C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a</w:t>
      </w:r>
      <w:r>
        <w:rPr>
          <w:sz w:val="21"/>
          <w:szCs w:val="21"/>
          <w:lang w:val="en-US"/>
        </w:rPr>
        <w:t xml:space="preserve">) and </w:t>
      </w:r>
      <w:r>
        <w:rPr>
          <w:b/>
          <w:bCs/>
          <w:sz w:val="21"/>
          <w:szCs w:val="21"/>
          <w:lang w:val="en-US"/>
        </w:rPr>
        <w:t>b</w:t>
      </w:r>
      <w:r>
        <w:rPr>
          <w:sz w:val="21"/>
          <w:szCs w:val="21"/>
          <w:lang w:val="en-US"/>
        </w:rPr>
        <w:t>) Relative V</w:t>
      </w:r>
      <w:r>
        <w:rPr>
          <w:sz w:val="21"/>
          <w:szCs w:val="21"/>
          <w:lang w:val="en-US"/>
        </w:rPr>
        <w:sym w:font="Symbol" w:char="F061"/>
      </w:r>
      <w:r>
        <w:rPr>
          <w:sz w:val="21"/>
          <w:szCs w:val="21"/>
          <w:lang w:val="en-US"/>
        </w:rPr>
        <w:t xml:space="preserve"> and J</w:t>
      </w:r>
      <w:r>
        <w:rPr>
          <w:sz w:val="21"/>
          <w:szCs w:val="21"/>
          <w:lang w:val="en-US"/>
        </w:rPr>
        <w:sym w:font="Symbol" w:char="F061"/>
      </w:r>
      <w:r>
        <w:rPr>
          <w:sz w:val="21"/>
          <w:szCs w:val="21"/>
          <w:lang w:val="en-US"/>
        </w:rPr>
        <w:t xml:space="preserve"> usages determined by deep-sequencing of Tcra transcripts amplified by 5’RACE of WT and Ets2 SE</w:t>
      </w:r>
      <w:r>
        <w:rPr>
          <w:sz w:val="21"/>
          <w:szCs w:val="21"/>
          <w:vertAlign w:val="superscript"/>
          <w:lang w:val="en-US"/>
        </w:rPr>
        <w:t>-/-</w:t>
      </w:r>
      <w:r>
        <w:rPr>
          <w:sz w:val="21"/>
          <w:szCs w:val="21"/>
          <w:lang w:val="en-US"/>
        </w:rPr>
        <w:t xml:space="preserve"> thymocytes, respectively. The relative V</w:t>
      </w:r>
      <w:r>
        <w:rPr>
          <w:sz w:val="21"/>
          <w:szCs w:val="21"/>
          <w:lang w:val="en-US"/>
        </w:rPr>
        <w:sym w:font="Symbol" w:char="F061"/>
      </w:r>
      <w:r>
        <w:rPr>
          <w:sz w:val="21"/>
          <w:szCs w:val="21"/>
          <w:lang w:val="en-US"/>
        </w:rPr>
        <w:t xml:space="preserve"> or J</w:t>
      </w:r>
      <w:r>
        <w:rPr>
          <w:sz w:val="21"/>
          <w:szCs w:val="21"/>
          <w:lang w:val="en-US"/>
        </w:rPr>
        <w:sym w:font="Symbol" w:char="F061"/>
      </w:r>
      <w:r>
        <w:rPr>
          <w:sz w:val="21"/>
          <w:szCs w:val="21"/>
          <w:lang w:val="en-US"/>
        </w:rPr>
        <w:t xml:space="preserve"> usages were calculated by dividing the number of the clonotypes containing the V</w:t>
      </w:r>
      <w:r>
        <w:rPr>
          <w:sz w:val="21"/>
          <w:szCs w:val="21"/>
          <w:lang w:val="en-US"/>
        </w:rPr>
        <w:sym w:font="Symbol" w:char="F061"/>
      </w:r>
      <w:r>
        <w:rPr>
          <w:sz w:val="21"/>
          <w:szCs w:val="21"/>
          <w:lang w:val="en-US"/>
        </w:rPr>
        <w:t xml:space="preserve"> or J</w:t>
      </w:r>
      <w:r>
        <w:rPr>
          <w:sz w:val="21"/>
          <w:szCs w:val="21"/>
          <w:lang w:val="en-US"/>
        </w:rPr>
        <w:sym w:font="Symbol" w:char="F061"/>
      </w:r>
      <w:r>
        <w:rPr>
          <w:sz w:val="21"/>
          <w:szCs w:val="21"/>
          <w:lang w:val="en-US"/>
        </w:rPr>
        <w:t xml:space="preserve"> genes by the total cl</w:t>
      </w:r>
      <w:r>
        <w:rPr>
          <w:sz w:val="21"/>
          <w:szCs w:val="21"/>
          <w:lang w:val="en-US"/>
        </w:rPr>
        <w:t>onotype number.</w:t>
      </w:r>
    </w:p>
    <w:p w14:paraId="3AD5A0BD" w14:textId="77777777" w:rsidR="00EF4026" w:rsidRDefault="00A7384C">
      <w:r>
        <w:rPr>
          <w:noProof/>
        </w:rPr>
        <w:lastRenderedPageBreak/>
        <w:drawing>
          <wp:inline distT="0" distB="0" distL="0" distR="0" wp14:anchorId="2A5C3291" wp14:editId="2E0CBBE5">
            <wp:extent cx="3917315" cy="8863330"/>
            <wp:effectExtent l="0" t="0" r="6985" b="0"/>
            <wp:docPr id="16" name="图片 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 descr="Graphical user interface, applicatio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3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45591" w14:textId="77777777" w:rsidR="00EF4026" w:rsidRDefault="00A7384C">
      <w:pPr>
        <w:rPr>
          <w:b/>
          <w:bCs/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lastRenderedPageBreak/>
        <w:t>Figure S8 Related to Figure 8</w:t>
      </w:r>
    </w:p>
    <w:p w14:paraId="5FD36C86" w14:textId="77777777" w:rsidR="00EF4026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a</w:t>
      </w:r>
      <w:r>
        <w:rPr>
          <w:sz w:val="21"/>
          <w:szCs w:val="21"/>
          <w:lang w:val="en-US"/>
        </w:rPr>
        <w:t xml:space="preserve">) Flow cytometry and </w:t>
      </w:r>
      <w:r>
        <w:rPr>
          <w:b/>
          <w:bCs/>
          <w:sz w:val="21"/>
          <w:szCs w:val="21"/>
          <w:lang w:val="en-US"/>
        </w:rPr>
        <w:t>b</w:t>
      </w:r>
      <w:r>
        <w:rPr>
          <w:sz w:val="21"/>
          <w:szCs w:val="21"/>
          <w:lang w:val="en-US"/>
        </w:rPr>
        <w:t>) cell proportion of CD3</w:t>
      </w:r>
      <w:r>
        <w:rPr>
          <w:sz w:val="21"/>
          <w:szCs w:val="21"/>
          <w:vertAlign w:val="superscript"/>
          <w:lang w:val="en-US"/>
        </w:rPr>
        <w:t>+</w:t>
      </w:r>
      <w:r>
        <w:rPr>
          <w:sz w:val="21"/>
          <w:szCs w:val="21"/>
          <w:lang w:val="en-US"/>
        </w:rPr>
        <w:t xml:space="preserve"> T cells and CD19</w:t>
      </w:r>
      <w:r>
        <w:rPr>
          <w:sz w:val="21"/>
          <w:szCs w:val="21"/>
          <w:vertAlign w:val="superscript"/>
          <w:lang w:val="en-US"/>
        </w:rPr>
        <w:t>+</w:t>
      </w:r>
      <w:r>
        <w:rPr>
          <w:sz w:val="21"/>
          <w:szCs w:val="21"/>
          <w:lang w:val="en-US"/>
        </w:rPr>
        <w:t xml:space="preserve"> B cells, CD4</w:t>
      </w:r>
      <w:r>
        <w:rPr>
          <w:sz w:val="21"/>
          <w:szCs w:val="21"/>
          <w:vertAlign w:val="superscript"/>
          <w:lang w:val="en-US"/>
        </w:rPr>
        <w:t>+</w:t>
      </w:r>
      <w:r>
        <w:rPr>
          <w:sz w:val="21"/>
          <w:szCs w:val="21"/>
          <w:lang w:val="en-US"/>
        </w:rPr>
        <w:t xml:space="preserve"> and CD8</w:t>
      </w:r>
      <w:r>
        <w:rPr>
          <w:sz w:val="21"/>
          <w:szCs w:val="21"/>
          <w:vertAlign w:val="superscript"/>
          <w:lang w:val="en-US"/>
        </w:rPr>
        <w:t>+</w:t>
      </w:r>
      <w:r>
        <w:rPr>
          <w:sz w:val="21"/>
          <w:szCs w:val="21"/>
          <w:lang w:val="en-US"/>
        </w:rPr>
        <w:t xml:space="preserve"> T cells from spleen, mesenteric lymph nodes, inguinal lymph nodes, and auxiliary lymph nodes of WT and Bcl6 SE-/- mic</w:t>
      </w:r>
      <w:r>
        <w:rPr>
          <w:sz w:val="21"/>
          <w:szCs w:val="21"/>
          <w:lang w:val="en-US"/>
        </w:rPr>
        <w:t>e. Data are representative of three independent experiments (one mouse per experiment). * p &lt; 0.05, ** p &lt; 0.01 by two-side Student’s t test.</w:t>
      </w:r>
    </w:p>
    <w:p w14:paraId="69240ED8" w14:textId="4A029D38" w:rsidR="00EF4026" w:rsidRDefault="00A7384C">
      <w:pPr>
        <w:rPr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>c</w:t>
      </w:r>
      <w:r>
        <w:rPr>
          <w:sz w:val="21"/>
          <w:szCs w:val="21"/>
          <w:lang w:val="en-US"/>
        </w:rPr>
        <w:t>) Relative V</w:t>
      </w:r>
      <w:r>
        <w:rPr>
          <w:sz w:val="21"/>
          <w:szCs w:val="21"/>
          <w:lang w:val="en-US"/>
        </w:rPr>
        <w:sym w:font="Symbol" w:char="F061"/>
      </w:r>
      <w:r>
        <w:rPr>
          <w:sz w:val="21"/>
          <w:szCs w:val="21"/>
          <w:lang w:val="en-US"/>
        </w:rPr>
        <w:t xml:space="preserve"> usage determined by deep-sequencing of Tcra transcripts amplified by 5’RACE of WT and Bcl6 SE</w:t>
      </w:r>
      <w:r>
        <w:rPr>
          <w:sz w:val="21"/>
          <w:szCs w:val="21"/>
          <w:vertAlign w:val="superscript"/>
          <w:lang w:val="en-US"/>
        </w:rPr>
        <w:t>-/-</w:t>
      </w:r>
      <w:r>
        <w:rPr>
          <w:sz w:val="21"/>
          <w:szCs w:val="21"/>
          <w:lang w:val="en-US"/>
        </w:rPr>
        <w:t xml:space="preserve"> thymocytes, respectively. </w:t>
      </w:r>
    </w:p>
    <w:sectPr w:rsidR="00EF40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crosoft YaHei">
    <w:altName w:val="汉仪旗黑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mmunit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fxxr2txget2r2efwss5r0xqrf9d2ze0fdz2&quot;&gt;FengDL2021&lt;record-ids&gt;&lt;item&gt;1&lt;/item&gt;&lt;item&gt;2&lt;/item&gt;&lt;item&gt;3&lt;/item&gt;&lt;item&gt;4&lt;/item&gt;&lt;item&gt;5&lt;/item&gt;&lt;item&gt;8&lt;/item&gt;&lt;item&gt;9&lt;/item&gt;&lt;item&gt;10&lt;/item&gt;&lt;item&gt;11&lt;/item&gt;&lt;item&gt;12&lt;/item&gt;&lt;item&gt;14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9&lt;/item&gt;&lt;item&gt;30&lt;/item&gt;&lt;item&gt;31&lt;/item&gt;&lt;item&gt;32&lt;/item&gt;&lt;item&gt;33&lt;/item&gt;&lt;item&gt;34&lt;/item&gt;&lt;item&gt;36&lt;/item&gt;&lt;item&gt;37&lt;/item&gt;&lt;item&gt;38&lt;/item&gt;&lt;item&gt;39&lt;/item&gt;&lt;item&gt;40&lt;/item&gt;&lt;item&gt;41&lt;/item&gt;&lt;item&gt;42&lt;/item&gt;&lt;item&gt;43&lt;/item&gt;&lt;item&gt;44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/record-ids&gt;&lt;/item&gt;&lt;/Libraries&gt;"/>
  </w:docVars>
  <w:rsids>
    <w:rsidRoot w:val="00C3644B"/>
    <w:rsid w:val="97AFA5D6"/>
    <w:rsid w:val="99F2EC31"/>
    <w:rsid w:val="9AEECE91"/>
    <w:rsid w:val="9BDDAEEE"/>
    <w:rsid w:val="9F7F97AC"/>
    <w:rsid w:val="9FFF2B54"/>
    <w:rsid w:val="AED3CB08"/>
    <w:rsid w:val="AFBB7CBA"/>
    <w:rsid w:val="B87BE26E"/>
    <w:rsid w:val="BBDF3575"/>
    <w:rsid w:val="BEFFC4AA"/>
    <w:rsid w:val="BFDA6CFE"/>
    <w:rsid w:val="BFE78624"/>
    <w:rsid w:val="BFFCBC4E"/>
    <w:rsid w:val="CFC86909"/>
    <w:rsid w:val="D473A522"/>
    <w:rsid w:val="DBF57050"/>
    <w:rsid w:val="DD7FABD6"/>
    <w:rsid w:val="DDBE2A04"/>
    <w:rsid w:val="DDFDC42E"/>
    <w:rsid w:val="DF7F88E1"/>
    <w:rsid w:val="DFC97563"/>
    <w:rsid w:val="DFFB6FB5"/>
    <w:rsid w:val="DFFB7687"/>
    <w:rsid w:val="E3AD7198"/>
    <w:rsid w:val="E3ADFD78"/>
    <w:rsid w:val="E7FDB50B"/>
    <w:rsid w:val="EFA93B57"/>
    <w:rsid w:val="EFF72277"/>
    <w:rsid w:val="F2EB1FA5"/>
    <w:rsid w:val="F3BFF831"/>
    <w:rsid w:val="F5F7BCF5"/>
    <w:rsid w:val="F7A332BE"/>
    <w:rsid w:val="F7FF7A17"/>
    <w:rsid w:val="FB5B57DB"/>
    <w:rsid w:val="FBDF3EE3"/>
    <w:rsid w:val="FBFBFABD"/>
    <w:rsid w:val="FCF30506"/>
    <w:rsid w:val="FDDF936D"/>
    <w:rsid w:val="FE09963E"/>
    <w:rsid w:val="FEF50FA0"/>
    <w:rsid w:val="FEF7727B"/>
    <w:rsid w:val="FF37EA47"/>
    <w:rsid w:val="FF3FB4C4"/>
    <w:rsid w:val="FF77C02C"/>
    <w:rsid w:val="FF7BA93F"/>
    <w:rsid w:val="FF7DCF02"/>
    <w:rsid w:val="FFA8367B"/>
    <w:rsid w:val="FFBF787E"/>
    <w:rsid w:val="FFC98C54"/>
    <w:rsid w:val="FFDF0B12"/>
    <w:rsid w:val="FFFDBE0F"/>
    <w:rsid w:val="FFFF6758"/>
    <w:rsid w:val="FFFFA063"/>
    <w:rsid w:val="0001157E"/>
    <w:rsid w:val="00017FFA"/>
    <w:rsid w:val="0002382C"/>
    <w:rsid w:val="000260F7"/>
    <w:rsid w:val="00026F5B"/>
    <w:rsid w:val="00031F46"/>
    <w:rsid w:val="0004029D"/>
    <w:rsid w:val="000633D1"/>
    <w:rsid w:val="00067A73"/>
    <w:rsid w:val="00074B75"/>
    <w:rsid w:val="0007742F"/>
    <w:rsid w:val="000A3220"/>
    <w:rsid w:val="000A4974"/>
    <w:rsid w:val="000B07C1"/>
    <w:rsid w:val="000B3CFA"/>
    <w:rsid w:val="000B78DF"/>
    <w:rsid w:val="000D19C2"/>
    <w:rsid w:val="00102F80"/>
    <w:rsid w:val="00104EBC"/>
    <w:rsid w:val="00105815"/>
    <w:rsid w:val="00111698"/>
    <w:rsid w:val="00113F2B"/>
    <w:rsid w:val="00136F8A"/>
    <w:rsid w:val="001406A7"/>
    <w:rsid w:val="001513DB"/>
    <w:rsid w:val="00174578"/>
    <w:rsid w:val="00174627"/>
    <w:rsid w:val="00176259"/>
    <w:rsid w:val="00183BFA"/>
    <w:rsid w:val="00190640"/>
    <w:rsid w:val="001B0A3B"/>
    <w:rsid w:val="001B49DA"/>
    <w:rsid w:val="001C3827"/>
    <w:rsid w:val="001C79F6"/>
    <w:rsid w:val="001D1774"/>
    <w:rsid w:val="001D6980"/>
    <w:rsid w:val="001F46BA"/>
    <w:rsid w:val="001F63E0"/>
    <w:rsid w:val="002060EA"/>
    <w:rsid w:val="00210A85"/>
    <w:rsid w:val="00212C4D"/>
    <w:rsid w:val="00217356"/>
    <w:rsid w:val="0022653C"/>
    <w:rsid w:val="00231369"/>
    <w:rsid w:val="00236404"/>
    <w:rsid w:val="00246535"/>
    <w:rsid w:val="00250800"/>
    <w:rsid w:val="0025483A"/>
    <w:rsid w:val="00262C61"/>
    <w:rsid w:val="0027508A"/>
    <w:rsid w:val="0028489C"/>
    <w:rsid w:val="00295BCF"/>
    <w:rsid w:val="00296002"/>
    <w:rsid w:val="002B47A4"/>
    <w:rsid w:val="002C5986"/>
    <w:rsid w:val="002E00B5"/>
    <w:rsid w:val="002E6A38"/>
    <w:rsid w:val="002E6C7A"/>
    <w:rsid w:val="003206E6"/>
    <w:rsid w:val="00320D13"/>
    <w:rsid w:val="00323728"/>
    <w:rsid w:val="00327732"/>
    <w:rsid w:val="00330401"/>
    <w:rsid w:val="003362B4"/>
    <w:rsid w:val="003526AC"/>
    <w:rsid w:val="00357C69"/>
    <w:rsid w:val="00367F9C"/>
    <w:rsid w:val="00374441"/>
    <w:rsid w:val="00391BA6"/>
    <w:rsid w:val="003B1996"/>
    <w:rsid w:val="003B6630"/>
    <w:rsid w:val="003C1CA1"/>
    <w:rsid w:val="003C2A07"/>
    <w:rsid w:val="003C5F6E"/>
    <w:rsid w:val="003C79A4"/>
    <w:rsid w:val="003D37E6"/>
    <w:rsid w:val="003E1FA7"/>
    <w:rsid w:val="003E5876"/>
    <w:rsid w:val="003F1E26"/>
    <w:rsid w:val="003F6EF2"/>
    <w:rsid w:val="00404843"/>
    <w:rsid w:val="00421269"/>
    <w:rsid w:val="004212E4"/>
    <w:rsid w:val="0043154C"/>
    <w:rsid w:val="0043204A"/>
    <w:rsid w:val="0043301E"/>
    <w:rsid w:val="004332A1"/>
    <w:rsid w:val="00446E46"/>
    <w:rsid w:val="00454C6C"/>
    <w:rsid w:val="004941BF"/>
    <w:rsid w:val="004A32FB"/>
    <w:rsid w:val="004A4AEC"/>
    <w:rsid w:val="004A5699"/>
    <w:rsid w:val="004B0565"/>
    <w:rsid w:val="004C56CD"/>
    <w:rsid w:val="004C7DAC"/>
    <w:rsid w:val="004D2CB0"/>
    <w:rsid w:val="004E21F6"/>
    <w:rsid w:val="004E306D"/>
    <w:rsid w:val="004E3CE0"/>
    <w:rsid w:val="005138BD"/>
    <w:rsid w:val="00523C52"/>
    <w:rsid w:val="00525E0B"/>
    <w:rsid w:val="0053482F"/>
    <w:rsid w:val="00534ACA"/>
    <w:rsid w:val="00546B0D"/>
    <w:rsid w:val="0055077C"/>
    <w:rsid w:val="00550E06"/>
    <w:rsid w:val="00556E65"/>
    <w:rsid w:val="005706EA"/>
    <w:rsid w:val="00570B6E"/>
    <w:rsid w:val="00571762"/>
    <w:rsid w:val="00576684"/>
    <w:rsid w:val="005919ED"/>
    <w:rsid w:val="005948B6"/>
    <w:rsid w:val="00595418"/>
    <w:rsid w:val="005D73A7"/>
    <w:rsid w:val="005E293E"/>
    <w:rsid w:val="005F0FFC"/>
    <w:rsid w:val="005F17B1"/>
    <w:rsid w:val="005F3075"/>
    <w:rsid w:val="00606524"/>
    <w:rsid w:val="006229AE"/>
    <w:rsid w:val="006408B7"/>
    <w:rsid w:val="00670207"/>
    <w:rsid w:val="00676A4A"/>
    <w:rsid w:val="0068523C"/>
    <w:rsid w:val="006862C9"/>
    <w:rsid w:val="006A2BCF"/>
    <w:rsid w:val="006A3B50"/>
    <w:rsid w:val="006D7930"/>
    <w:rsid w:val="006E01EE"/>
    <w:rsid w:val="006F284E"/>
    <w:rsid w:val="006F3CC0"/>
    <w:rsid w:val="00705D52"/>
    <w:rsid w:val="00706A06"/>
    <w:rsid w:val="00706EAA"/>
    <w:rsid w:val="00712094"/>
    <w:rsid w:val="00743ED4"/>
    <w:rsid w:val="00747830"/>
    <w:rsid w:val="00774FAC"/>
    <w:rsid w:val="007806B3"/>
    <w:rsid w:val="0079072F"/>
    <w:rsid w:val="00791090"/>
    <w:rsid w:val="007A2AA1"/>
    <w:rsid w:val="007B483D"/>
    <w:rsid w:val="007B5D38"/>
    <w:rsid w:val="007D140D"/>
    <w:rsid w:val="008070E1"/>
    <w:rsid w:val="00811646"/>
    <w:rsid w:val="00821E06"/>
    <w:rsid w:val="0082427B"/>
    <w:rsid w:val="00824931"/>
    <w:rsid w:val="0083339B"/>
    <w:rsid w:val="00834D9F"/>
    <w:rsid w:val="008474F2"/>
    <w:rsid w:val="00852AF8"/>
    <w:rsid w:val="0085475F"/>
    <w:rsid w:val="00860452"/>
    <w:rsid w:val="00861CAE"/>
    <w:rsid w:val="00865090"/>
    <w:rsid w:val="00867F50"/>
    <w:rsid w:val="00870581"/>
    <w:rsid w:val="00873213"/>
    <w:rsid w:val="0087632D"/>
    <w:rsid w:val="008B2369"/>
    <w:rsid w:val="008B5221"/>
    <w:rsid w:val="008C016E"/>
    <w:rsid w:val="008D16B2"/>
    <w:rsid w:val="008D3915"/>
    <w:rsid w:val="008E024C"/>
    <w:rsid w:val="008E5ECC"/>
    <w:rsid w:val="008F1ACC"/>
    <w:rsid w:val="00905A97"/>
    <w:rsid w:val="009106D8"/>
    <w:rsid w:val="00914255"/>
    <w:rsid w:val="009170C0"/>
    <w:rsid w:val="009226E4"/>
    <w:rsid w:val="00931DAA"/>
    <w:rsid w:val="00933AF4"/>
    <w:rsid w:val="00941403"/>
    <w:rsid w:val="00942388"/>
    <w:rsid w:val="00946042"/>
    <w:rsid w:val="009511EE"/>
    <w:rsid w:val="0095330E"/>
    <w:rsid w:val="009831DD"/>
    <w:rsid w:val="00985D79"/>
    <w:rsid w:val="009907A6"/>
    <w:rsid w:val="009A1EB9"/>
    <w:rsid w:val="009A5212"/>
    <w:rsid w:val="009A5F77"/>
    <w:rsid w:val="009C0136"/>
    <w:rsid w:val="009D11C0"/>
    <w:rsid w:val="009D390C"/>
    <w:rsid w:val="009F1CF6"/>
    <w:rsid w:val="009F51CF"/>
    <w:rsid w:val="009F6006"/>
    <w:rsid w:val="009F731B"/>
    <w:rsid w:val="00A07538"/>
    <w:rsid w:val="00A268F8"/>
    <w:rsid w:val="00A60844"/>
    <w:rsid w:val="00A7384C"/>
    <w:rsid w:val="00A748A1"/>
    <w:rsid w:val="00A85851"/>
    <w:rsid w:val="00A91FE1"/>
    <w:rsid w:val="00AA1642"/>
    <w:rsid w:val="00AA498E"/>
    <w:rsid w:val="00AB03B7"/>
    <w:rsid w:val="00AB10D8"/>
    <w:rsid w:val="00AB58F7"/>
    <w:rsid w:val="00AC77B0"/>
    <w:rsid w:val="00AE4547"/>
    <w:rsid w:val="00B07184"/>
    <w:rsid w:val="00B15CBB"/>
    <w:rsid w:val="00B16FBB"/>
    <w:rsid w:val="00B207A6"/>
    <w:rsid w:val="00B2385E"/>
    <w:rsid w:val="00B445BB"/>
    <w:rsid w:val="00B4719A"/>
    <w:rsid w:val="00B51D04"/>
    <w:rsid w:val="00B606E3"/>
    <w:rsid w:val="00B770AA"/>
    <w:rsid w:val="00B83AFB"/>
    <w:rsid w:val="00B84076"/>
    <w:rsid w:val="00B9779A"/>
    <w:rsid w:val="00BA50DC"/>
    <w:rsid w:val="00BA5ABE"/>
    <w:rsid w:val="00BA68DD"/>
    <w:rsid w:val="00BC2BE0"/>
    <w:rsid w:val="00BC342C"/>
    <w:rsid w:val="00BC7EAB"/>
    <w:rsid w:val="00BD0A8E"/>
    <w:rsid w:val="00BE372C"/>
    <w:rsid w:val="00BF2532"/>
    <w:rsid w:val="00BF6500"/>
    <w:rsid w:val="00C01C01"/>
    <w:rsid w:val="00C02A2A"/>
    <w:rsid w:val="00C13CF4"/>
    <w:rsid w:val="00C13F38"/>
    <w:rsid w:val="00C14530"/>
    <w:rsid w:val="00C2010C"/>
    <w:rsid w:val="00C23637"/>
    <w:rsid w:val="00C3644B"/>
    <w:rsid w:val="00C63C75"/>
    <w:rsid w:val="00C673DD"/>
    <w:rsid w:val="00C7226E"/>
    <w:rsid w:val="00C74B02"/>
    <w:rsid w:val="00C7656E"/>
    <w:rsid w:val="00C93F62"/>
    <w:rsid w:val="00C96B63"/>
    <w:rsid w:val="00C975A1"/>
    <w:rsid w:val="00CB2136"/>
    <w:rsid w:val="00CB21EE"/>
    <w:rsid w:val="00CB60BF"/>
    <w:rsid w:val="00CC70E2"/>
    <w:rsid w:val="00CD2B00"/>
    <w:rsid w:val="00CD3A4D"/>
    <w:rsid w:val="00CF5B8E"/>
    <w:rsid w:val="00CF6ADA"/>
    <w:rsid w:val="00D0285D"/>
    <w:rsid w:val="00D03D4A"/>
    <w:rsid w:val="00D109CE"/>
    <w:rsid w:val="00D12171"/>
    <w:rsid w:val="00D17809"/>
    <w:rsid w:val="00D223C3"/>
    <w:rsid w:val="00D2579D"/>
    <w:rsid w:val="00D37E67"/>
    <w:rsid w:val="00D411A4"/>
    <w:rsid w:val="00D44168"/>
    <w:rsid w:val="00D473E7"/>
    <w:rsid w:val="00D55AC0"/>
    <w:rsid w:val="00D619AF"/>
    <w:rsid w:val="00D7199F"/>
    <w:rsid w:val="00D81E66"/>
    <w:rsid w:val="00DA0D54"/>
    <w:rsid w:val="00DA689A"/>
    <w:rsid w:val="00DB1206"/>
    <w:rsid w:val="00DB1F14"/>
    <w:rsid w:val="00DB7796"/>
    <w:rsid w:val="00DC0DC9"/>
    <w:rsid w:val="00DC7022"/>
    <w:rsid w:val="00DD1627"/>
    <w:rsid w:val="00DD58FA"/>
    <w:rsid w:val="00DD5C0E"/>
    <w:rsid w:val="00DD67E4"/>
    <w:rsid w:val="00DE747B"/>
    <w:rsid w:val="00E01DF2"/>
    <w:rsid w:val="00E02C70"/>
    <w:rsid w:val="00E04FA1"/>
    <w:rsid w:val="00E1647C"/>
    <w:rsid w:val="00E228FF"/>
    <w:rsid w:val="00E24C54"/>
    <w:rsid w:val="00E266D0"/>
    <w:rsid w:val="00E32682"/>
    <w:rsid w:val="00E36C33"/>
    <w:rsid w:val="00E37F53"/>
    <w:rsid w:val="00E4308B"/>
    <w:rsid w:val="00E56281"/>
    <w:rsid w:val="00E67878"/>
    <w:rsid w:val="00E74079"/>
    <w:rsid w:val="00E75612"/>
    <w:rsid w:val="00E77250"/>
    <w:rsid w:val="00E81668"/>
    <w:rsid w:val="00E951C8"/>
    <w:rsid w:val="00E95416"/>
    <w:rsid w:val="00E96993"/>
    <w:rsid w:val="00EB0D53"/>
    <w:rsid w:val="00EB21BF"/>
    <w:rsid w:val="00EC040E"/>
    <w:rsid w:val="00EC104B"/>
    <w:rsid w:val="00EC79BA"/>
    <w:rsid w:val="00EE0501"/>
    <w:rsid w:val="00EE0F73"/>
    <w:rsid w:val="00EE14F9"/>
    <w:rsid w:val="00EF4026"/>
    <w:rsid w:val="00EF520C"/>
    <w:rsid w:val="00EF5709"/>
    <w:rsid w:val="00EF7CB1"/>
    <w:rsid w:val="00F05559"/>
    <w:rsid w:val="00F058D9"/>
    <w:rsid w:val="00F16538"/>
    <w:rsid w:val="00F24346"/>
    <w:rsid w:val="00F2442D"/>
    <w:rsid w:val="00F67EF1"/>
    <w:rsid w:val="00F84278"/>
    <w:rsid w:val="00F8450E"/>
    <w:rsid w:val="00F8594F"/>
    <w:rsid w:val="00F86778"/>
    <w:rsid w:val="00F91D69"/>
    <w:rsid w:val="00F95A02"/>
    <w:rsid w:val="00F9741F"/>
    <w:rsid w:val="00FA4A69"/>
    <w:rsid w:val="00FB6579"/>
    <w:rsid w:val="00FC6C56"/>
    <w:rsid w:val="00FD0550"/>
    <w:rsid w:val="00FD1CBA"/>
    <w:rsid w:val="00FD3CB6"/>
    <w:rsid w:val="00FE0475"/>
    <w:rsid w:val="00FE22F6"/>
    <w:rsid w:val="00FE4E06"/>
    <w:rsid w:val="00FF16C1"/>
    <w:rsid w:val="00FF75D2"/>
    <w:rsid w:val="0D7948EE"/>
    <w:rsid w:val="12FF949E"/>
    <w:rsid w:val="1BFF5EED"/>
    <w:rsid w:val="1FEF72BA"/>
    <w:rsid w:val="23768B28"/>
    <w:rsid w:val="2BBECF3B"/>
    <w:rsid w:val="2EE57A58"/>
    <w:rsid w:val="2F9F2135"/>
    <w:rsid w:val="2FACB232"/>
    <w:rsid w:val="2FCF891E"/>
    <w:rsid w:val="333FE222"/>
    <w:rsid w:val="349BDF16"/>
    <w:rsid w:val="3BDFBAD6"/>
    <w:rsid w:val="3F7F403F"/>
    <w:rsid w:val="3F8DE564"/>
    <w:rsid w:val="3FFF1B02"/>
    <w:rsid w:val="4FDE66C2"/>
    <w:rsid w:val="517F65EB"/>
    <w:rsid w:val="5777E7FC"/>
    <w:rsid w:val="57E6A339"/>
    <w:rsid w:val="5D7F55F9"/>
    <w:rsid w:val="5D9FEB4E"/>
    <w:rsid w:val="5DFFCE07"/>
    <w:rsid w:val="5E8FA166"/>
    <w:rsid w:val="6AFE96D4"/>
    <w:rsid w:val="6FB760DF"/>
    <w:rsid w:val="6FEB9AC9"/>
    <w:rsid w:val="6FFBFF59"/>
    <w:rsid w:val="6FFD9DB7"/>
    <w:rsid w:val="72EF0BAC"/>
    <w:rsid w:val="757A505A"/>
    <w:rsid w:val="7677DA0A"/>
    <w:rsid w:val="76E7CDE0"/>
    <w:rsid w:val="76EE24C1"/>
    <w:rsid w:val="76FE063F"/>
    <w:rsid w:val="77EBC15A"/>
    <w:rsid w:val="77FD1476"/>
    <w:rsid w:val="7B755095"/>
    <w:rsid w:val="7BB7CE29"/>
    <w:rsid w:val="7BFB7A43"/>
    <w:rsid w:val="7BFFF23B"/>
    <w:rsid w:val="7D3F4716"/>
    <w:rsid w:val="7D779870"/>
    <w:rsid w:val="7DB41BCA"/>
    <w:rsid w:val="7DFBBF82"/>
    <w:rsid w:val="7E568202"/>
    <w:rsid w:val="7E5BC70D"/>
    <w:rsid w:val="7EB697C2"/>
    <w:rsid w:val="7EBF8B8A"/>
    <w:rsid w:val="7EEB9B33"/>
    <w:rsid w:val="7F3CB07E"/>
    <w:rsid w:val="7F3E724A"/>
    <w:rsid w:val="7F5F0492"/>
    <w:rsid w:val="7FBF8336"/>
    <w:rsid w:val="7FD782D7"/>
    <w:rsid w:val="7FDF67CB"/>
    <w:rsid w:val="7FE34950"/>
    <w:rsid w:val="7FE7C86F"/>
    <w:rsid w:val="7FF8EC6D"/>
    <w:rsid w:val="7FFFA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591C58"/>
  <w15:docId w15:val="{8862A794-B30A-894D-9B53-2A2ED8B4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widowControl w:val="0"/>
      <w:spacing w:before="340" w:after="330" w:line="578" w:lineRule="auto"/>
      <w:jc w:val="both"/>
      <w:outlineLvl w:val="0"/>
    </w:pPr>
    <w:rPr>
      <w:rFonts w:eastAsia="SimSun"/>
      <w:b/>
      <w:bCs/>
      <w:kern w:val="44"/>
      <w:sz w:val="44"/>
      <w:szCs w:val="4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unhideWhenUsed/>
    <w:qFormat/>
    <w:rPr>
      <w:color w:val="800080"/>
      <w:u w:val="single"/>
    </w:rPr>
  </w:style>
  <w:style w:type="character" w:styleId="HTMLCode">
    <w:name w:val="HTML Code"/>
    <w:basedOn w:val="DefaultParagraphFont"/>
    <w:uiPriority w:val="99"/>
    <w:unhideWhenUsed/>
    <w:qFormat/>
    <w:rPr>
      <w:rFonts w:ascii="SimSun" w:eastAsia="SimSun" w:hAnsi="SimSun" w:cs="SimSun" w:hint="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SimSun" w:hAnsi="Times New Roman" w:cs="Times New Roman"/>
      <w:b/>
      <w:bCs/>
      <w:kern w:val="44"/>
      <w:sz w:val="44"/>
      <w:szCs w:val="44"/>
      <w:lang w:val="en-US"/>
    </w:rPr>
  </w:style>
  <w:style w:type="character" w:customStyle="1" w:styleId="UnresolvedMention1">
    <w:name w:val="Unresolved Mention1"/>
    <w:basedOn w:val="DefaultParagraphFont"/>
    <w:uiPriority w:val="99"/>
    <w:unhideWhenUsed/>
    <w:qFormat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qFormat/>
    <w:rPr>
      <w:rFonts w:eastAsia="Times New Roman"/>
      <w:sz w:val="24"/>
      <w:szCs w:val="24"/>
      <w:lang w:val="zh-CN"/>
    </w:rPr>
  </w:style>
  <w:style w:type="paragraph" w:customStyle="1" w:styleId="EndNoteBibliography">
    <w:name w:val="EndNote Bibliography"/>
    <w:basedOn w:val="Normal"/>
    <w:link w:val="EndNoteBibliographyChar"/>
    <w:qFormat/>
  </w:style>
  <w:style w:type="character" w:customStyle="1" w:styleId="EndNoteBibliographyChar">
    <w:name w:val="EndNote Bibliography Char"/>
    <w:basedOn w:val="DefaultParagraphFont"/>
    <w:link w:val="EndNoteBibliography"/>
    <w:qFormat/>
    <w:rPr>
      <w:rFonts w:eastAsia="Times New Roman"/>
      <w:sz w:val="24"/>
      <w:szCs w:val="24"/>
      <w:lang w:val="zh-CN"/>
    </w:rPr>
  </w:style>
  <w:style w:type="character" w:customStyle="1" w:styleId="PlaceholderText1">
    <w:name w:val="Placeholder Text1"/>
    <w:basedOn w:val="DefaultParagraphFont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801</Words>
  <Characters>4569</Characters>
  <Application>Microsoft Office Word</Application>
  <DocSecurity>0</DocSecurity>
  <Lines>38</Lines>
  <Paragraphs>10</Paragraphs>
  <ScaleCrop>false</ScaleCrop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 Bingtao</dc:creator>
  <cp:lastModifiedBy>Hao Bingtao</cp:lastModifiedBy>
  <cp:revision>29</cp:revision>
  <dcterms:created xsi:type="dcterms:W3CDTF">2021-08-20T03:50:00Z</dcterms:created>
  <dcterms:modified xsi:type="dcterms:W3CDTF">2021-11-11T03:37:00Z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1033-3.9.1.6204</vt:lpwstr>
  </property>
</Properties>
</file>