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158C" w14:textId="77777777" w:rsidR="00000475" w:rsidRPr="00815C14" w:rsidRDefault="00000475" w:rsidP="00000475">
      <w:pPr>
        <w:spacing w:after="120"/>
        <w:outlineLvl w:val="0"/>
        <w:rPr>
          <w:b/>
          <w:bCs/>
          <w:sz w:val="28"/>
          <w:szCs w:val="28"/>
        </w:rPr>
      </w:pPr>
      <w:r w:rsidRPr="00815C14">
        <w:rPr>
          <w:b/>
          <w:bCs/>
        </w:rPr>
        <w:t>Table 3. Pharmacotherapy for Medetomidine Withdrawal in Hospitalized Patients</w:t>
      </w:r>
    </w:p>
    <w:tbl>
      <w:tblPr>
        <w:tblW w:w="13680" w:type="dxa"/>
        <w:tblLayout w:type="fixed"/>
        <w:tblCellMar>
          <w:top w:w="100" w:type="dxa"/>
          <w:left w:w="140" w:type="dxa"/>
          <w:bottom w:w="100" w:type="dxa"/>
          <w:right w:w="140" w:type="dxa"/>
        </w:tblCellMar>
        <w:tblLook w:val="04A0" w:firstRow="1" w:lastRow="0" w:firstColumn="1" w:lastColumn="0" w:noHBand="0" w:noVBand="1"/>
      </w:tblPr>
      <w:tblGrid>
        <w:gridCol w:w="2601"/>
        <w:gridCol w:w="2400"/>
        <w:gridCol w:w="3399"/>
        <w:gridCol w:w="5280"/>
      </w:tblGrid>
      <w:tr w:rsidR="00000475" w:rsidRPr="00815C14" w14:paraId="7EC19F56" w14:textId="77777777" w:rsidTr="00C3799A">
        <w:trPr>
          <w:tblHeader/>
        </w:trPr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78A16669" w14:textId="77777777" w:rsidR="00000475" w:rsidRPr="00815C14" w:rsidRDefault="00000475" w:rsidP="00C3799A">
            <w:r w:rsidRPr="00815C14">
              <w:rPr>
                <w:b/>
                <w:bCs/>
                <w:color w:val="FFFFFF"/>
                <w:sz w:val="18"/>
                <w:szCs w:val="18"/>
              </w:rPr>
              <w:t>Class / Role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62E2C014" w14:textId="77777777" w:rsidR="00000475" w:rsidRPr="00815C14" w:rsidRDefault="00000475" w:rsidP="00C3799A">
            <w:r w:rsidRPr="00815C14">
              <w:rPr>
                <w:b/>
                <w:bCs/>
                <w:color w:val="FFFFFF"/>
                <w:sz w:val="18"/>
                <w:szCs w:val="18"/>
              </w:rPr>
              <w:t>Agent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2FEFBBDF" w14:textId="77777777" w:rsidR="00000475" w:rsidRPr="00815C14" w:rsidRDefault="00000475" w:rsidP="00C3799A">
            <w:r w:rsidRPr="00815C14">
              <w:rPr>
                <w:b/>
                <w:bCs/>
                <w:color w:val="FFFFFF"/>
                <w:sz w:val="18"/>
                <w:szCs w:val="18"/>
              </w:rPr>
              <w:t>Dose &amp; Route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1B07367A" w14:textId="77777777" w:rsidR="00000475" w:rsidRPr="00815C14" w:rsidRDefault="00000475" w:rsidP="00C3799A">
            <w:r w:rsidRPr="00815C14">
              <w:rPr>
                <w:b/>
                <w:bCs/>
                <w:color w:val="FFFFFF"/>
                <w:sz w:val="18"/>
                <w:szCs w:val="18"/>
              </w:rPr>
              <w:t>Key Considerations</w:t>
            </w:r>
          </w:p>
        </w:tc>
      </w:tr>
      <w:tr w:rsidR="00000475" w:rsidRPr="00815C14" w14:paraId="25C07DF1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50AAF36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Oral α2 agonist (mainstay)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5F085F4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Clonidine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74FCB9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0.3–0.9 mg PO, repeat q1–2h PRN; titrate to HR/BP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B42338D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Doses substantially exceed antihypertensive ranges; sublingual absorption preserved if patient cannot swallow; peak oral effect at approximately 1–3 hours, so redosing at the shorter interval requires close HR/BP monitoring to avoid dose stacking</w:t>
            </w:r>
          </w:p>
        </w:tc>
      </w:tr>
      <w:tr w:rsidR="00000475" w:rsidRPr="00815C14" w14:paraId="18FFBDF7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4AC5898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Oral α2 agonist (adjunct)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2CFBB73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Guanfacine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6570AC3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2 mg PO q8h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444A87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Useful adjunct; less sedating than tizanidine</w:t>
            </w:r>
          </w:p>
        </w:tc>
      </w:tr>
      <w:tr w:rsidR="00000475" w:rsidRPr="00815C14" w14:paraId="5185B40F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6277351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Oral α2 agonist (adjunct)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27FA1F2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Tizanidine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574B19C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2–6 mg PO q8h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8CE685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Monitor QTc; avoid in pregnancy</w:t>
            </w:r>
          </w:p>
        </w:tc>
      </w:tr>
      <w:tr w:rsidR="00000475" w:rsidRPr="00815C14" w14:paraId="7F6F73EE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1599737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Oral α2 agonist (adjunct)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50AE4CF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Lofexidine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DF8AC24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0.36–0.72 mg PO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7F0E434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Where available</w:t>
            </w:r>
          </w:p>
        </w:tc>
      </w:tr>
      <w:tr w:rsidR="00000475" w:rsidRPr="00815C14" w14:paraId="19A05E6A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1BF77E1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Transdermal α2 agonist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966EDD8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Clonidine patch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CBF621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0.3 mg/24h; up to 3 patches concurrently (replace after 1 week)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522F86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Apply early even with initial bradycardia/hypotension if expected to require hospitalization; 18–24h onset aligns with peak withdrawal; facilitates dexmedetomidine weaning</w:t>
            </w:r>
          </w:p>
        </w:tc>
      </w:tr>
      <w:tr w:rsidR="00000475" w:rsidRPr="00815C14" w14:paraId="7BF088A8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852B790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Parenteral α2 agonist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858EBD9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Dexmedetomidine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65CCA2F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1–2 mcg/kg IV bolus → 0.5–1.5 mcg/kg/hr; titrate q15–30 min; up to 2.5 mcg/kg/hr in severe cases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0C54B90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Cornerstone when oral therapy outpaced; 24–72h infusion typical; sinus bradycardia at high doses without other significant adverse effects</w:t>
            </w:r>
          </w:p>
        </w:tc>
      </w:tr>
      <w:tr w:rsidR="00000475" w:rsidRPr="00815C14" w14:paraId="3A99FA61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5B7A1D2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 xml:space="preserve">Antiemetic — </w:t>
            </w:r>
            <w:proofErr w:type="gramStart"/>
            <w:r w:rsidRPr="00815C14">
              <w:rPr>
                <w:b/>
                <w:bCs/>
                <w:sz w:val="18"/>
                <w:szCs w:val="18"/>
              </w:rPr>
              <w:t>first-line</w:t>
            </w:r>
            <w:proofErr w:type="gramEnd"/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0C7DAD2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Prochlorperazine, olanzapine, chlorpromazine, droperidol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E22627D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IV/IM; repeat dosing common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82911BA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 xml:space="preserve">Ondansetron </w:t>
            </w:r>
            <w:proofErr w:type="gramStart"/>
            <w:r w:rsidRPr="00815C14">
              <w:rPr>
                <w:sz w:val="18"/>
                <w:szCs w:val="18"/>
              </w:rPr>
              <w:t>typically</w:t>
            </w:r>
            <w:proofErr w:type="gramEnd"/>
            <w:r w:rsidRPr="00815C14">
              <w:rPr>
                <w:sz w:val="18"/>
                <w:szCs w:val="18"/>
              </w:rPr>
              <w:t xml:space="preserve"> ineffective; monitor QTc — torsades not reported in this context and likely partially protected by severe tachycardia</w:t>
            </w:r>
          </w:p>
        </w:tc>
      </w:tr>
      <w:tr w:rsidR="00000475" w:rsidRPr="00815C14" w14:paraId="428D9B18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0272950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Antiemetic — adjunct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968C63E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Scopolamine transdermal; trimethobenzamide IM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38A0CBF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1 mg; 150 mg IM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217B528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Useful when dopamine antagonists are insufficient</w:t>
            </w:r>
          </w:p>
        </w:tc>
      </w:tr>
      <w:tr w:rsidR="00000475" w:rsidRPr="00815C14" w14:paraId="55D6B8F3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D83C035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GABA-agonist adjunct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2719EF3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Benzodiazepines, phenobarbital, ketamine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BEBA71E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1-2 mg lorazepam IV, 5-10 mg diazepam, 2-4 mg midazolam q1-2 hour PRN; phenobarbital 5-10 mg/kg via short IV infusion can also be considered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A7717BE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Limited monotherapy effect; useful when concurrent GABA-agonist withdrawal present</w:t>
            </w:r>
          </w:p>
        </w:tc>
      </w:tr>
      <w:tr w:rsidR="00000475" w:rsidRPr="00815C14" w14:paraId="211DE4C2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98235D2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Concurrent opioid withdrawal management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357703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Methadone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C78A6ED" w14:textId="77777777" w:rsidR="00000475" w:rsidRPr="00815C14" w:rsidRDefault="00000475" w:rsidP="00C3799A">
            <w:pPr>
              <w:rPr>
                <w:sz w:val="18"/>
                <w:szCs w:val="18"/>
              </w:rPr>
            </w:pPr>
            <w:r w:rsidRPr="00815C14">
              <w:rPr>
                <w:sz w:val="18"/>
                <w:szCs w:val="18"/>
              </w:rPr>
              <w:t>30–40 mg PO first dose; additional 10 mg q4h × 1–3 doses for ongoing symptoms; for IV formulation, use 50% of the PO dose</w:t>
            </w:r>
            <w:r w:rsidRPr="00815C14">
              <w:rPr>
                <w:sz w:val="18"/>
                <w:szCs w:val="18"/>
              </w:rPr>
              <w:br/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BA8ADBC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ECG monitoring given baseline QTc prolongation. Note IV formulation has more significant QTc prolongation than PO.</w:t>
            </w:r>
          </w:p>
        </w:tc>
      </w:tr>
      <w:tr w:rsidR="00000475" w:rsidRPr="00815C14" w14:paraId="38A0D664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2DDA9B1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Concurrent opioid withdrawal management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CC39C27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Hydromorphone IV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74A6E7D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1–4 mg q30–60 min, titrated to effect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D7DA7F2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Bridge while α2 agonists address medetomidine component, infusions/scheduled doses may be appropriate for patients in ICU settings.</w:t>
            </w:r>
          </w:p>
        </w:tc>
      </w:tr>
      <w:tr w:rsidR="00000475" w:rsidRPr="00815C14" w14:paraId="4A8ADC65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D4D8E40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lastRenderedPageBreak/>
              <w:t>MOUD transition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356F182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Buprenorphine (</w:t>
            </w:r>
            <w:proofErr w:type="gramStart"/>
            <w:r w:rsidRPr="00815C14">
              <w:rPr>
                <w:sz w:val="18"/>
                <w:szCs w:val="18"/>
              </w:rPr>
              <w:t>low-dose</w:t>
            </w:r>
            <w:proofErr w:type="gramEnd"/>
            <w:r w:rsidRPr="00815C14">
              <w:rPr>
                <w:sz w:val="18"/>
                <w:szCs w:val="18"/>
              </w:rPr>
              <w:t xml:space="preserve"> / microdose induction)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97BF445" w14:textId="77777777" w:rsidR="00000475" w:rsidRPr="00815C14" w:rsidRDefault="00000475" w:rsidP="00C3799A">
            <w:pPr>
              <w:rPr>
                <w:sz w:val="18"/>
                <w:szCs w:val="18"/>
              </w:rPr>
            </w:pPr>
            <w:r w:rsidRPr="00815C14">
              <w:rPr>
                <w:sz w:val="18"/>
                <w:szCs w:val="18"/>
              </w:rPr>
              <w:t>150-450 mcg buccal are common micro-induction doses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356F892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Requires 1–5 days to complete</w:t>
            </w:r>
          </w:p>
        </w:tc>
      </w:tr>
      <w:tr w:rsidR="00000475" w:rsidRPr="00815C14" w14:paraId="33679C6D" w14:textId="77777777" w:rsidTr="00C3799A">
        <w:tc>
          <w:tcPr>
            <w:tcW w:w="2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C35E2FC" w14:textId="77777777" w:rsidR="00000475" w:rsidRPr="00815C14" w:rsidRDefault="00000475" w:rsidP="00C3799A">
            <w:r w:rsidRPr="00815C14">
              <w:rPr>
                <w:b/>
                <w:bCs/>
                <w:sz w:val="18"/>
                <w:szCs w:val="18"/>
              </w:rPr>
              <w:t>Pre-discharge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A51C4A6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Long-acting injectable buprenorphine</w:t>
            </w:r>
          </w:p>
        </w:tc>
        <w:tc>
          <w:tcPr>
            <w:tcW w:w="33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DF1EBBF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Standard dosing</w:t>
            </w:r>
          </w:p>
        </w:tc>
        <w:tc>
          <w:tcPr>
            <w:tcW w:w="5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4EDD741" w14:textId="77777777" w:rsidR="00000475" w:rsidRPr="00815C14" w:rsidRDefault="00000475" w:rsidP="00C3799A">
            <w:r w:rsidRPr="00815C14">
              <w:rPr>
                <w:sz w:val="18"/>
                <w:szCs w:val="18"/>
              </w:rPr>
              <w:t>Ensure MOUD continuation at discharge</w:t>
            </w:r>
          </w:p>
        </w:tc>
      </w:tr>
    </w:tbl>
    <w:p w14:paraId="28E8C3D6" w14:textId="77777777" w:rsidR="00000475" w:rsidRPr="00815C14" w:rsidRDefault="00000475" w:rsidP="00000475">
      <w:pPr>
        <w:spacing w:before="160"/>
        <w:rPr>
          <w:i/>
          <w:iCs/>
          <w:color w:val="555555"/>
          <w:sz w:val="18"/>
          <w:szCs w:val="18"/>
        </w:rPr>
      </w:pPr>
      <w:r w:rsidRPr="00815C14">
        <w:rPr>
          <w:i/>
          <w:iCs/>
          <w:color w:val="555555"/>
          <w:sz w:val="18"/>
          <w:szCs w:val="18"/>
        </w:rPr>
        <w:t>Doses reflect pooled clinical experience from Philadelphia and Pittsburgh cohorts and are not derived from randomized trials. Protocols vary by institution. HR, heart rate; BP, blood pressure; MOUD, medications for opioid use disorder; PO, by mouth; IV, intravenous; IM, intramuscular; PRN, as needed.</w:t>
      </w:r>
    </w:p>
    <w:p w14:paraId="5AC9F85F" w14:textId="6061FC8A" w:rsidR="00313713" w:rsidRPr="00000475" w:rsidRDefault="00313713" w:rsidP="00000475"/>
    <w:sectPr w:rsidR="00313713" w:rsidRPr="00000475">
      <w:pgSz w:w="15840" w:h="12240" w:orient="landscape"/>
      <w:pgMar w:top="1080" w:right="1080" w:bottom="108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13"/>
    <w:rsid w:val="00000475"/>
    <w:rsid w:val="00067F2B"/>
    <w:rsid w:val="000744FB"/>
    <w:rsid w:val="000F0FFB"/>
    <w:rsid w:val="00153F12"/>
    <w:rsid w:val="00184638"/>
    <w:rsid w:val="001D6BAF"/>
    <w:rsid w:val="00301A5D"/>
    <w:rsid w:val="00313713"/>
    <w:rsid w:val="00540996"/>
    <w:rsid w:val="00593116"/>
    <w:rsid w:val="00713E73"/>
    <w:rsid w:val="008F0650"/>
    <w:rsid w:val="009D1024"/>
    <w:rsid w:val="00B079DE"/>
    <w:rsid w:val="00CC7867"/>
    <w:rsid w:val="00E87F00"/>
    <w:rsid w:val="00E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F7BB"/>
  <w15:docId w15:val="{19B7932F-0C03-4284-8A70-B1FD21F8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C22D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C22D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C22D9"/>
    <w:rPr>
      <w:b/>
      <w:bCs/>
      <w:sz w:val="20"/>
      <w:szCs w:val="20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C22D9"/>
    <w:rPr>
      <w:b/>
      <w:bCs/>
    </w:rPr>
  </w:style>
  <w:style w:type="paragraph" w:styleId="Revision">
    <w:name w:val="Revision"/>
    <w:uiPriority w:val="99"/>
    <w:semiHidden/>
    <w:qFormat/>
    <w:rsid w:val="00E2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43115E-5C36-A84B-B191-ECC3E8FB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Kory London</cp:lastModifiedBy>
  <cp:revision>3</cp:revision>
  <dcterms:created xsi:type="dcterms:W3CDTF">2026-08-13T19:17:00Z</dcterms:created>
  <dcterms:modified xsi:type="dcterms:W3CDTF">2026-08-13T19:17:00Z</dcterms:modified>
  <dc:language>en-US</dc:language>
</cp:coreProperties>
</file>