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B2F7F" w14:textId="77777777" w:rsidR="00153F12" w:rsidRPr="00324018" w:rsidRDefault="00153F12" w:rsidP="00153F12">
      <w:r w:rsidRPr="00324018">
        <w:rPr>
          <w:b/>
        </w:rPr>
        <w:t xml:space="preserve">Table 1: </w:t>
      </w:r>
      <w:r w:rsidRPr="00324018">
        <w:t>Evidence types identified in the literature search.</w:t>
      </w:r>
    </w:p>
    <w:tbl>
      <w:tblPr>
        <w:tblW w:w="136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6"/>
        <w:gridCol w:w="876"/>
        <w:gridCol w:w="8438"/>
      </w:tblGrid>
      <w:tr w:rsidR="00153F12" w:rsidRPr="00324018" w14:paraId="5362DE1B" w14:textId="77777777" w:rsidTr="00C3799A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A88"/>
          </w:tcPr>
          <w:p w14:paraId="0359D50F" w14:textId="77777777" w:rsidR="00153F12" w:rsidRPr="00324018" w:rsidRDefault="00153F12" w:rsidP="00C3799A">
            <w:pPr>
              <w:rPr>
                <w:b/>
                <w:color w:val="FFFFFF"/>
                <w:sz w:val="18"/>
                <w:szCs w:val="18"/>
              </w:rPr>
            </w:pPr>
            <w:r w:rsidRPr="00324018">
              <w:rPr>
                <w:b/>
                <w:bCs/>
                <w:color w:val="FFFFFF"/>
                <w:sz w:val="18"/>
                <w:szCs w:val="18"/>
              </w:rPr>
              <w:t>Evidence type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A88"/>
          </w:tcPr>
          <w:p w14:paraId="284F6396" w14:textId="77777777" w:rsidR="00153F12" w:rsidRPr="00324018" w:rsidRDefault="00153F12" w:rsidP="00C3799A">
            <w:pPr>
              <w:rPr>
                <w:b/>
                <w:color w:val="FFFFFF"/>
                <w:sz w:val="18"/>
                <w:szCs w:val="18"/>
              </w:rPr>
            </w:pPr>
            <w:r w:rsidRPr="00324018">
              <w:rPr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A88"/>
          </w:tcPr>
          <w:p w14:paraId="08AC41BE" w14:textId="77777777" w:rsidR="00153F12" w:rsidRPr="00324018" w:rsidRDefault="00153F12" w:rsidP="00C3799A">
            <w:pPr>
              <w:rPr>
                <w:b/>
                <w:color w:val="FFFFFF"/>
                <w:sz w:val="18"/>
                <w:szCs w:val="18"/>
              </w:rPr>
            </w:pPr>
            <w:r w:rsidRPr="00324018">
              <w:rPr>
                <w:b/>
                <w:bCs/>
                <w:color w:val="FFFFFF"/>
                <w:sz w:val="18"/>
                <w:szCs w:val="18"/>
              </w:rPr>
              <w:t>Description</w:t>
            </w:r>
          </w:p>
        </w:tc>
      </w:tr>
      <w:tr w:rsidR="00153F12" w:rsidRPr="00324018" w14:paraId="01D4AAAD" w14:textId="77777777" w:rsidTr="00C3799A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819C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Original clinical studies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024F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18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52DC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Case reports, series, and retrospective analyses of medetomidine intoxication, overdose, and withdrawal in humans, including the multicenter case series, the ICU-utilization and QTc analyses, and maternal-neonatal cases</w:t>
            </w:r>
          </w:p>
        </w:tc>
      </w:tr>
      <w:tr w:rsidR="00153F12" w:rsidRPr="00324018" w14:paraId="75ECD0C5" w14:textId="77777777" w:rsidTr="00C3799A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5FC6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CDC field reports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2038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4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0DC4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Regional reports of emergence and clinical clusters in Missouri/Colorado/Pennsylvania, Chicago, Philadelphia, and Pittsburgh</w:t>
            </w:r>
          </w:p>
        </w:tc>
      </w:tr>
      <w:tr w:rsidR="00153F12" w:rsidRPr="00324018" w14:paraId="689FA2A0" w14:textId="77777777" w:rsidTr="00C3799A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1B17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Forensic and drug-checking studies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0F34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5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3388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Peer-reviewed analytical and toxicologic characterization of the illicit supply and biospecimens, including enantiomer differentiation and a naturalistic pharmacokinetic study</w:t>
            </w:r>
          </w:p>
        </w:tc>
      </w:tr>
      <w:tr w:rsidR="00153F12" w:rsidRPr="00324018" w14:paraId="3426376B" w14:textId="77777777" w:rsidTr="00C3799A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B322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Public health alerts and surveillance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057A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14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0943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CDC, CFSRE, PDPH, and Pennsylvania Groundhogs alerts and drug-checking reports, a federal diagnostic coding agenda, plus one news report, tracking the rapid spread of medetomidine</w:t>
            </w:r>
          </w:p>
        </w:tc>
      </w:tr>
      <w:tr w:rsidR="00153F12" w:rsidRPr="00324018" w14:paraId="062D4784" w14:textId="77777777" w:rsidTr="00C3799A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C2D0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Pharmacology and pharmacokinetic studies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6F37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18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8006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Preclinical and human studies of α2 and imidazoline pharmacology, receptor selectivity, and dexmedetomidine pharmacokinetics</w:t>
            </w:r>
          </w:p>
        </w:tc>
      </w:tr>
      <w:tr w:rsidR="00153F12" w:rsidRPr="00324018" w14:paraId="71FBB6AD" w14:textId="77777777" w:rsidTr="00C3799A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448F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Reviews, commentary, and editorials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DEDF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9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7FA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Narrative reviews and perspectives on medetomidine, xylazine, and the evolving opioid supply</w:t>
            </w:r>
          </w:p>
        </w:tc>
      </w:tr>
      <w:tr w:rsidR="00153F12" w:rsidRPr="00324018" w14:paraId="3C17D722" w14:textId="77777777" w:rsidTr="00C3799A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0847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Guidelines, consensus, and clinical tools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6854" w14:textId="77777777" w:rsidR="00153F12" w:rsidRPr="00324018" w:rsidRDefault="00153F12" w:rsidP="00C3799A">
            <w:r>
              <w:rPr>
                <w:sz w:val="18"/>
                <w:szCs w:val="18"/>
              </w:rPr>
              <w:t>5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44DD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Consensus management statements, a systematic review, and validated withdrawal assessment scales</w:t>
            </w:r>
          </w:p>
        </w:tc>
      </w:tr>
      <w:tr w:rsidR="00153F12" w:rsidRPr="00324018" w14:paraId="29D7EAD5" w14:textId="77777777" w:rsidTr="00C3799A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0F23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Background and comparator literature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9F1C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6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D681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Xylazine epidemiology, clonidine pharmacology, and a reference text</w:t>
            </w:r>
          </w:p>
        </w:tc>
      </w:tr>
      <w:tr w:rsidR="00153F12" w:rsidRPr="00324018" w14:paraId="54A3F180" w14:textId="77777777" w:rsidTr="00C3799A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AA4B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Pending publication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F2EF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3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A60D" w14:textId="77777777" w:rsidR="00153F12" w:rsidRPr="00324018" w:rsidRDefault="00153F12" w:rsidP="00C3799A">
            <w:r>
              <w:rPr>
                <w:sz w:val="18"/>
                <w:szCs w:val="18"/>
              </w:rPr>
              <w:t>--</w:t>
            </w:r>
          </w:p>
        </w:tc>
      </w:tr>
      <w:tr w:rsidR="00153F12" w:rsidRPr="00324018" w14:paraId="2AB0E80D" w14:textId="77777777" w:rsidTr="00C3799A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9EDB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Total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0BDB" w14:textId="77777777" w:rsidR="00153F12" w:rsidRPr="00324018" w:rsidRDefault="00153F12" w:rsidP="00C3799A">
            <w:r w:rsidRPr="00324018">
              <w:rPr>
                <w:sz w:val="18"/>
                <w:szCs w:val="18"/>
              </w:rPr>
              <w:t>82</w:t>
            </w:r>
          </w:p>
        </w:tc>
        <w:tc>
          <w:tcPr>
            <w:tcW w:w="8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914C" w14:textId="77777777" w:rsidR="00153F12" w:rsidRPr="00324018" w:rsidRDefault="00153F12" w:rsidP="00C3799A"/>
        </w:tc>
      </w:tr>
    </w:tbl>
    <w:p w14:paraId="5AC9F85F" w14:textId="26C2A9DC" w:rsidR="00313713" w:rsidRPr="00153F12" w:rsidRDefault="00313713" w:rsidP="00153F12"/>
    <w:sectPr w:rsidR="00313713" w:rsidRPr="00153F12">
      <w:pgSz w:w="15840" w:h="12240" w:orient="landscape"/>
      <w:pgMar w:top="1080" w:right="1080" w:bottom="1080" w:left="10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13"/>
    <w:rsid w:val="00067F2B"/>
    <w:rsid w:val="000744FB"/>
    <w:rsid w:val="00153F12"/>
    <w:rsid w:val="00184638"/>
    <w:rsid w:val="001D6BAF"/>
    <w:rsid w:val="00301A5D"/>
    <w:rsid w:val="00313713"/>
    <w:rsid w:val="00713E73"/>
    <w:rsid w:val="008F0650"/>
    <w:rsid w:val="009D1024"/>
    <w:rsid w:val="00B079DE"/>
    <w:rsid w:val="00CC7867"/>
    <w:rsid w:val="00E87F00"/>
    <w:rsid w:val="00EA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9F7BB"/>
  <w15:docId w15:val="{19B7932F-0C03-4284-8A70-B1FD21F8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F3864"/>
      <w:sz w:val="28"/>
      <w:szCs w:val="2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C22D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9C22D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9C22D9"/>
    <w:rPr>
      <w:b/>
      <w:bCs/>
      <w:sz w:val="20"/>
      <w:szCs w:val="20"/>
    </w:rPr>
  </w:style>
  <w:style w:type="character" w:styleId="LineNumber">
    <w:name w:val="line number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2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9C22D9"/>
    <w:rPr>
      <w:b/>
      <w:bCs/>
    </w:rPr>
  </w:style>
  <w:style w:type="paragraph" w:styleId="Revision">
    <w:name w:val="Revision"/>
    <w:uiPriority w:val="99"/>
    <w:semiHidden/>
    <w:qFormat/>
    <w:rsid w:val="00E24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43115E-5C36-A84B-B191-ECC3E8FB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Kory London</cp:lastModifiedBy>
  <cp:revision>3</cp:revision>
  <dcterms:created xsi:type="dcterms:W3CDTF">2026-08-13T19:16:00Z</dcterms:created>
  <dcterms:modified xsi:type="dcterms:W3CDTF">2026-08-13T19:16:00Z</dcterms:modified>
  <dc:language>en-US</dc:language>
</cp:coreProperties>
</file>