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A8B0C" w14:textId="77777777" w:rsidR="00540996" w:rsidRPr="00F06625" w:rsidRDefault="00540996" w:rsidP="00540996">
      <w:pPr>
        <w:spacing w:before="240" w:after="120"/>
        <w:outlineLvl w:val="0"/>
        <w:rPr>
          <w:b/>
          <w:bCs/>
          <w:sz w:val="28"/>
          <w:szCs w:val="28"/>
        </w:rPr>
      </w:pPr>
      <w:r w:rsidRPr="00F06625">
        <w:rPr>
          <w:b/>
          <w:bCs/>
        </w:rPr>
        <w:t xml:space="preserve">Table 2. </w:t>
      </w:r>
      <w:r w:rsidRPr="00540996">
        <w:t>Comparative Pharmacology of α2-Adrenergic Agonists Relevant to Acute Care</w:t>
      </w:r>
    </w:p>
    <w:tbl>
      <w:tblPr>
        <w:tblW w:w="13680" w:type="dxa"/>
        <w:tblLayout w:type="fixed"/>
        <w:tblCellMar>
          <w:top w:w="100" w:type="dxa"/>
          <w:left w:w="140" w:type="dxa"/>
          <w:bottom w:w="100" w:type="dxa"/>
          <w:right w:w="140" w:type="dxa"/>
        </w:tblCellMar>
        <w:tblLook w:val="04A0" w:firstRow="1" w:lastRow="0" w:firstColumn="1" w:lastColumn="0" w:noHBand="0" w:noVBand="1"/>
      </w:tblPr>
      <w:tblGrid>
        <w:gridCol w:w="1831"/>
        <w:gridCol w:w="1652"/>
        <w:gridCol w:w="1648"/>
        <w:gridCol w:w="1659"/>
        <w:gridCol w:w="1933"/>
        <w:gridCol w:w="2343"/>
        <w:gridCol w:w="2614"/>
      </w:tblGrid>
      <w:tr w:rsidR="00540996" w:rsidRPr="00F06625" w14:paraId="0F8EF2A7" w14:textId="77777777" w:rsidTr="00C3799A">
        <w:trPr>
          <w:tblHeader/>
        </w:trPr>
        <w:tc>
          <w:tcPr>
            <w:tcW w:w="18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2E5A88"/>
          </w:tcPr>
          <w:p w14:paraId="6735238C" w14:textId="77777777" w:rsidR="00540996" w:rsidRPr="00F06625" w:rsidRDefault="00540996" w:rsidP="00C3799A">
            <w:r w:rsidRPr="00F06625">
              <w:rPr>
                <w:b/>
                <w:bCs/>
                <w:color w:val="FFFFFF"/>
                <w:sz w:val="18"/>
                <w:szCs w:val="18"/>
              </w:rPr>
              <w:t>Agent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2E5A88"/>
          </w:tcPr>
          <w:p w14:paraId="7CA1AA0A" w14:textId="77777777" w:rsidR="00540996" w:rsidRPr="00F06625" w:rsidRDefault="00540996" w:rsidP="00C3799A">
            <w:r w:rsidRPr="00F06625">
              <w:rPr>
                <w:b/>
                <w:bCs/>
                <w:color w:val="FFFFFF"/>
                <w:sz w:val="18"/>
                <w:szCs w:val="18"/>
              </w:rPr>
              <w:t>α</w:t>
            </w:r>
            <w:proofErr w:type="gramStart"/>
            <w:r w:rsidRPr="00F06625">
              <w:rPr>
                <w:b/>
                <w:bCs/>
                <w:color w:val="FFFFFF"/>
                <w:sz w:val="18"/>
                <w:szCs w:val="18"/>
              </w:rPr>
              <w:t>2:α</w:t>
            </w:r>
            <w:proofErr w:type="gramEnd"/>
            <w:r w:rsidRPr="00F06625">
              <w:rPr>
                <w:b/>
                <w:bCs/>
                <w:color w:val="FFFFFF"/>
                <w:sz w:val="18"/>
                <w:szCs w:val="18"/>
              </w:rPr>
              <w:t>1 Selectivity</w:t>
            </w:r>
          </w:p>
        </w:tc>
        <w:tc>
          <w:tcPr>
            <w:tcW w:w="164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2E5A88"/>
          </w:tcPr>
          <w:p w14:paraId="61054F52" w14:textId="77777777" w:rsidR="00540996" w:rsidRPr="00F06625" w:rsidRDefault="00540996" w:rsidP="00C3799A">
            <w:r w:rsidRPr="00F06625">
              <w:rPr>
                <w:b/>
                <w:bCs/>
                <w:color w:val="FFFFFF"/>
                <w:sz w:val="18"/>
                <w:szCs w:val="18"/>
              </w:rPr>
              <w:t>Relative α2 Potency</w:t>
            </w:r>
          </w:p>
        </w:tc>
        <w:tc>
          <w:tcPr>
            <w:tcW w:w="165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2E5A88"/>
          </w:tcPr>
          <w:p w14:paraId="23C0E936" w14:textId="77777777" w:rsidR="00540996" w:rsidRPr="00F06625" w:rsidRDefault="00540996" w:rsidP="00C3799A">
            <w:r w:rsidRPr="00F06625">
              <w:rPr>
                <w:b/>
                <w:bCs/>
                <w:color w:val="FFFFFF"/>
                <w:sz w:val="18"/>
                <w:szCs w:val="18"/>
              </w:rPr>
              <w:t>I1 Receptor Activity</w:t>
            </w:r>
          </w:p>
        </w:tc>
        <w:tc>
          <w:tcPr>
            <w:tcW w:w="193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2E5A88"/>
          </w:tcPr>
          <w:p w14:paraId="3ABF9017" w14:textId="77777777" w:rsidR="00540996" w:rsidRPr="00F06625" w:rsidRDefault="00540996" w:rsidP="00C3799A">
            <w:r w:rsidRPr="00F06625">
              <w:rPr>
                <w:b/>
                <w:bCs/>
                <w:color w:val="FFFFFF"/>
                <w:sz w:val="18"/>
                <w:szCs w:val="18"/>
              </w:rPr>
              <w:t>Elimination Half-life</w:t>
            </w:r>
          </w:p>
        </w:tc>
        <w:tc>
          <w:tcPr>
            <w:tcW w:w="23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2E5A88"/>
          </w:tcPr>
          <w:p w14:paraId="6207832B" w14:textId="77777777" w:rsidR="00540996" w:rsidRPr="00F06625" w:rsidRDefault="00540996" w:rsidP="00C3799A">
            <w:r w:rsidRPr="00F06625">
              <w:rPr>
                <w:b/>
                <w:bCs/>
                <w:color w:val="FFFFFF"/>
                <w:sz w:val="18"/>
                <w:szCs w:val="18"/>
              </w:rPr>
              <w:t>FDA Approval</w:t>
            </w:r>
          </w:p>
        </w:tc>
        <w:tc>
          <w:tcPr>
            <w:tcW w:w="261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2E5A88"/>
          </w:tcPr>
          <w:p w14:paraId="553FE708" w14:textId="77777777" w:rsidR="00540996" w:rsidRPr="00F06625" w:rsidRDefault="00540996" w:rsidP="00C3799A">
            <w:r w:rsidRPr="00F06625">
              <w:rPr>
                <w:b/>
                <w:bCs/>
                <w:color w:val="FFFFFF"/>
                <w:sz w:val="18"/>
                <w:szCs w:val="18"/>
              </w:rPr>
              <w:t>Clinical Relevance</w:t>
            </w:r>
          </w:p>
        </w:tc>
      </w:tr>
      <w:tr w:rsidR="00540996" w:rsidRPr="00F06625" w14:paraId="6A1DF432" w14:textId="77777777" w:rsidTr="00C3799A">
        <w:tc>
          <w:tcPr>
            <w:tcW w:w="18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79FFB4D9" w14:textId="77777777" w:rsidR="00540996" w:rsidRPr="00F06625" w:rsidRDefault="00540996" w:rsidP="00C3799A">
            <w:r w:rsidRPr="00F06625">
              <w:rPr>
                <w:b/>
                <w:bCs/>
                <w:sz w:val="18"/>
                <w:szCs w:val="18"/>
              </w:rPr>
              <w:t>Medetomidine (racemate)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61C9F446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~1620:1</w:t>
            </w:r>
          </w:p>
        </w:tc>
        <w:tc>
          <w:tcPr>
            <w:tcW w:w="164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1BACFC9F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~200× xylazine</w:t>
            </w:r>
          </w:p>
        </w:tc>
        <w:tc>
          <w:tcPr>
            <w:tcW w:w="165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6641569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Yes (imidazoline class)</w:t>
            </w:r>
          </w:p>
        </w:tc>
        <w:tc>
          <w:tcPr>
            <w:tcW w:w="193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8963915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2–3 h (active enantiomer)</w:t>
            </w:r>
          </w:p>
        </w:tc>
        <w:tc>
          <w:tcPr>
            <w:tcW w:w="23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1618AF9A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Veterinary only</w:t>
            </w:r>
          </w:p>
        </w:tc>
        <w:tc>
          <w:tcPr>
            <w:tcW w:w="261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C1559AC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Dominant emerging fentanyl adulterant; severe withdrawal syndrome</w:t>
            </w:r>
          </w:p>
        </w:tc>
      </w:tr>
      <w:tr w:rsidR="00540996" w:rsidRPr="00F06625" w14:paraId="61EA7606" w14:textId="77777777" w:rsidTr="00C3799A">
        <w:tc>
          <w:tcPr>
            <w:tcW w:w="18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1A2E24C4" w14:textId="77777777" w:rsidR="00540996" w:rsidRPr="00F06625" w:rsidRDefault="00540996" w:rsidP="00C3799A">
            <w:r w:rsidRPr="00F06625">
              <w:rPr>
                <w:b/>
                <w:bCs/>
                <w:sz w:val="18"/>
                <w:szCs w:val="18"/>
              </w:rPr>
              <w:t>Dexmedetomidine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77453DAE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~1620:1</w:t>
            </w:r>
          </w:p>
        </w:tc>
        <w:tc>
          <w:tcPr>
            <w:tcW w:w="164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365C2B2E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~200× xylazine</w:t>
            </w:r>
          </w:p>
        </w:tc>
        <w:tc>
          <w:tcPr>
            <w:tcW w:w="165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08F15E01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Yes</w:t>
            </w:r>
          </w:p>
        </w:tc>
        <w:tc>
          <w:tcPr>
            <w:tcW w:w="193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2EAFFB1F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2–3 h (healthy adults); 2–4 h (critically ill)</w:t>
            </w:r>
          </w:p>
        </w:tc>
        <w:tc>
          <w:tcPr>
            <w:tcW w:w="23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304194ED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ICU sedation; sublingual for agitation in schizophrenia/bipolar</w:t>
            </w:r>
          </w:p>
        </w:tc>
        <w:tc>
          <w:tcPr>
            <w:tcW w:w="261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EFB1892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Pharmacologically active enantiomer of medetomidine; cornerstone of parenteral withdrawal management</w:t>
            </w:r>
          </w:p>
        </w:tc>
      </w:tr>
      <w:tr w:rsidR="00540996" w:rsidRPr="00F06625" w14:paraId="4383F95A" w14:textId="77777777" w:rsidTr="00C3799A">
        <w:tc>
          <w:tcPr>
            <w:tcW w:w="18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7ABEADFA" w14:textId="77777777" w:rsidR="00540996" w:rsidRPr="00F06625" w:rsidRDefault="00540996" w:rsidP="00C3799A">
            <w:r w:rsidRPr="00F06625">
              <w:rPr>
                <w:b/>
                <w:bCs/>
                <w:sz w:val="18"/>
                <w:szCs w:val="18"/>
              </w:rPr>
              <w:t>Xylazine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00253BF2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~160:1</w:t>
            </w:r>
          </w:p>
        </w:tc>
        <w:tc>
          <w:tcPr>
            <w:tcW w:w="164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2F796A96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Reference</w:t>
            </w:r>
          </w:p>
        </w:tc>
        <w:tc>
          <w:tcPr>
            <w:tcW w:w="165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5FFAD4C2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No (thiazine)</w:t>
            </w:r>
          </w:p>
        </w:tc>
        <w:tc>
          <w:tcPr>
            <w:tcW w:w="193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34C0FDA7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~30–50 min</w:t>
            </w:r>
          </w:p>
        </w:tc>
        <w:tc>
          <w:tcPr>
            <w:tcW w:w="23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6ACFCE13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Veterinary only</w:t>
            </w:r>
          </w:p>
        </w:tc>
        <w:tc>
          <w:tcPr>
            <w:tcW w:w="261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121AA03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Prior dominant adulterant; necrotic skin wounds; distinct withdrawal syndrome not clearly established</w:t>
            </w:r>
          </w:p>
        </w:tc>
      </w:tr>
      <w:tr w:rsidR="00540996" w:rsidRPr="00F06625" w14:paraId="6AEF5233" w14:textId="77777777" w:rsidTr="00C3799A">
        <w:tc>
          <w:tcPr>
            <w:tcW w:w="183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3901B761" w14:textId="77777777" w:rsidR="00540996" w:rsidRPr="00F06625" w:rsidRDefault="00540996" w:rsidP="00C3799A">
            <w:r w:rsidRPr="00F06625">
              <w:rPr>
                <w:b/>
                <w:bCs/>
                <w:sz w:val="18"/>
                <w:szCs w:val="18"/>
              </w:rPr>
              <w:t>Clonidine</w:t>
            </w:r>
          </w:p>
        </w:tc>
        <w:tc>
          <w:tcPr>
            <w:tcW w:w="165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11E4DB3C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~220:1</w:t>
            </w:r>
          </w:p>
        </w:tc>
        <w:tc>
          <w:tcPr>
            <w:tcW w:w="164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13BB3BDB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~10× xylazine</w:t>
            </w:r>
          </w:p>
        </w:tc>
        <w:tc>
          <w:tcPr>
            <w:tcW w:w="165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10F3F6BC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Yes</w:t>
            </w:r>
          </w:p>
        </w:tc>
        <w:tc>
          <w:tcPr>
            <w:tcW w:w="193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7A4D4A48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6–24 h</w:t>
            </w:r>
          </w:p>
        </w:tc>
        <w:tc>
          <w:tcPr>
            <w:tcW w:w="23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0227B102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Hypertension; ADHD; off-label opioid withdrawal</w:t>
            </w:r>
          </w:p>
        </w:tc>
        <w:tc>
          <w:tcPr>
            <w:tcW w:w="261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7BE4F26" w14:textId="77777777" w:rsidR="00540996" w:rsidRPr="00F06625" w:rsidRDefault="00540996" w:rsidP="00C3799A">
            <w:r w:rsidRPr="00F06625">
              <w:rPr>
                <w:sz w:val="18"/>
                <w:szCs w:val="18"/>
              </w:rPr>
              <w:t>Mainstay oral therapy; biphasic overdose pattern (hypertensive then hypotensive)</w:t>
            </w:r>
          </w:p>
        </w:tc>
      </w:tr>
    </w:tbl>
    <w:p w14:paraId="5AC9F85F" w14:textId="7A3166DC" w:rsidR="00313713" w:rsidRPr="00540996" w:rsidRDefault="00540996" w:rsidP="00540996">
      <w:r w:rsidRPr="00F06625">
        <w:rPr>
          <w:b/>
          <w:bCs/>
          <w:i/>
          <w:iCs/>
          <w:color w:val="555555"/>
          <w:sz w:val="18"/>
          <w:szCs w:val="18"/>
        </w:rPr>
        <w:t xml:space="preserve">Selectivity ratios derived from receptor binding studies; potency comparisons are approximate and </w:t>
      </w:r>
      <w:proofErr w:type="gramStart"/>
      <w:r w:rsidRPr="00F06625">
        <w:rPr>
          <w:b/>
          <w:bCs/>
          <w:i/>
          <w:iCs/>
          <w:color w:val="555555"/>
          <w:sz w:val="18"/>
          <w:szCs w:val="18"/>
        </w:rPr>
        <w:t>dose-dependent</w:t>
      </w:r>
      <w:proofErr w:type="gramEnd"/>
      <w:r w:rsidRPr="00F06625">
        <w:rPr>
          <w:b/>
          <w:bCs/>
          <w:i/>
          <w:iCs/>
          <w:color w:val="555555"/>
          <w:sz w:val="18"/>
          <w:szCs w:val="18"/>
        </w:rPr>
        <w:t>. Half-lives reflect typical adult values; clinical effects may persist beyond pharmacokinetic estimates in critical illness or polypharmacy. I1, imidazoline-1 receptor</w:t>
      </w:r>
    </w:p>
    <w:sectPr w:rsidR="00313713" w:rsidRPr="00540996">
      <w:pgSz w:w="15840" w:h="12240" w:orient="landscape"/>
      <w:pgMar w:top="1080" w:right="1080" w:bottom="1080" w:left="10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13"/>
    <w:rsid w:val="00067F2B"/>
    <w:rsid w:val="000744FB"/>
    <w:rsid w:val="000F0FFB"/>
    <w:rsid w:val="00153F12"/>
    <w:rsid w:val="00184638"/>
    <w:rsid w:val="001D6BAF"/>
    <w:rsid w:val="00301A5D"/>
    <w:rsid w:val="00313713"/>
    <w:rsid w:val="00540996"/>
    <w:rsid w:val="00713E73"/>
    <w:rsid w:val="008F0650"/>
    <w:rsid w:val="009D1024"/>
    <w:rsid w:val="00B079DE"/>
    <w:rsid w:val="00CC7867"/>
    <w:rsid w:val="00E87F00"/>
    <w:rsid w:val="00EA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9F7BB"/>
  <w15:docId w15:val="{19B7932F-0C03-4284-8A70-B1FD21F8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F3864"/>
      <w:sz w:val="28"/>
      <w:szCs w:val="2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C22D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C22D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C22D9"/>
    <w:rPr>
      <w:b/>
      <w:bCs/>
      <w:sz w:val="20"/>
      <w:szCs w:val="20"/>
    </w:rPr>
  </w:style>
  <w:style w:type="character" w:styleId="LineNumber">
    <w:name w:val="line number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2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9C22D9"/>
    <w:rPr>
      <w:b/>
      <w:bCs/>
    </w:rPr>
  </w:style>
  <w:style w:type="paragraph" w:styleId="Revision">
    <w:name w:val="Revision"/>
    <w:uiPriority w:val="99"/>
    <w:semiHidden/>
    <w:qFormat/>
    <w:rsid w:val="00E24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43115E-5C36-A84B-B191-ECC3E8FB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Kory London</cp:lastModifiedBy>
  <cp:revision>3</cp:revision>
  <dcterms:created xsi:type="dcterms:W3CDTF">2026-08-13T19:16:00Z</dcterms:created>
  <dcterms:modified xsi:type="dcterms:W3CDTF">2026-08-13T19:16:00Z</dcterms:modified>
  <dc:language>en-US</dc:language>
</cp:coreProperties>
</file>