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8B6E8" w14:textId="77777777" w:rsidR="0019762E" w:rsidRDefault="0019762E" w:rsidP="0019762E">
      <w:pPr>
        <w:spacing w:before="240"/>
      </w:pPr>
      <w:r>
        <w:rPr>
          <w:b/>
          <w:sz w:val="28"/>
        </w:rPr>
        <w:t>Appendix A: Reproducibility</w:t>
      </w:r>
    </w:p>
    <w:p w14:paraId="0E8D8D98" w14:textId="77777777" w:rsidR="0019762E" w:rsidRDefault="0019762E" w:rsidP="0019762E">
      <w:r>
        <w:t>Both source tables are published by Eurostat, are freely available and require neither an account nor a licence, so the analysis can be repeated from the original source by anyone. The derived data behind every reported figure are supplied with this article as Online Resources 1 to 4, listed in Table 5.</w:t>
      </w:r>
    </w:p>
    <w:p w14:paraId="677DB33E" w14:textId="77777777" w:rsidR="0019762E" w:rsidRDefault="0019762E" w:rsidP="0019762E">
      <w:pPr>
        <w:spacing w:after="200" w:line="240" w:lineRule="auto"/>
      </w:pPr>
      <w:r>
        <w:rPr>
          <w:b/>
          <w:sz w:val="20"/>
        </w:rPr>
        <w:t>Table 5</w:t>
      </w:r>
      <w:r>
        <w:rPr>
          <w:sz w:val="20"/>
        </w:rPr>
        <w:t xml:space="preserve"> Derived data supplied with this article. Together these files reproduce every number in the tables and figures. Variable definitions, provenance and the two method notes below are given in the codebook</w:t>
      </w:r>
    </w:p>
    <w:tbl>
      <w:tblPr>
        <w:tblStyle w:val="PlainTable2"/>
        <w:tblW w:w="0" w:type="auto"/>
        <w:tblLook w:val="04A0" w:firstRow="1" w:lastRow="0" w:firstColumn="1" w:lastColumn="0" w:noHBand="0" w:noVBand="1"/>
      </w:tblPr>
      <w:tblGrid>
        <w:gridCol w:w="4819"/>
        <w:gridCol w:w="4819"/>
      </w:tblGrid>
      <w:tr w:rsidR="0019762E" w14:paraId="6FF0ECDC" w14:textId="77777777" w:rsidTr="00B549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5C52461C" w14:textId="77777777" w:rsidR="0019762E" w:rsidRDefault="0019762E" w:rsidP="00B5495D">
            <w:pPr>
              <w:spacing w:after="40" w:line="240" w:lineRule="auto"/>
            </w:pPr>
            <w:r>
              <w:rPr>
                <w:sz w:val="18"/>
              </w:rPr>
              <w:t>File</w:t>
            </w:r>
          </w:p>
        </w:tc>
        <w:tc>
          <w:tcPr>
            <w:tcW w:w="4819" w:type="dxa"/>
          </w:tcPr>
          <w:p w14:paraId="5B589249" w14:textId="77777777" w:rsidR="0019762E" w:rsidRDefault="0019762E" w:rsidP="00B5495D">
            <w:pPr>
              <w:spacing w:after="40" w:line="240" w:lineRule="auto"/>
              <w:cnfStyle w:val="100000000000" w:firstRow="1" w:lastRow="0" w:firstColumn="0" w:lastColumn="0" w:oddVBand="0" w:evenVBand="0" w:oddHBand="0" w:evenHBand="0" w:firstRowFirstColumn="0" w:firstRowLastColumn="0" w:lastRowFirstColumn="0" w:lastRowLastColumn="0"/>
            </w:pPr>
            <w:r>
              <w:rPr>
                <w:sz w:val="18"/>
              </w:rPr>
              <w:t>Contents</w:t>
            </w:r>
          </w:p>
        </w:tc>
      </w:tr>
      <w:tr w:rsidR="0019762E" w14:paraId="3A1A9393" w14:textId="77777777" w:rsidTr="00B54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08BB94CF" w14:textId="77777777" w:rsidR="0019762E" w:rsidRDefault="0019762E" w:rsidP="00B5495D">
            <w:pPr>
              <w:spacing w:after="40" w:line="240" w:lineRule="auto"/>
            </w:pPr>
            <w:r>
              <w:rPr>
                <w:sz w:val="18"/>
              </w:rPr>
              <w:t>Online Resource 1</w:t>
            </w:r>
          </w:p>
        </w:tc>
        <w:tc>
          <w:tcPr>
            <w:tcW w:w="4819" w:type="dxa"/>
          </w:tcPr>
          <w:p w14:paraId="1F48776F"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The analysis dataset: 960 paired cells, one row per country and population subgroup, carrying all seven internet categories and all five AI categories</w:t>
            </w:r>
          </w:p>
        </w:tc>
      </w:tr>
      <w:tr w:rsidR="0019762E" w14:paraId="28D0CF1C" w14:textId="77777777" w:rsidTr="00B5495D">
        <w:tc>
          <w:tcPr>
            <w:cnfStyle w:val="001000000000" w:firstRow="0" w:lastRow="0" w:firstColumn="1" w:lastColumn="0" w:oddVBand="0" w:evenVBand="0" w:oddHBand="0" w:evenHBand="0" w:firstRowFirstColumn="0" w:firstRowLastColumn="0" w:lastRowFirstColumn="0" w:lastRowLastColumn="0"/>
            <w:tcW w:w="4819" w:type="dxa"/>
          </w:tcPr>
          <w:p w14:paraId="289C355C" w14:textId="77777777" w:rsidR="0019762E" w:rsidRDefault="0019762E" w:rsidP="00B5495D">
            <w:pPr>
              <w:spacing w:after="40" w:line="240" w:lineRule="auto"/>
            </w:pPr>
            <w:r>
              <w:rPr>
                <w:sz w:val="18"/>
              </w:rPr>
              <w:t>Online Resource 2</w:t>
            </w:r>
          </w:p>
        </w:tc>
        <w:tc>
          <w:tcPr>
            <w:tcW w:w="4819" w:type="dxa"/>
          </w:tcPr>
          <w:p w14:paraId="0BB7E4CA"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Country-level results, the source of Table 4 and Figures 1, 3 and 4</w:t>
            </w:r>
          </w:p>
        </w:tc>
      </w:tr>
      <w:tr w:rsidR="0019762E" w14:paraId="4E92820E" w14:textId="77777777" w:rsidTr="00B54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6DA621B6" w14:textId="77777777" w:rsidR="0019762E" w:rsidRDefault="0019762E" w:rsidP="00B5495D">
            <w:pPr>
              <w:spacing w:after="40" w:line="240" w:lineRule="auto"/>
            </w:pPr>
            <w:r>
              <w:rPr>
                <w:sz w:val="18"/>
              </w:rPr>
              <w:t>Online Resource 3</w:t>
            </w:r>
          </w:p>
        </w:tc>
        <w:tc>
          <w:tcPr>
            <w:tcW w:w="4819" w:type="dxa"/>
          </w:tcPr>
          <w:p w14:paraId="19683A55"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Subgroup results with confidence intervals and sign tests, the source of Table 3 and Figure 2</w:t>
            </w:r>
          </w:p>
        </w:tc>
      </w:tr>
      <w:tr w:rsidR="0019762E" w14:paraId="7CB09E90" w14:textId="77777777" w:rsidTr="00B5495D">
        <w:tc>
          <w:tcPr>
            <w:cnfStyle w:val="001000000000" w:firstRow="0" w:lastRow="0" w:firstColumn="1" w:lastColumn="0" w:oddVBand="0" w:evenVBand="0" w:oddHBand="0" w:evenHBand="0" w:firstRowFirstColumn="0" w:firstRowLastColumn="0" w:lastRowFirstColumn="0" w:lastRowLastColumn="0"/>
            <w:tcW w:w="4819" w:type="dxa"/>
          </w:tcPr>
          <w:p w14:paraId="65942F3F" w14:textId="77777777" w:rsidR="0019762E" w:rsidRDefault="0019762E" w:rsidP="00B5495D">
            <w:pPr>
              <w:spacing w:after="40" w:line="240" w:lineRule="auto"/>
            </w:pPr>
            <w:r>
              <w:rPr>
                <w:sz w:val="18"/>
              </w:rPr>
              <w:t>Online Resource 4</w:t>
            </w:r>
          </w:p>
        </w:tc>
        <w:tc>
          <w:tcPr>
            <w:tcW w:w="4819" w:type="dxa"/>
          </w:tcPr>
          <w:p w14:paraId="00E56DC4"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Codebook: variable definitions, category codes and labels as published by Eurostat, provenance, and the sample funnel of Table 2</w:t>
            </w:r>
          </w:p>
        </w:tc>
      </w:tr>
    </w:tbl>
    <w:p w14:paraId="1EBFFA85" w14:textId="77777777" w:rsidR="0019762E" w:rsidRDefault="0019762E" w:rsidP="0019762E"/>
    <w:p w14:paraId="45FA773D" w14:textId="77777777" w:rsidR="0019762E" w:rsidRDefault="0019762E" w:rsidP="0019762E">
      <w:r>
        <w:t>Two points of arithmetic bear on any attempt to reproduce these figures. First, Eurostat publishes these shares to two decimal places, which is exact in decimal but not representable in binary floating point: a value of 3.55 is held as 3.5499999999999998, and rounding it in floating point sends it down rather than up. All arithmetic here is therefore carried out in exact decimal, and each reported figure is rounded once, half away from zero. Second, the interval estimates are percentile bootstrap intervals over 10,000 replicates resampling countries, seeded so that they are reproducible; because such intervals depend on the order in which random draws are consumed, a different implementation with the same seed may differ in the final digit. Sign tests are exact rather than normal approximations, and no third-party statistical library is used, so no result depends on a package version</w:t>
      </w:r>
    </w:p>
    <w:p w14:paraId="34BD3E78" w14:textId="77777777" w:rsidR="0019762E" w:rsidRDefault="0019762E" w:rsidP="0019762E">
      <w:pPr>
        <w:spacing w:before="240"/>
        <w:rPr>
          <w:b/>
          <w:sz w:val="28"/>
        </w:rPr>
      </w:pPr>
    </w:p>
    <w:p w14:paraId="5B125D3B" w14:textId="77777777" w:rsidR="0019762E" w:rsidRDefault="0019762E" w:rsidP="0019762E">
      <w:pPr>
        <w:spacing w:before="240"/>
        <w:rPr>
          <w:b/>
          <w:sz w:val="28"/>
        </w:rPr>
      </w:pPr>
    </w:p>
    <w:p w14:paraId="6A8F7FE4" w14:textId="77777777" w:rsidR="0019762E" w:rsidRDefault="0019762E" w:rsidP="0019762E">
      <w:pPr>
        <w:spacing w:before="240"/>
        <w:rPr>
          <w:b/>
          <w:sz w:val="28"/>
        </w:rPr>
      </w:pPr>
    </w:p>
    <w:p w14:paraId="1E2A3768" w14:textId="77777777" w:rsidR="0019762E" w:rsidRDefault="0019762E" w:rsidP="0019762E">
      <w:pPr>
        <w:spacing w:before="240"/>
        <w:rPr>
          <w:b/>
          <w:sz w:val="28"/>
        </w:rPr>
      </w:pPr>
    </w:p>
    <w:p w14:paraId="549C41A2" w14:textId="77777777" w:rsidR="0019762E" w:rsidRDefault="0019762E" w:rsidP="0019762E">
      <w:pPr>
        <w:spacing w:before="240"/>
        <w:rPr>
          <w:b/>
          <w:sz w:val="28"/>
        </w:rPr>
      </w:pPr>
    </w:p>
    <w:p w14:paraId="098ECE2E" w14:textId="77777777" w:rsidR="0019762E" w:rsidRDefault="0019762E" w:rsidP="0019762E">
      <w:pPr>
        <w:spacing w:before="240"/>
        <w:rPr>
          <w:b/>
          <w:sz w:val="28"/>
        </w:rPr>
      </w:pPr>
    </w:p>
    <w:p w14:paraId="46886485" w14:textId="77777777" w:rsidR="0019762E" w:rsidRDefault="0019762E" w:rsidP="0019762E">
      <w:pPr>
        <w:spacing w:before="240"/>
      </w:pPr>
      <w:r>
        <w:rPr>
          <w:b/>
          <w:sz w:val="28"/>
        </w:rPr>
        <w:t>Appendix B: Pre-specified hypotheses and outcomes</w:t>
      </w:r>
    </w:p>
    <w:p w14:paraId="798529CA" w14:textId="77777777" w:rsidR="0019762E" w:rsidRDefault="0019762E" w:rsidP="0019762E">
      <w:pPr>
        <w:spacing w:after="200" w:line="240" w:lineRule="auto"/>
      </w:pPr>
      <w:r>
        <w:rPr>
          <w:b/>
          <w:sz w:val="20"/>
        </w:rPr>
        <w:t>Table 6</w:t>
      </w:r>
      <w:r>
        <w:rPr>
          <w:sz w:val="20"/>
        </w:rPr>
        <w:t xml:space="preserve"> Pre-specified predictions and their outcomes. The predictions were fixed before the analysis was run, together with a withdrawal condition specifying that the interpretive claim would be abandoned if H5 failed. They are recorded as a dated declaration in the deposited archive; they were not lodged with a public registry, so this is a pre-specification internal to the project rather than a pre-registration. Two predictions were not supported and are reported in Sect. 6.5 rather than omitted</w:t>
      </w:r>
    </w:p>
    <w:tbl>
      <w:tblPr>
        <w:tblStyle w:val="PlainTable2"/>
        <w:tblW w:w="0" w:type="auto"/>
        <w:tblLook w:val="04A0" w:firstRow="1" w:lastRow="0" w:firstColumn="1" w:lastColumn="0" w:noHBand="0" w:noVBand="1"/>
      </w:tblPr>
      <w:tblGrid>
        <w:gridCol w:w="3212"/>
        <w:gridCol w:w="3213"/>
        <w:gridCol w:w="3213"/>
      </w:tblGrid>
      <w:tr w:rsidR="0019762E" w14:paraId="73AD8082" w14:textId="77777777" w:rsidTr="00B549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3" w:type="dxa"/>
          </w:tcPr>
          <w:p w14:paraId="04A124AB" w14:textId="77777777" w:rsidR="0019762E" w:rsidRDefault="0019762E" w:rsidP="00B5495D">
            <w:pPr>
              <w:spacing w:after="40" w:line="240" w:lineRule="auto"/>
            </w:pPr>
            <w:r>
              <w:rPr>
                <w:sz w:val="18"/>
              </w:rPr>
              <w:t>ID</w:t>
            </w:r>
          </w:p>
        </w:tc>
        <w:tc>
          <w:tcPr>
            <w:tcW w:w="3213" w:type="dxa"/>
          </w:tcPr>
          <w:p w14:paraId="35087862" w14:textId="77777777" w:rsidR="0019762E" w:rsidRDefault="0019762E" w:rsidP="00B5495D">
            <w:pPr>
              <w:spacing w:after="40" w:line="240" w:lineRule="auto"/>
              <w:cnfStyle w:val="100000000000" w:firstRow="1" w:lastRow="0" w:firstColumn="0" w:lastColumn="0" w:oddVBand="0" w:evenVBand="0" w:oddHBand="0" w:evenHBand="0" w:firstRowFirstColumn="0" w:firstRowLastColumn="0" w:lastRowFirstColumn="0" w:lastRowLastColumn="0"/>
            </w:pPr>
            <w:r>
              <w:rPr>
                <w:sz w:val="18"/>
              </w:rPr>
              <w:t>Prediction</w:t>
            </w:r>
          </w:p>
        </w:tc>
        <w:tc>
          <w:tcPr>
            <w:tcW w:w="3213" w:type="dxa"/>
          </w:tcPr>
          <w:p w14:paraId="20FF0D49" w14:textId="77777777" w:rsidR="0019762E" w:rsidRDefault="0019762E" w:rsidP="00B5495D">
            <w:pPr>
              <w:spacing w:after="40" w:line="240" w:lineRule="auto"/>
              <w:cnfStyle w:val="100000000000" w:firstRow="1" w:lastRow="0" w:firstColumn="0" w:lastColumn="0" w:oddVBand="0" w:evenVBand="0" w:oddHBand="0" w:evenHBand="0" w:firstRowFirstColumn="0" w:firstRowLastColumn="0" w:lastRowFirstColumn="0" w:lastRowLastColumn="0"/>
            </w:pPr>
            <w:r>
              <w:rPr>
                <w:sz w:val="18"/>
              </w:rPr>
              <w:t>Outcome</w:t>
            </w:r>
          </w:p>
        </w:tc>
      </w:tr>
      <w:tr w:rsidR="0019762E" w14:paraId="1E7698CA" w14:textId="77777777" w:rsidTr="00B54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3" w:type="dxa"/>
          </w:tcPr>
          <w:p w14:paraId="6227F702" w14:textId="77777777" w:rsidR="0019762E" w:rsidRDefault="0019762E" w:rsidP="00B5495D">
            <w:pPr>
              <w:spacing w:after="40" w:line="240" w:lineRule="auto"/>
            </w:pPr>
            <w:r>
              <w:rPr>
                <w:sz w:val="18"/>
              </w:rPr>
              <w:t>H1</w:t>
            </w:r>
          </w:p>
        </w:tc>
        <w:tc>
          <w:tcPr>
            <w:tcW w:w="3213" w:type="dxa"/>
          </w:tcPr>
          <w:p w14:paraId="323BE444"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No-AI-counterpart reason-space is substantial</w:t>
            </w:r>
          </w:p>
        </w:tc>
        <w:tc>
          <w:tcPr>
            <w:tcW w:w="3213" w:type="dxa"/>
          </w:tcPr>
          <w:p w14:paraId="3EB0C4B1"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Supported</w:t>
            </w:r>
          </w:p>
        </w:tc>
      </w:tr>
      <w:tr w:rsidR="0019762E" w14:paraId="4631E4F7" w14:textId="77777777" w:rsidTr="00B5495D">
        <w:tc>
          <w:tcPr>
            <w:cnfStyle w:val="001000000000" w:firstRow="0" w:lastRow="0" w:firstColumn="1" w:lastColumn="0" w:oddVBand="0" w:evenVBand="0" w:oddHBand="0" w:evenHBand="0" w:firstRowFirstColumn="0" w:firstRowLastColumn="0" w:lastRowFirstColumn="0" w:lastRowLastColumn="0"/>
            <w:tcW w:w="3213" w:type="dxa"/>
          </w:tcPr>
          <w:p w14:paraId="46D032BB" w14:textId="77777777" w:rsidR="0019762E" w:rsidRDefault="0019762E" w:rsidP="00B5495D">
            <w:pPr>
              <w:spacing w:after="40" w:line="240" w:lineRule="auto"/>
            </w:pPr>
            <w:r>
              <w:rPr>
                <w:sz w:val="18"/>
              </w:rPr>
              <w:t>H2</w:t>
            </w:r>
          </w:p>
        </w:tc>
        <w:tc>
          <w:tcPr>
            <w:tcW w:w="3213" w:type="dxa"/>
          </w:tcPr>
          <w:p w14:paraId="3C37165C"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AI residual too small to absorb it</w:t>
            </w:r>
          </w:p>
        </w:tc>
        <w:tc>
          <w:tcPr>
            <w:tcW w:w="3213" w:type="dxa"/>
          </w:tcPr>
          <w:p w14:paraId="2861ACE0"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Supported</w:t>
            </w:r>
          </w:p>
        </w:tc>
      </w:tr>
      <w:tr w:rsidR="0019762E" w14:paraId="66A00D9B" w14:textId="77777777" w:rsidTr="00B54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3" w:type="dxa"/>
          </w:tcPr>
          <w:p w14:paraId="0329BE89" w14:textId="77777777" w:rsidR="0019762E" w:rsidRDefault="0019762E" w:rsidP="00B5495D">
            <w:pPr>
              <w:spacing w:after="40" w:line="240" w:lineRule="auto"/>
            </w:pPr>
            <w:r>
              <w:rPr>
                <w:sz w:val="18"/>
              </w:rPr>
              <w:t>H3</w:t>
            </w:r>
          </w:p>
        </w:tc>
        <w:tc>
          <w:tcPr>
            <w:tcW w:w="3213" w:type="dxa"/>
          </w:tcPr>
          <w:p w14:paraId="737F4956"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AI "no need" exceeds internet "no need"</w:t>
            </w:r>
          </w:p>
        </w:tc>
        <w:tc>
          <w:tcPr>
            <w:tcW w:w="3213" w:type="dxa"/>
          </w:tcPr>
          <w:p w14:paraId="752D5197"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b/>
                <w:sz w:val="18"/>
              </w:rPr>
              <w:t>Not supported</w:t>
            </w:r>
          </w:p>
        </w:tc>
      </w:tr>
      <w:tr w:rsidR="0019762E" w14:paraId="5B8F15EE" w14:textId="77777777" w:rsidTr="00B5495D">
        <w:tc>
          <w:tcPr>
            <w:cnfStyle w:val="001000000000" w:firstRow="0" w:lastRow="0" w:firstColumn="1" w:lastColumn="0" w:oddVBand="0" w:evenVBand="0" w:oddHBand="0" w:evenHBand="0" w:firstRowFirstColumn="0" w:firstRowLastColumn="0" w:lastRowFirstColumn="0" w:lastRowLastColumn="0"/>
            <w:tcW w:w="3213" w:type="dxa"/>
          </w:tcPr>
          <w:p w14:paraId="2536E7F9" w14:textId="77777777" w:rsidR="0019762E" w:rsidRDefault="0019762E" w:rsidP="00B5495D">
            <w:pPr>
              <w:spacing w:after="40" w:line="240" w:lineRule="auto"/>
            </w:pPr>
            <w:r>
              <w:rPr>
                <w:sz w:val="18"/>
              </w:rPr>
              <w:t>H4</w:t>
            </w:r>
          </w:p>
        </w:tc>
        <w:tc>
          <w:tcPr>
            <w:tcW w:w="3213" w:type="dxa"/>
          </w:tcPr>
          <w:p w14:paraId="466E0E2E"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Opposition predicts residual size across countries</w:t>
            </w:r>
          </w:p>
        </w:tc>
        <w:tc>
          <w:tcPr>
            <w:tcW w:w="3213" w:type="dxa"/>
          </w:tcPr>
          <w:p w14:paraId="0722C292"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b/>
                <w:sz w:val="18"/>
              </w:rPr>
              <w:t>Failed; single-country artefact</w:t>
            </w:r>
          </w:p>
        </w:tc>
      </w:tr>
      <w:tr w:rsidR="0019762E" w14:paraId="71A98DFE" w14:textId="77777777" w:rsidTr="00B54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3" w:type="dxa"/>
          </w:tcPr>
          <w:p w14:paraId="1B4942D3" w14:textId="77777777" w:rsidR="0019762E" w:rsidRDefault="0019762E" w:rsidP="00B5495D">
            <w:pPr>
              <w:spacing w:after="40" w:line="240" w:lineRule="auto"/>
            </w:pPr>
            <w:r>
              <w:rPr>
                <w:sz w:val="18"/>
              </w:rPr>
              <w:t>H5</w:t>
            </w:r>
          </w:p>
        </w:tc>
        <w:tc>
          <w:tcPr>
            <w:tcW w:w="3213" w:type="dxa"/>
          </w:tcPr>
          <w:p w14:paraId="649559B0"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Gap persists in matched strata (decisive)</w:t>
            </w:r>
          </w:p>
        </w:tc>
        <w:tc>
          <w:tcPr>
            <w:tcW w:w="3213" w:type="dxa"/>
          </w:tcPr>
          <w:p w14:paraId="509EA840" w14:textId="77777777" w:rsidR="0019762E" w:rsidRDefault="0019762E" w:rsidP="00B5495D">
            <w:pPr>
              <w:spacing w:after="40" w:line="240" w:lineRule="auto"/>
              <w:cnfStyle w:val="000000100000" w:firstRow="0" w:lastRow="0" w:firstColumn="0" w:lastColumn="0" w:oddVBand="0" w:evenVBand="0" w:oddHBand="1" w:evenHBand="0" w:firstRowFirstColumn="0" w:firstRowLastColumn="0" w:lastRowFirstColumn="0" w:lastRowLastColumn="0"/>
            </w:pPr>
            <w:r>
              <w:rPr>
                <w:sz w:val="18"/>
              </w:rPr>
              <w:t>Supported, 5 of 5</w:t>
            </w:r>
          </w:p>
        </w:tc>
      </w:tr>
      <w:tr w:rsidR="0019762E" w14:paraId="19598D51" w14:textId="77777777" w:rsidTr="00B5495D">
        <w:tc>
          <w:tcPr>
            <w:cnfStyle w:val="001000000000" w:firstRow="0" w:lastRow="0" w:firstColumn="1" w:lastColumn="0" w:oddVBand="0" w:evenVBand="0" w:oddHBand="0" w:evenHBand="0" w:firstRowFirstColumn="0" w:firstRowLastColumn="0" w:lastRowFirstColumn="0" w:lastRowLastColumn="0"/>
            <w:tcW w:w="3213" w:type="dxa"/>
          </w:tcPr>
          <w:p w14:paraId="10B934F3" w14:textId="77777777" w:rsidR="0019762E" w:rsidRDefault="0019762E" w:rsidP="00B5495D">
            <w:pPr>
              <w:spacing w:after="40" w:line="240" w:lineRule="auto"/>
            </w:pPr>
            <w:r>
              <w:rPr>
                <w:sz w:val="18"/>
              </w:rPr>
              <w:t>R3</w:t>
            </w:r>
          </w:p>
        </w:tc>
        <w:tc>
          <w:tcPr>
            <w:tcW w:w="3213" w:type="dxa"/>
          </w:tcPr>
          <w:p w14:paraId="2C310281"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Gap survives modal-reason rescaling</w:t>
            </w:r>
          </w:p>
        </w:tc>
        <w:tc>
          <w:tcPr>
            <w:tcW w:w="3213" w:type="dxa"/>
          </w:tcPr>
          <w:p w14:paraId="6F39D97D" w14:textId="77777777" w:rsidR="0019762E" w:rsidRDefault="0019762E" w:rsidP="00B5495D">
            <w:pPr>
              <w:spacing w:after="40" w:line="240" w:lineRule="auto"/>
              <w:cnfStyle w:val="000000000000" w:firstRow="0" w:lastRow="0" w:firstColumn="0" w:lastColumn="0" w:oddVBand="0" w:evenVBand="0" w:oddHBand="0" w:evenHBand="0" w:firstRowFirstColumn="0" w:firstRowLastColumn="0" w:lastRowFirstColumn="0" w:lastRowLastColumn="0"/>
            </w:pPr>
            <w:r>
              <w:rPr>
                <w:sz w:val="18"/>
              </w:rPr>
              <w:t>Survives at about two-thirds size</w:t>
            </w:r>
          </w:p>
        </w:tc>
      </w:tr>
    </w:tbl>
    <w:p w14:paraId="1B8F2E7A" w14:textId="77777777" w:rsidR="0019762E" w:rsidRPr="000427E9" w:rsidRDefault="0019762E" w:rsidP="0019762E">
      <w:pPr>
        <w:rPr>
          <w:i/>
          <w:iCs/>
        </w:rPr>
      </w:pPr>
      <w:r w:rsidRPr="000427E9">
        <w:rPr>
          <w:i/>
          <w:iCs/>
        </w:rPr>
        <w:t>The withdrawal condition attached to H5 was pre-committed and was not triggered</w:t>
      </w:r>
    </w:p>
    <w:p w14:paraId="03C905B1" w14:textId="77777777" w:rsidR="008B07A6" w:rsidRDefault="008B07A6"/>
    <w:sectPr w:rsidR="008B07A6" w:rsidSect="0019762E">
      <w:footerReference w:type="default" r:id="rId4"/>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ADD3" w14:textId="77777777" w:rsidR="0019762E" w:rsidRDefault="0019762E">
    <w:pPr>
      <w:pStyle w:val="Footer"/>
      <w:jc w:val="center"/>
    </w:pPr>
    <w:r>
      <w:rPr>
        <w:sz w:val="20"/>
      </w:rPr>
      <w:fldChar w:fldCharType="begin"/>
    </w:r>
    <w:r>
      <w:rPr>
        <w:sz w:val="20"/>
      </w:rPr>
      <w:instrText>PAGE</w:instrText>
    </w:r>
    <w:r>
      <w:rPr>
        <w:sz w:val="20"/>
      </w:rPr>
      <w:fldChar w:fldCharType="separate"/>
    </w:r>
    <w:r>
      <w:rPr>
        <w:noProof/>
        <w:sz w:val="20"/>
      </w:rPr>
      <w:t>1</w:t>
    </w:r>
    <w:r>
      <w:rPr>
        <w:sz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2E"/>
    <w:rsid w:val="00066677"/>
    <w:rsid w:val="00153A17"/>
    <w:rsid w:val="0019762E"/>
    <w:rsid w:val="001A37F3"/>
    <w:rsid w:val="001E472F"/>
    <w:rsid w:val="003A4E89"/>
    <w:rsid w:val="00556784"/>
    <w:rsid w:val="008B07A6"/>
    <w:rsid w:val="0097029A"/>
    <w:rsid w:val="00987B63"/>
    <w:rsid w:val="00990454"/>
    <w:rsid w:val="00A234E6"/>
    <w:rsid w:val="00BF13F9"/>
    <w:rsid w:val="00CE738E"/>
    <w:rsid w:val="00D31E7D"/>
    <w:rsid w:val="00F5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D958"/>
  <w15:chartTrackingRefBased/>
  <w15:docId w15:val="{AE4B7C50-96CE-48CE-B67E-7B694B11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62E"/>
    <w:pPr>
      <w:spacing w:after="120" w:line="360" w:lineRule="auto"/>
    </w:pPr>
    <w:rPr>
      <w:rFonts w:ascii="Times New Roman" w:eastAsiaTheme="minorEastAsia" w:hAnsi="Times New Roman"/>
      <w:kern w:val="0"/>
      <w:szCs w:val="22"/>
      <w14:ligatures w14:val="none"/>
    </w:rPr>
  </w:style>
  <w:style w:type="paragraph" w:styleId="Heading1">
    <w:name w:val="heading 1"/>
    <w:basedOn w:val="Normal"/>
    <w:next w:val="Normal"/>
    <w:link w:val="Heading1Char"/>
    <w:uiPriority w:val="9"/>
    <w:qFormat/>
    <w:rsid w:val="001976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976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976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9762E"/>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9762E"/>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9762E"/>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9762E"/>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9762E"/>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9762E"/>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6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6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62E"/>
    <w:rPr>
      <w:rFonts w:eastAsiaTheme="majorEastAsia" w:cstheme="majorBidi"/>
      <w:color w:val="272727" w:themeColor="text1" w:themeTint="D8"/>
    </w:rPr>
  </w:style>
  <w:style w:type="paragraph" w:styleId="Title">
    <w:name w:val="Title"/>
    <w:basedOn w:val="Normal"/>
    <w:next w:val="Normal"/>
    <w:link w:val="TitleChar"/>
    <w:uiPriority w:val="10"/>
    <w:qFormat/>
    <w:rsid w:val="001976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976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6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97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62E"/>
    <w:pPr>
      <w:spacing w:before="160" w:after="160" w:line="278" w:lineRule="auto"/>
      <w:jc w:val="center"/>
    </w:pPr>
    <w:rPr>
      <w:rFonts w:asciiTheme="minorHAnsi" w:eastAsia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9762E"/>
    <w:rPr>
      <w:i/>
      <w:iCs/>
      <w:color w:val="404040" w:themeColor="text1" w:themeTint="BF"/>
    </w:rPr>
  </w:style>
  <w:style w:type="paragraph" w:styleId="ListParagraph">
    <w:name w:val="List Paragraph"/>
    <w:basedOn w:val="Normal"/>
    <w:uiPriority w:val="34"/>
    <w:qFormat/>
    <w:rsid w:val="0019762E"/>
    <w:pPr>
      <w:spacing w:after="160" w:line="278" w:lineRule="auto"/>
      <w:ind w:left="720"/>
      <w:contextualSpacing/>
    </w:pPr>
    <w:rPr>
      <w:rFonts w:asciiTheme="minorHAnsi" w:eastAsiaTheme="minorHAnsi" w:hAnsiTheme="minorHAnsi"/>
      <w:kern w:val="2"/>
      <w:szCs w:val="24"/>
      <w14:ligatures w14:val="standardContextual"/>
    </w:rPr>
  </w:style>
  <w:style w:type="character" w:styleId="IntenseEmphasis">
    <w:name w:val="Intense Emphasis"/>
    <w:basedOn w:val="DefaultParagraphFont"/>
    <w:uiPriority w:val="21"/>
    <w:qFormat/>
    <w:rsid w:val="0019762E"/>
    <w:rPr>
      <w:i/>
      <w:iCs/>
      <w:color w:val="0F4761" w:themeColor="accent1" w:themeShade="BF"/>
    </w:rPr>
  </w:style>
  <w:style w:type="paragraph" w:styleId="IntenseQuote">
    <w:name w:val="Intense Quote"/>
    <w:basedOn w:val="Normal"/>
    <w:next w:val="Normal"/>
    <w:link w:val="IntenseQuoteChar"/>
    <w:uiPriority w:val="30"/>
    <w:qFormat/>
    <w:rsid w:val="001976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9762E"/>
    <w:rPr>
      <w:i/>
      <w:iCs/>
      <w:color w:val="0F4761" w:themeColor="accent1" w:themeShade="BF"/>
    </w:rPr>
  </w:style>
  <w:style w:type="character" w:styleId="IntenseReference">
    <w:name w:val="Intense Reference"/>
    <w:basedOn w:val="DefaultParagraphFont"/>
    <w:uiPriority w:val="32"/>
    <w:qFormat/>
    <w:rsid w:val="0019762E"/>
    <w:rPr>
      <w:b/>
      <w:bCs/>
      <w:smallCaps/>
      <w:color w:val="0F4761" w:themeColor="accent1" w:themeShade="BF"/>
      <w:spacing w:val="5"/>
    </w:rPr>
  </w:style>
  <w:style w:type="paragraph" w:styleId="Footer">
    <w:name w:val="footer"/>
    <w:basedOn w:val="Normal"/>
    <w:link w:val="FooterChar"/>
    <w:uiPriority w:val="99"/>
    <w:unhideWhenUsed/>
    <w:rsid w:val="00197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62E"/>
    <w:rPr>
      <w:rFonts w:ascii="Times New Roman" w:eastAsiaTheme="minorEastAsia" w:hAnsi="Times New Roman"/>
      <w:kern w:val="0"/>
      <w:szCs w:val="22"/>
      <w14:ligatures w14:val="none"/>
    </w:rPr>
  </w:style>
  <w:style w:type="table" w:styleId="PlainTable2">
    <w:name w:val="Plain Table 2"/>
    <w:basedOn w:val="TableNormal"/>
    <w:uiPriority w:val="99"/>
    <w:rsid w:val="0019762E"/>
    <w:pPr>
      <w:spacing w:after="0" w:line="240" w:lineRule="auto"/>
    </w:pPr>
    <w:rPr>
      <w:rFonts w:eastAsiaTheme="minorEastAsia"/>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2026-08-28T04:03:00Z</dcterms:created>
  <dcterms:modified xsi:type="dcterms:W3CDTF">2026-08-28T04:03:00Z</dcterms:modified>
</cp:coreProperties>
</file>