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094" w:type="dxa"/>
        <w:tblInd w:w="81" w:type="dxa"/>
        <w:tblLook w:val="04A0"/>
      </w:tblPr>
      <w:tblGrid>
        <w:gridCol w:w="4067"/>
        <w:gridCol w:w="1218"/>
        <w:gridCol w:w="2130"/>
        <w:gridCol w:w="1383"/>
        <w:gridCol w:w="996"/>
        <w:gridCol w:w="2047"/>
        <w:gridCol w:w="1494"/>
        <w:gridCol w:w="1107"/>
        <w:gridCol w:w="2158"/>
        <w:gridCol w:w="1494"/>
      </w:tblGrid>
      <w:tr w:rsidR="00523286" w:rsidRPr="004021A3" w:rsidTr="00C47F35">
        <w:trPr>
          <w:trHeight w:val="300"/>
        </w:trPr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  <w:r w:rsidRPr="004021A3">
              <w:rPr>
                <w:rFonts w:ascii="Tahoma" w:hAnsi="Tahoma" w:cs="Tahom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</w:p>
        </w:tc>
        <w:tc>
          <w:tcPr>
            <w:tcW w:w="473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45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Perimenopausal</w:t>
            </w:r>
          </w:p>
        </w:tc>
        <w:tc>
          <w:tcPr>
            <w:tcW w:w="47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postmenopausal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Risk factor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OR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P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OR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P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OR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P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Hot flashes/sweating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1.10-1.15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1.10-1.20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1.15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1.10-1.18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Insomnia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 xml:space="preserve">1.59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1.49-1.69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 xml:space="preserve">1.72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1.55-1.92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 xml:space="preserve">1.72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1.55-1.92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Mood swings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 xml:space="preserve">1.62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1.53-1.72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 xml:space="preserve">1.66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1.50-1.83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 xml:space="preserve">1.66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1.50-1.83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Melancholia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 xml:space="preserve">4.02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3.49-4.65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 xml:space="preserve">3.94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3.13-4.97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 xml:space="preserve">3.94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3.13-4.97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Sexual problems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1.37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1.29-1.46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1.12-1.34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1.12-1.34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Muscle/joint pain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1.90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1.68-2.14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1.39-2.10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1.39-2.09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Vertigo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2.62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2.27-3.02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2.31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1.84-2.90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2.31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1.84-2.90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Fatigue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3.09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2.68-3.56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2.89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2.30-3.64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2.89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2.30-3.64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34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Headaches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2.19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1.90-4.52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2.12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1.68-2.68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2.12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1.68-2.68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Formication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1.45-1.72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1.28-1.71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1.28-1.71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Urinary tract infection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1.23-1.42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1.09-1.34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1.09-1.34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Palpitations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2.51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2.19-2.88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1.67-2.55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2.06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1.67-2.55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330"/>
        </w:trPr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Paresthesia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1.66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1.54-1.78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1.45-1.84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1.45-1.84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523286" w:rsidRPr="004021A3" w:rsidTr="00C47F35">
        <w:trPr>
          <w:trHeight w:val="285"/>
        </w:trPr>
        <w:tc>
          <w:tcPr>
            <w:tcW w:w="180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Supplementary table 1. Multivariable logistic regression analyses for menopausal symptoms with depression according to the HAMD</w:t>
            </w:r>
          </w:p>
        </w:tc>
      </w:tr>
      <w:tr w:rsidR="00523286" w:rsidRPr="004021A3" w:rsidTr="00C47F35">
        <w:trPr>
          <w:trHeight w:val="285"/>
        </w:trPr>
        <w:tc>
          <w:tcPr>
            <w:tcW w:w="180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 xml:space="preserve">Values are presented as OR (95% CI).Adjusted for Age, place of residence, level of education, employment,income, parity, times of abortion, age at menarche and BMI. </w:t>
            </w:r>
          </w:p>
        </w:tc>
      </w:tr>
      <w:tr w:rsidR="00523286" w:rsidRPr="004021A3" w:rsidTr="00C47F35">
        <w:trPr>
          <w:trHeight w:val="285"/>
        </w:trPr>
        <w:tc>
          <w:tcPr>
            <w:tcW w:w="7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</w:rPr>
            </w:pPr>
            <w:r w:rsidRPr="004021A3">
              <w:rPr>
                <w:rFonts w:ascii="宋体" w:hAnsi="宋体" w:cs="Tahoma" w:hint="eastAsia"/>
                <w:color w:val="000000"/>
                <w:kern w:val="0"/>
                <w:sz w:val="22"/>
              </w:rPr>
              <w:t>CI=confidence interval, OR=odds ratio.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3286" w:rsidRPr="004021A3" w:rsidRDefault="00523286" w:rsidP="00C47F35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</w:rPr>
            </w:pPr>
          </w:p>
        </w:tc>
      </w:tr>
    </w:tbl>
    <w:p w:rsidR="00B74025" w:rsidRDefault="00B74025"/>
    <w:sectPr w:rsidR="00B74025" w:rsidSect="00523286">
      <w:pgSz w:w="20160" w:h="12240" w:orient="landscape" w:code="5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3286"/>
    <w:rsid w:val="00523286"/>
    <w:rsid w:val="00B74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8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CKT</dc:creator>
  <cp:lastModifiedBy>CKT</cp:lastModifiedBy>
  <cp:revision>1</cp:revision>
  <dcterms:created xsi:type="dcterms:W3CDTF">2021-07-21T01:40:00Z</dcterms:created>
  <dcterms:modified xsi:type="dcterms:W3CDTF">2021-07-21T01:41:00Z</dcterms:modified>
</cp:coreProperties>
</file>