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D7CAB73" w14:textId="07EE6E37" w:rsidR="00B231CD" w:rsidRPr="00DB3E4B" w:rsidRDefault="00B231CD" w:rsidP="00B231CD">
      <w:pPr>
        <w:spacing w:after="0" w:line="256" w:lineRule="auto"/>
        <w:jc w:val="left"/>
        <w:rPr>
          <w:rFonts w:ascii="Arial" w:eastAsia="Arial" w:hAnsi="Arial" w:cs="Arial"/>
          <w:color w:val="000000"/>
          <w:kern w:val="0"/>
          <w:szCs w:val="24"/>
          <w14:ligatures w14:val="none"/>
        </w:rPr>
      </w:pPr>
      <w:bookmarkStart w:id="0" w:name="X743e71eecfa4fed91dc4e5fbf6a76205436f6ba"/>
      <w:r w:rsidRPr="00902FC6">
        <w:rPr>
          <w:rFonts w:ascii="Arial" w:eastAsia="Arial" w:hAnsi="Arial" w:cs="Arial"/>
          <w:b/>
          <w:bCs/>
          <w:color w:val="000000"/>
          <w:kern w:val="0"/>
          <w:szCs w:val="24"/>
          <w14:ligatures w14:val="none"/>
        </w:rPr>
        <w:t xml:space="preserve">Supporting </w:t>
      </w:r>
      <w:r w:rsidR="00B953AF">
        <w:rPr>
          <w:rFonts w:ascii="Arial" w:eastAsia="Arial" w:hAnsi="Arial" w:cs="Arial"/>
          <w:b/>
          <w:bCs/>
          <w:color w:val="000000"/>
          <w:kern w:val="0"/>
          <w:szCs w:val="24"/>
          <w14:ligatures w14:val="none"/>
        </w:rPr>
        <w:t>Information</w:t>
      </w:r>
    </w:p>
    <w:p w14:paraId="32CA52D0" w14:textId="3ED2BACA" w:rsidR="00B231CD" w:rsidRDefault="00E90E0D" w:rsidP="00B231CD">
      <w:pPr>
        <w:spacing w:after="0" w:line="256" w:lineRule="auto"/>
        <w:jc w:val="left"/>
        <w:rPr>
          <w:rFonts w:ascii="Arial" w:eastAsia="Arial" w:hAnsi="Arial" w:cs="Arial"/>
          <w:color w:val="000000"/>
          <w:kern w:val="0"/>
          <w:sz w:val="32"/>
          <w:szCs w:val="32"/>
          <w14:ligatures w14:val="none"/>
        </w:rPr>
      </w:pPr>
      <w:r w:rsidRPr="00E90E0D">
        <w:rPr>
          <w:rFonts w:ascii="Arial" w:eastAsia="Arial" w:hAnsi="Arial" w:cs="Arial"/>
          <w:color w:val="000000"/>
          <w:kern w:val="0"/>
          <w:sz w:val="32"/>
          <w:szCs w:val="32"/>
          <w14:ligatures w14:val="none"/>
        </w:rPr>
        <w:t>Morphology-Adaptive Curvature Analysis of Fluid–Fluid Interfaces in Porous Media</w:t>
      </w:r>
    </w:p>
    <w:p w14:paraId="16D7CF1B" w14:textId="6B7E1BB5" w:rsidR="00B231CD" w:rsidRPr="00AA0F8B" w:rsidRDefault="00B231CD" w:rsidP="00B231CD">
      <w:pPr>
        <w:jc w:val="left"/>
      </w:pPr>
      <w:r>
        <w:t>Faisal Aljaberi</w:t>
      </w:r>
      <w:r>
        <w:rPr>
          <w:vertAlign w:val="superscript"/>
        </w:rPr>
        <w:t>a</w:t>
      </w:r>
      <w:r w:rsidRPr="00B1744A">
        <w:t>, Martin J</w:t>
      </w:r>
      <w:r>
        <w:t>.</w:t>
      </w:r>
      <w:r w:rsidRPr="00B1744A">
        <w:t xml:space="preserve"> </w:t>
      </w:r>
      <w:proofErr w:type="spellStart"/>
      <w:r w:rsidRPr="00B1744A">
        <w:t>Blunt</w:t>
      </w:r>
      <w:r>
        <w:rPr>
          <w:vertAlign w:val="superscript"/>
        </w:rPr>
        <w:t>b</w:t>
      </w:r>
      <w:proofErr w:type="spellEnd"/>
      <w:r w:rsidRPr="00AA0F8B">
        <w:t>,</w:t>
      </w:r>
      <w:r>
        <w:t xml:space="preserve"> </w:t>
      </w:r>
      <w:r w:rsidRPr="00B1744A">
        <w:t>Mohammed Al Kobaisi</w:t>
      </w:r>
      <w:r>
        <w:rPr>
          <w:vertAlign w:val="superscript"/>
        </w:rPr>
        <w:t>a,*</w:t>
      </w:r>
    </w:p>
    <w:p w14:paraId="7030F49B" w14:textId="77777777" w:rsidR="00B231CD" w:rsidRPr="00D97A36" w:rsidRDefault="00B231CD" w:rsidP="00B231CD">
      <w:pPr>
        <w:spacing w:after="0" w:line="240" w:lineRule="auto"/>
        <w:jc w:val="left"/>
        <w:rPr>
          <w:sz w:val="18"/>
          <w:szCs w:val="18"/>
        </w:rPr>
      </w:pPr>
      <w:r w:rsidRPr="00D97A36">
        <w:rPr>
          <w:sz w:val="18"/>
          <w:szCs w:val="18"/>
          <w:vertAlign w:val="superscript"/>
        </w:rPr>
        <w:t xml:space="preserve">a </w:t>
      </w:r>
      <w:r w:rsidRPr="00D97A36">
        <w:rPr>
          <w:sz w:val="18"/>
          <w:szCs w:val="18"/>
        </w:rPr>
        <w:t xml:space="preserve">Chemical and Petroleum Engineering Department, Khalifa University of Science and Technology, Abu Dhabi P.O. Box 127788, United Arab Emirates </w:t>
      </w:r>
    </w:p>
    <w:p w14:paraId="2124C82F" w14:textId="77777777" w:rsidR="00B231CD" w:rsidRDefault="00B231CD" w:rsidP="00B231CD">
      <w:pPr>
        <w:spacing w:after="0" w:line="240" w:lineRule="auto"/>
        <w:jc w:val="left"/>
        <w:rPr>
          <w:sz w:val="18"/>
          <w:szCs w:val="18"/>
        </w:rPr>
      </w:pPr>
      <w:r w:rsidRPr="00D97A36">
        <w:rPr>
          <w:sz w:val="18"/>
          <w:szCs w:val="18"/>
          <w:vertAlign w:val="superscript"/>
        </w:rPr>
        <w:t>b</w:t>
      </w:r>
      <w:r w:rsidRPr="00D97A36">
        <w:rPr>
          <w:sz w:val="18"/>
          <w:szCs w:val="18"/>
        </w:rPr>
        <w:t xml:space="preserve"> Department of Earth Science and Engineering, Imperial College London, SW7 2AZ London, United Kingdom</w:t>
      </w:r>
    </w:p>
    <w:p w14:paraId="50D9B9B2" w14:textId="6F757F7F" w:rsidR="0082598F" w:rsidRPr="0082598F" w:rsidRDefault="0082598F" w:rsidP="0082598F">
      <w:pPr>
        <w:spacing w:after="0" w:line="240" w:lineRule="auto"/>
        <w:jc w:val="left"/>
        <w:rPr>
          <w:sz w:val="18"/>
          <w:szCs w:val="18"/>
        </w:rPr>
      </w:pPr>
      <w:r w:rsidRPr="0082598F">
        <w:rPr>
          <w:sz w:val="20"/>
          <w:szCs w:val="20"/>
          <w:vertAlign w:val="superscript"/>
        </w:rPr>
        <w:t>*</w:t>
      </w:r>
      <w:r>
        <w:rPr>
          <w:sz w:val="18"/>
          <w:szCs w:val="18"/>
        </w:rPr>
        <w:t xml:space="preserve"> Corresponding author (</w:t>
      </w:r>
      <w:hyperlink r:id="rId8" w:history="1">
        <w:r w:rsidRPr="00245D24">
          <w:rPr>
            <w:rStyle w:val="Hyperlink"/>
            <w:sz w:val="18"/>
            <w:szCs w:val="18"/>
          </w:rPr>
          <w:t>mohammed.alkobaisi@ku.ac.ae</w:t>
        </w:r>
      </w:hyperlink>
      <w:r>
        <w:rPr>
          <w:sz w:val="18"/>
          <w:szCs w:val="18"/>
        </w:rPr>
        <w:t>)</w:t>
      </w:r>
    </w:p>
    <w:p w14:paraId="08104E68" w14:textId="0BE78C70" w:rsidR="005F2B88" w:rsidRDefault="00157B78" w:rsidP="00B231CD">
      <w:pPr>
        <w:pStyle w:val="Heading1"/>
      </w:pPr>
      <w:r>
        <w:t>S1</w:t>
      </w:r>
      <w:r w:rsidR="005F2B88">
        <w:t xml:space="preserve">: </w:t>
      </w:r>
      <w:bookmarkEnd w:id="0"/>
      <w:r w:rsidRPr="00157B78">
        <w:t>CT-style degradation of analytical mesh surfaces</w:t>
      </w:r>
    </w:p>
    <w:p w14:paraId="3680D93A" w14:textId="420FEF21" w:rsidR="00157B78" w:rsidRDefault="00157B78" w:rsidP="00157B78">
      <w:r w:rsidRPr="00157B78">
        <w:t xml:space="preserve">Micro-CT surface extraction introduces voxel, segmentation, and iso-surfacing artifacts that can dominate curvature error. To retain analytical ground truth while reproducing CT-like mesh quality, axial terracing and normal jitter were applied to clean sphere, torus, and catenoid meshes without changing connectivity. Perturbations were scaled by the mean edge length h </w:t>
      </w:r>
      <w:r w:rsidRPr="00157B78">
        <w:rPr>
          <w:highlight w:val="yellow"/>
        </w:rPr>
        <w:fldChar w:fldCharType="begin"/>
      </w:r>
      <w:r w:rsidR="00EB6BE8">
        <w:rPr>
          <w:highlight w:val="yellow"/>
        </w:rPr>
        <w:instrText xml:space="preserve"> ADDIN ZOTERO_ITEM CSL_CITATION {"citationID":"a1l1puutfob","properties":{"unsorted":false,"formattedCitation":"(Magid et al. 2007; V\\uc0\\u225{}\\uc0\\u353{}a et al. 2016)","plainCitation":"(Magid et al. 2007; Váša et al. 2016)","noteIndex":0},"citationItems":[{"id":1119,"uris":["http://zotero.org/users/13509348/items/9JUS45WD"],"itemData":{"id":1119,"type":"article-journal","abstract":"Estimating intrinsic geometric properties of a surface from a polygonal mesh obtained from range data is an important stage of numerous algorithms in computer and robot vision, computer graphics, geometric modeling, and industrial and biomedical engineering. This work considers diﬀerent computational schemes for local estimation of intrinsic curvature geometric properties. Four diﬀerent algorithms and their modiﬁcations were tested on triangular meshes that represent tessellations of synthetic geometric models. The results were compared with the analytically computed values of the Gaussian and mean curvatures of the non-uniform rational B-spline (NURBS) surfaces from which these meshes originated. The algorithms were also tested on range images of geometric objects. The results were compared with the analytic values of the Gaussian and mean curvatures of the scanned geometric objects. This work manifests the best algorithms suited for Gaussian and mean curvature estimation, and shows that diﬀerent algorithms should be employed to compute the Gaussian and mean curvatures.","container-title":"Computer Vision and Image Understanding","DOI":"10.1016/j.cviu.2006.09.007","ISSN":"10773142","issue":"3","journalAbbreviation":"Computer Vision and Image Understanding","language":"en","license":"https://www.elsevier.com/tdm/userlicense/1.0/","page":"139-159","source":"DOI.org (Crossref)","title":"A comparison of Gaussian and mean curvature estimation methods on triangular meshes of range image data","volume":"107","author":[{"family":"Magid","given":"Evgeni"},{"family":"Soldea","given":"Octavian"},{"family":"Rivlin","given":"Ehud"}],"issued":{"date-parts":[["2007",9]]}}},{"id":1113,"uris":["http://zotero.org/users/13509348/items/KJAPXCEM"],"itemData":{"id":1113,"type":"article-journal","abstract":"While it is usually not difﬁcult to compute principal curvatures of a smooth surface of sufﬁcient differentiability, it is a rather difﬁcult task when only a polygonal approximation of the surface is available, because of the inherent ambiguity of such representation. A number of different approaches has been proposed in the past that tackle this problem using various techniques. Most papers tend to focus on a particular method, while an comprehensive comparison of the different approaches is usually missing.","container-title":"Computer Graphics Forum","DOI":"10.1111/cgf.12982","ISSN":"0167-7055, 1467-8659","issue":"5","journalAbbreviation":"Computer Graphics Forum","language":"en","page":"271-280","source":"DOI.org (Crossref)","title":"Mesh Statistics for Robust Curvature Estimation","volume":"35","author":[{"family":"Váša","given":"L."},{"family":"Vaněček","given":"P."},{"family":"Prantl","given":"M."},{"family":"Skorkovská","given":"V."},{"family":"Martínek","given":"P."},{"family":"Kolingerová","given":"I."}],"issued":{"date-parts":[["2016",8]]}}}],"schema":"https://github.com/citation-style-language/schema/raw/master/csl-citation.json"} </w:instrText>
      </w:r>
      <w:r w:rsidRPr="00157B78">
        <w:rPr>
          <w:highlight w:val="yellow"/>
        </w:rPr>
        <w:fldChar w:fldCharType="separate"/>
      </w:r>
      <w:r w:rsidR="00EB6BE8" w:rsidRPr="00EB6BE8">
        <w:rPr>
          <w:rFonts w:cs="Times New Roman"/>
          <w:kern w:val="0"/>
        </w:rPr>
        <w:t>(Magid et al. 2007; Váša et al. 2016)</w:t>
      </w:r>
      <w:r w:rsidRPr="00157B78">
        <w:rPr>
          <w:highlight w:val="yellow"/>
        </w:rPr>
        <w:fldChar w:fldCharType="end"/>
      </w:r>
    </w:p>
    <w:p w14:paraId="4709D9FB" w14:textId="77777777" w:rsidR="00982AA6" w:rsidRPr="00982AA6" w:rsidRDefault="00982AA6" w:rsidP="00982AA6">
      <w:pPr>
        <w:spacing w:line="276" w:lineRule="auto"/>
      </w:pPr>
      <w:r w:rsidRPr="00982AA6">
        <w:t xml:space="preserve">Axial terracing mimics the staircase artifacts of slice-based reconstruction: for each vertex </w:t>
      </w:r>
      <m:oMath>
        <m:sSub>
          <m:sSubPr>
            <m:ctrlPr>
              <w:rPr>
                <w:rFonts w:ascii="Cambria Math" w:hAnsi="Cambria Math"/>
                <w:szCs w:val="24"/>
              </w:rPr>
            </m:ctrlPr>
          </m:sSubPr>
          <m:e>
            <m:r>
              <m:rPr>
                <m:sty m:val="b"/>
              </m:rPr>
              <w:rPr>
                <w:rFonts w:ascii="Cambria Math" w:hAnsi="Cambria Math"/>
              </w:rPr>
              <m:t>v</m:t>
            </m:r>
          </m:e>
          <m:sub>
            <m:r>
              <w:rPr>
                <w:rFonts w:ascii="Cambria Math" w:hAnsi="Cambria Math"/>
              </w:rPr>
              <m:t>i</m:t>
            </m:r>
          </m:sub>
        </m:sSub>
      </m:oMath>
      <w:r w:rsidRPr="00982AA6">
        <w:t xml:space="preserve">, the signed coordinate along the scan axis </w:t>
      </w:r>
      <m:oMath>
        <m:r>
          <m:rPr>
            <m:sty m:val="b"/>
          </m:rPr>
          <w:rPr>
            <w:rFonts w:ascii="Cambria Math" w:hAnsi="Cambria Math"/>
          </w:rPr>
          <m:t>a</m:t>
        </m:r>
      </m:oMath>
      <w:r w:rsidRPr="00982AA6">
        <w:t xml:space="preserve">, </w:t>
      </w:r>
      <m:oMath>
        <m:sSub>
          <m:sSubPr>
            <m:ctrlPr>
              <w:rPr>
                <w:rFonts w:ascii="Cambria Math" w:hAnsi="Cambria Math"/>
                <w:szCs w:val="24"/>
              </w:rPr>
            </m:ctrlPr>
          </m:sSubPr>
          <m:e>
            <m:r>
              <w:rPr>
                <w:rFonts w:ascii="Cambria Math" w:hAnsi="Cambria Math"/>
              </w:rPr>
              <m:t>s</m:t>
            </m:r>
          </m:e>
          <m:sub>
            <m:r>
              <w:rPr>
                <w:rFonts w:ascii="Cambria Math" w:hAnsi="Cambria Math"/>
              </w:rPr>
              <m:t>i</m:t>
            </m:r>
          </m:sub>
        </m:sSub>
        <m:r>
          <w:rPr>
            <w:rFonts w:ascii="Cambria Math" w:hAnsi="Cambria Math"/>
          </w:rPr>
          <m:t>=</m:t>
        </m:r>
        <m:sSub>
          <m:sSubPr>
            <m:ctrlPr>
              <w:rPr>
                <w:rFonts w:ascii="Cambria Math" w:hAnsi="Cambria Math"/>
                <w:szCs w:val="24"/>
              </w:rPr>
            </m:ctrlPr>
          </m:sSubPr>
          <m:e>
            <m:r>
              <m:rPr>
                <m:sty m:val="b"/>
              </m:rPr>
              <w:rPr>
                <w:rFonts w:ascii="Cambria Math" w:hAnsi="Cambria Math"/>
              </w:rPr>
              <m:t>v</m:t>
            </m:r>
          </m:e>
          <m:sub>
            <m:r>
              <w:rPr>
                <w:rFonts w:ascii="Cambria Math" w:hAnsi="Cambria Math"/>
              </w:rPr>
              <m:t>i</m:t>
            </m:r>
          </m:sub>
        </m:sSub>
        <m:r>
          <w:rPr>
            <w:rFonts w:ascii="Cambria Math" w:hAnsi="Cambria Math"/>
          </w:rPr>
          <m:t>⋅</m:t>
        </m:r>
        <m:r>
          <m:rPr>
            <m:sty m:val="b"/>
          </m:rPr>
          <w:rPr>
            <w:rFonts w:ascii="Cambria Math" w:hAnsi="Cambria Math"/>
          </w:rPr>
          <m:t>a</m:t>
        </m:r>
      </m:oMath>
      <w:r w:rsidRPr="00982AA6">
        <w:t xml:space="preserve">, was partially snapped to slice planes of pitch </w:t>
      </w:r>
      <m:oMath>
        <m:r>
          <w:rPr>
            <w:rFonts w:ascii="Cambria Math" w:hAnsi="Cambria Math"/>
          </w:rPr>
          <m:t>Δz</m:t>
        </m:r>
      </m:oMath>
      <w:r w:rsidRPr="00982AA6">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6248"/>
        <w:gridCol w:w="1362"/>
      </w:tblGrid>
      <w:tr w:rsidR="00982AA6" w:rsidRPr="00982AA6" w14:paraId="011B5B93" w14:textId="77777777" w:rsidTr="00A73437">
        <w:trPr>
          <w:trHeight w:val="510"/>
        </w:trPr>
        <w:tc>
          <w:tcPr>
            <w:tcW w:w="1416" w:type="dxa"/>
            <w:vAlign w:val="center"/>
          </w:tcPr>
          <w:p w14:paraId="5FFC4D72" w14:textId="77777777" w:rsidR="00982AA6" w:rsidRPr="00982AA6" w:rsidRDefault="00982AA6" w:rsidP="00A73437">
            <w:pPr>
              <w:spacing w:after="160" w:line="276" w:lineRule="auto"/>
              <w:rPr>
                <w:kern w:val="2"/>
                <w14:ligatures w14:val="standardContextual"/>
              </w:rPr>
            </w:pPr>
          </w:p>
        </w:tc>
        <w:tc>
          <w:tcPr>
            <w:tcW w:w="6248" w:type="dxa"/>
            <w:vAlign w:val="center"/>
          </w:tcPr>
          <w:p w14:paraId="6D33F164" w14:textId="77777777" w:rsidR="00982AA6" w:rsidRPr="00982AA6" w:rsidRDefault="00000000" w:rsidP="00A73437">
            <w:pPr>
              <w:spacing w:after="160" w:line="276" w:lineRule="auto"/>
              <w:rPr>
                <w:kern w:val="2"/>
                <w14:ligatures w14:val="standardContextual"/>
              </w:rPr>
            </w:pPr>
            <m:oMathPara>
              <m:oMath>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m:t>
                    </m:r>
                  </m:sup>
                </m:sSubSup>
                <m:r>
                  <w:rPr>
                    <w:rFonts w:ascii="Cambria Math" w:hAnsi="Cambria Math"/>
                  </w:rPr>
                  <m:t>=</m:t>
                </m:r>
                <m:d>
                  <m:dPr>
                    <m:ctrlPr>
                      <w:rPr>
                        <w:rFonts w:ascii="Cambria Math" w:hAnsi="Cambria Math"/>
                        <w:i/>
                      </w:rPr>
                    </m:ctrlPr>
                  </m:dPr>
                  <m:e>
                    <m:r>
                      <w:rPr>
                        <w:rFonts w:ascii="Cambria Math" w:hAnsi="Cambria Math"/>
                      </w:rPr>
                      <m:t>1-t</m:t>
                    </m:r>
                  </m:e>
                </m:d>
                <m:r>
                  <w:rPr>
                    <w:rFonts w:ascii="Cambria Math" w:hAnsi="Cambria Math"/>
                  </w:rPr>
                  <m:t> </m:t>
                </m:r>
                <m:sSub>
                  <m:sSubPr>
                    <m:ctrlPr>
                      <w:rPr>
                        <w:rFonts w:ascii="Cambria Math" w:hAnsi="Cambria Math"/>
                        <w:szCs w:val="24"/>
                      </w:rPr>
                    </m:ctrlPr>
                  </m:sSubPr>
                  <m:e>
                    <m:r>
                      <w:rPr>
                        <w:rFonts w:ascii="Cambria Math" w:hAnsi="Cambria Math"/>
                      </w:rPr>
                      <m:t>s</m:t>
                    </m:r>
                  </m:e>
                  <m:sub>
                    <m:r>
                      <w:rPr>
                        <w:rFonts w:ascii="Cambria Math" w:hAnsi="Cambria Math"/>
                      </w:rPr>
                      <m:t>i</m:t>
                    </m:r>
                  </m:sub>
                </m:sSub>
                <m:r>
                  <w:rPr>
                    <w:rFonts w:ascii="Cambria Math" w:hAnsi="Cambria Math"/>
                  </w:rPr>
                  <m:t>+t Δz</m:t>
                </m:r>
                <m:r>
                  <m:rPr>
                    <m:nor/>
                  </m:rPr>
                  <m:t>round</m:t>
                </m:r>
                <m:r>
                  <w:rPr>
                    <w:rFonts w:ascii="Cambria Math" w:hAnsi="Cambria Math"/>
                  </w:rPr>
                  <m:t>​</m:t>
                </m:r>
                <m:d>
                  <m:dPr>
                    <m:ctrlPr>
                      <w:rPr>
                        <w:rFonts w:ascii="Cambria Math" w:hAnsi="Cambria Math"/>
                        <w:szCs w:val="24"/>
                      </w:rPr>
                    </m:ctrlPr>
                  </m:dPr>
                  <m:e>
                    <m:f>
                      <m:fPr>
                        <m:ctrlPr>
                          <w:rPr>
                            <w:rFonts w:ascii="Cambria Math" w:hAnsi="Cambria Math"/>
                            <w:szCs w:val="24"/>
                          </w:rPr>
                        </m:ctrlPr>
                      </m:fPr>
                      <m:num>
                        <m:sSub>
                          <m:sSubPr>
                            <m:ctrlPr>
                              <w:rPr>
                                <w:rFonts w:ascii="Cambria Math" w:hAnsi="Cambria Math"/>
                                <w:szCs w:val="24"/>
                              </w:rPr>
                            </m:ctrlPr>
                          </m:sSubPr>
                          <m:e>
                            <m:r>
                              <w:rPr>
                                <w:rFonts w:ascii="Cambria Math" w:hAnsi="Cambria Math"/>
                              </w:rPr>
                              <m:t>s</m:t>
                            </m:r>
                          </m:e>
                          <m:sub>
                            <m:r>
                              <w:rPr>
                                <w:rFonts w:ascii="Cambria Math" w:hAnsi="Cambria Math"/>
                              </w:rPr>
                              <m:t>i</m:t>
                            </m:r>
                          </m:sub>
                        </m:sSub>
                      </m:num>
                      <m:den>
                        <m:r>
                          <w:rPr>
                            <w:rFonts w:ascii="Cambria Math" w:hAnsi="Cambria Math"/>
                          </w:rPr>
                          <m:t>Δz</m:t>
                        </m:r>
                      </m:den>
                    </m:f>
                  </m:e>
                </m:d>
                <m:r>
                  <w:rPr>
                    <w:rFonts w:ascii="Cambria Math" w:hAnsi="Cambria Math"/>
                  </w:rPr>
                  <m:t>,  </m:t>
                </m:r>
                <m:sSubSup>
                  <m:sSubSupPr>
                    <m:ctrlPr>
                      <w:rPr>
                        <w:rFonts w:ascii="Cambria Math" w:hAnsi="Cambria Math"/>
                        <w:i/>
                      </w:rPr>
                    </m:ctrlPr>
                  </m:sSubSupPr>
                  <m:e>
                    <m:r>
                      <m:rPr>
                        <m:sty m:val="b"/>
                      </m:rPr>
                      <w:rPr>
                        <w:rFonts w:ascii="Cambria Math" w:hAnsi="Cambria Math"/>
                      </w:rPr>
                      <m:t>v</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szCs w:val="24"/>
                      </w:rPr>
                    </m:ctrlPr>
                  </m:sSubPr>
                  <m:e>
                    <m:r>
                      <m:rPr>
                        <m:sty m:val="b"/>
                      </m:rPr>
                      <w:rPr>
                        <w:rFonts w:ascii="Cambria Math" w:hAnsi="Cambria Math"/>
                      </w:rPr>
                      <m:t>v</m:t>
                    </m:r>
                  </m:e>
                  <m:sub>
                    <m:r>
                      <w:rPr>
                        <w:rFonts w:ascii="Cambria Math" w:hAnsi="Cambria Math"/>
                      </w:rPr>
                      <m:t>i</m:t>
                    </m:r>
                  </m:sub>
                </m:sSub>
                <m:r>
                  <w:rPr>
                    <w:rFonts w:ascii="Cambria Math" w:hAnsi="Cambria Math"/>
                  </w:rPr>
                  <m:t>+</m:t>
                </m:r>
                <m:d>
                  <m:dPr>
                    <m:ctrlPr>
                      <w:rPr>
                        <w:rFonts w:ascii="Cambria Math" w:hAnsi="Cambria Math"/>
                        <w:i/>
                      </w:rPr>
                    </m:ctrlPr>
                  </m:dPr>
                  <m:e>
                    <m:sSubSup>
                      <m:sSubSupPr>
                        <m:ctrlPr>
                          <w:rPr>
                            <w:rFonts w:ascii="Cambria Math" w:hAnsi="Cambria Math"/>
                            <w:i/>
                          </w:rPr>
                        </m:ctrlPr>
                      </m:sSubSupPr>
                      <m:e>
                        <m:r>
                          <w:rPr>
                            <w:rFonts w:ascii="Cambria Math" w:hAnsi="Cambria Math"/>
                          </w:rPr>
                          <m:t>s</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szCs w:val="24"/>
                          </w:rPr>
                        </m:ctrlPr>
                      </m:sSubPr>
                      <m:e>
                        <m:r>
                          <w:rPr>
                            <w:rFonts w:ascii="Cambria Math" w:hAnsi="Cambria Math"/>
                          </w:rPr>
                          <m:t>s</m:t>
                        </m:r>
                      </m:e>
                      <m:sub>
                        <m:r>
                          <w:rPr>
                            <w:rFonts w:ascii="Cambria Math" w:hAnsi="Cambria Math"/>
                          </w:rPr>
                          <m:t>i</m:t>
                        </m:r>
                      </m:sub>
                    </m:sSub>
                  </m:e>
                </m:d>
                <m:r>
                  <w:rPr>
                    <w:rFonts w:ascii="Cambria Math" w:hAnsi="Cambria Math"/>
                  </w:rPr>
                  <m:t> </m:t>
                </m:r>
                <m:r>
                  <m:rPr>
                    <m:sty m:val="b"/>
                  </m:rPr>
                  <w:rPr>
                    <w:rFonts w:ascii="Cambria Math" w:hAnsi="Cambria Math"/>
                  </w:rPr>
                  <m:t>a</m:t>
                </m:r>
                <m:r>
                  <m:rPr>
                    <m:sty m:val="p"/>
                  </m:rPr>
                  <w:rPr>
                    <w:rFonts w:ascii="Cambria Math" w:hAnsi="Cambria Math"/>
                    <w:kern w:val="2"/>
                    <w14:ligatures w14:val="standardContextual"/>
                  </w:rPr>
                  <m:t xml:space="preserve"> ,</m:t>
                </m:r>
              </m:oMath>
            </m:oMathPara>
          </w:p>
        </w:tc>
        <w:tc>
          <w:tcPr>
            <w:tcW w:w="1362" w:type="dxa"/>
            <w:vAlign w:val="center"/>
          </w:tcPr>
          <w:p w14:paraId="7CC08781" w14:textId="57171E9E" w:rsidR="00982AA6" w:rsidRPr="00982AA6" w:rsidRDefault="00982AA6" w:rsidP="00A73437">
            <w:pPr>
              <w:spacing w:after="160" w:line="276" w:lineRule="auto"/>
              <w:jc w:val="right"/>
              <w:rPr>
                <w:kern w:val="2"/>
                <w14:ligatures w14:val="standardContextual"/>
              </w:rPr>
            </w:pPr>
            <w:r w:rsidRPr="00982AA6">
              <w:rPr>
                <w:kern w:val="2"/>
                <w14:ligatures w14:val="standardContextual"/>
              </w:rPr>
              <w:t>(</w:t>
            </w:r>
            <w:r>
              <w:rPr>
                <w:kern w:val="2"/>
                <w14:ligatures w14:val="standardContextual"/>
              </w:rPr>
              <w:t>S</w:t>
            </w:r>
            <w:r w:rsidRPr="00982AA6">
              <w:fldChar w:fldCharType="begin"/>
            </w:r>
            <w:r w:rsidRPr="00982AA6">
              <w:rPr>
                <w:kern w:val="2"/>
                <w14:ligatures w14:val="standardContextual"/>
              </w:rPr>
              <w:instrText xml:space="preserve"> SEQ Equation \* ARABIC </w:instrText>
            </w:r>
            <w:r w:rsidRPr="00982AA6">
              <w:fldChar w:fldCharType="separate"/>
            </w:r>
            <w:r>
              <w:rPr>
                <w:noProof/>
                <w:kern w:val="2"/>
                <w14:ligatures w14:val="standardContextual"/>
              </w:rPr>
              <w:t>1</w:t>
            </w:r>
            <w:r w:rsidRPr="00982AA6">
              <w:fldChar w:fldCharType="end"/>
            </w:r>
            <w:r w:rsidRPr="00982AA6">
              <w:rPr>
                <w:kern w:val="2"/>
                <w14:ligatures w14:val="standardContextual"/>
              </w:rPr>
              <w:t>)</w:t>
            </w:r>
          </w:p>
        </w:tc>
      </w:tr>
    </w:tbl>
    <w:p w14:paraId="1194C5AF" w14:textId="77777777" w:rsidR="00982AA6" w:rsidRPr="00982AA6" w:rsidRDefault="00982AA6" w:rsidP="00982AA6">
      <w:pPr>
        <w:spacing w:line="276" w:lineRule="auto"/>
      </w:pPr>
      <w:r w:rsidRPr="00982AA6">
        <w:t xml:space="preserve">with snap strength </w:t>
      </w:r>
      <m:oMath>
        <m:r>
          <w:rPr>
            <w:rFonts w:ascii="Cambria Math" w:hAnsi="Cambria Math"/>
          </w:rPr>
          <m:t>t=0.5</m:t>
        </m:r>
      </m:oMath>
      <w:r w:rsidRPr="00982AA6">
        <w:t xml:space="preserve"> throughout (</w:t>
      </w:r>
      <m:oMath>
        <m:r>
          <w:rPr>
            <w:rFonts w:ascii="Cambria Math" w:hAnsi="Cambria Math"/>
          </w:rPr>
          <m:t>t=0</m:t>
        </m:r>
      </m:oMath>
      <w:r w:rsidRPr="00982AA6">
        <w:t xml:space="preserve"> leaves the mesh unchanged; </w:t>
      </w:r>
      <m:oMath>
        <m:r>
          <w:rPr>
            <w:rFonts w:ascii="Cambria Math" w:hAnsi="Cambria Math"/>
          </w:rPr>
          <m:t>t=1</m:t>
        </m:r>
      </m:oMath>
      <w:r w:rsidRPr="00982AA6">
        <w:t xml:space="preserve"> fully quantizes vertices to slice planes). This perturbation is deterministic and anisotropic, producing the characteristic staircase structure of voxelized imaging. Normal jitter then represents high-frequency segmentation and iso-surfacing noise: each vertex was displaced along its area-weighted unit normal </w:t>
      </w:r>
      <m:oMath>
        <m:sSub>
          <m:sSubPr>
            <m:ctrlPr>
              <w:rPr>
                <w:rFonts w:ascii="Cambria Math" w:hAnsi="Cambria Math"/>
                <w:szCs w:val="24"/>
              </w:rPr>
            </m:ctrlPr>
          </m:sSubPr>
          <m:e>
            <m:r>
              <m:rPr>
                <m:sty m:val="b"/>
              </m:rPr>
              <w:rPr>
                <w:rFonts w:ascii="Cambria Math" w:hAnsi="Cambria Math"/>
              </w:rPr>
              <m:t>n</m:t>
            </m:r>
          </m:e>
          <m:sub>
            <m:r>
              <w:rPr>
                <w:rFonts w:ascii="Cambria Math" w:hAnsi="Cambria Math"/>
              </w:rPr>
              <m:t>i</m:t>
            </m:r>
          </m:sub>
        </m:sSub>
      </m:oMath>
      <w:r w:rsidRPr="00982AA6">
        <w:t xml:space="preserve"> by a Gaussian random variable,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6248"/>
        <w:gridCol w:w="1362"/>
      </w:tblGrid>
      <w:tr w:rsidR="00982AA6" w:rsidRPr="00982AA6" w14:paraId="48B007E8" w14:textId="77777777" w:rsidTr="00A73437">
        <w:trPr>
          <w:trHeight w:val="510"/>
        </w:trPr>
        <w:tc>
          <w:tcPr>
            <w:tcW w:w="1416" w:type="dxa"/>
            <w:vAlign w:val="center"/>
          </w:tcPr>
          <w:p w14:paraId="137095A8" w14:textId="77777777" w:rsidR="00982AA6" w:rsidRPr="00982AA6" w:rsidRDefault="00982AA6" w:rsidP="00A73437">
            <w:pPr>
              <w:spacing w:line="276" w:lineRule="auto"/>
              <w:rPr>
                <w:kern w:val="2"/>
                <w14:ligatures w14:val="standardContextual"/>
              </w:rPr>
            </w:pPr>
          </w:p>
        </w:tc>
        <w:tc>
          <w:tcPr>
            <w:tcW w:w="6248" w:type="dxa"/>
            <w:vAlign w:val="center"/>
          </w:tcPr>
          <w:p w14:paraId="612A0D28" w14:textId="77777777" w:rsidR="00982AA6" w:rsidRPr="00982AA6" w:rsidRDefault="00000000" w:rsidP="00A73437">
            <w:pPr>
              <w:spacing w:line="276" w:lineRule="auto"/>
              <w:rPr>
                <w:kern w:val="2"/>
                <w14:ligatures w14:val="standardContextual"/>
              </w:rPr>
            </w:pPr>
            <m:oMathPara>
              <m:oMath>
                <m:sSubSup>
                  <m:sSubSupPr>
                    <m:ctrlPr>
                      <w:rPr>
                        <w:rFonts w:ascii="Cambria Math" w:hAnsi="Cambria Math"/>
                        <w:i/>
                      </w:rPr>
                    </m:ctrlPr>
                  </m:sSubSupPr>
                  <m:e>
                    <m:r>
                      <m:rPr>
                        <m:sty m:val="b"/>
                      </m:rPr>
                      <w:rPr>
                        <w:rFonts w:ascii="Cambria Math" w:hAnsi="Cambria Math"/>
                      </w:rPr>
                      <m:t>v</m:t>
                    </m:r>
                    <m:ctrlPr>
                      <w:rPr>
                        <w:rFonts w:ascii="Cambria Math" w:hAnsi="Cambria Math"/>
                        <w:b/>
                      </w:rPr>
                    </m:ctrlPr>
                  </m:e>
                  <m:sub>
                    <m:r>
                      <w:rPr>
                        <w:rFonts w:ascii="Cambria Math" w:hAnsi="Cambria Math"/>
                      </w:rPr>
                      <m:t>i</m:t>
                    </m:r>
                  </m:sub>
                  <m:sup>
                    <m:r>
                      <w:rPr>
                        <w:rFonts w:ascii="Cambria Math" w:hAnsi="Cambria Math"/>
                      </w:rPr>
                      <m:t>″</m:t>
                    </m:r>
                  </m:sup>
                </m:sSubSup>
                <m:r>
                  <w:rPr>
                    <w:rFonts w:ascii="Cambria Math" w:hAnsi="Cambria Math"/>
                  </w:rPr>
                  <m:t>=</m:t>
                </m:r>
                <m:sSubSup>
                  <m:sSubSupPr>
                    <m:ctrlPr>
                      <w:rPr>
                        <w:rFonts w:ascii="Cambria Math" w:hAnsi="Cambria Math"/>
                        <w:i/>
                      </w:rPr>
                    </m:ctrlPr>
                  </m:sSubSupPr>
                  <m:e>
                    <m:r>
                      <m:rPr>
                        <m:sty m:val="b"/>
                      </m:rPr>
                      <w:rPr>
                        <w:rFonts w:ascii="Cambria Math" w:hAnsi="Cambria Math"/>
                      </w:rPr>
                      <m:t>v</m:t>
                    </m:r>
                  </m:e>
                  <m:sub>
                    <m:r>
                      <w:rPr>
                        <w:rFonts w:ascii="Cambria Math" w:hAnsi="Cambria Math"/>
                      </w:rPr>
                      <m:t>i</m:t>
                    </m:r>
                  </m:sub>
                  <m:sup>
                    <m:r>
                      <w:rPr>
                        <w:rFonts w:ascii="Cambria Math" w:hAnsi="Cambria Math"/>
                      </w:rPr>
                      <m:t>'</m:t>
                    </m:r>
                  </m:sup>
                </m:sSubSup>
                <m:r>
                  <w:rPr>
                    <w:rFonts w:ascii="Cambria Math" w:hAnsi="Cambria Math"/>
                  </w:rPr>
                  <m:t>+</m:t>
                </m:r>
                <m:sSub>
                  <m:sSubPr>
                    <m:ctrlPr>
                      <w:rPr>
                        <w:rFonts w:ascii="Cambria Math" w:hAnsi="Cambria Math"/>
                        <w:szCs w:val="24"/>
                      </w:rPr>
                    </m:ctrlPr>
                  </m:sSubPr>
                  <m:e>
                    <m:r>
                      <w:rPr>
                        <w:rFonts w:ascii="Cambria Math" w:hAnsi="Cambria Math"/>
                      </w:rPr>
                      <m:t>ϵ</m:t>
                    </m:r>
                  </m:e>
                  <m:sub>
                    <m:r>
                      <w:rPr>
                        <w:rFonts w:ascii="Cambria Math" w:hAnsi="Cambria Math"/>
                      </w:rPr>
                      <m:t>i</m:t>
                    </m:r>
                  </m:sub>
                </m:sSub>
                <m:r>
                  <w:rPr>
                    <w:rFonts w:ascii="Cambria Math" w:hAnsi="Cambria Math"/>
                  </w:rPr>
                  <m:t> </m:t>
                </m:r>
                <m:sSub>
                  <m:sSubPr>
                    <m:ctrlPr>
                      <w:rPr>
                        <w:rFonts w:ascii="Cambria Math" w:hAnsi="Cambria Math"/>
                        <w:szCs w:val="24"/>
                      </w:rPr>
                    </m:ctrlPr>
                  </m:sSubPr>
                  <m:e>
                    <m:r>
                      <m:rPr>
                        <m:sty m:val="b"/>
                      </m:rPr>
                      <w:rPr>
                        <w:rFonts w:ascii="Cambria Math" w:hAnsi="Cambria Math"/>
                      </w:rPr>
                      <m:t>n</m:t>
                    </m:r>
                  </m:e>
                  <m:sub>
                    <m:r>
                      <w:rPr>
                        <w:rFonts w:ascii="Cambria Math" w:hAnsi="Cambria Math"/>
                      </w:rPr>
                      <m:t>i</m:t>
                    </m:r>
                  </m:sub>
                </m:sSub>
                <m:r>
                  <w:rPr>
                    <w:rFonts w:ascii="Cambria Math" w:hAnsi="Cambria Math"/>
                  </w:rPr>
                  <m:t>,  </m:t>
                </m:r>
                <m:sSub>
                  <m:sSubPr>
                    <m:ctrlPr>
                      <w:rPr>
                        <w:rFonts w:ascii="Cambria Math" w:hAnsi="Cambria Math"/>
                        <w:szCs w:val="24"/>
                      </w:rPr>
                    </m:ctrlPr>
                  </m:sSubPr>
                  <m:e>
                    <m:r>
                      <w:rPr>
                        <w:rFonts w:ascii="Cambria Math" w:hAnsi="Cambria Math"/>
                      </w:rPr>
                      <m:t>ϵ</m:t>
                    </m:r>
                  </m:e>
                  <m:sub>
                    <m:r>
                      <w:rPr>
                        <w:rFonts w:ascii="Cambria Math" w:hAnsi="Cambria Math"/>
                      </w:rPr>
                      <m:t>i</m:t>
                    </m:r>
                  </m:sub>
                </m:sSub>
                <m:r>
                  <w:rPr>
                    <w:rFonts w:ascii="Cambria Math" w:hAnsi="Cambria Math"/>
                  </w:rPr>
                  <m:t>∼</m:t>
                </m:r>
                <m:r>
                  <m:rPr>
                    <m:scr m:val="script"/>
                    <m:sty m:val="p"/>
                  </m:rPr>
                  <w:rPr>
                    <w:rFonts w:ascii="Cambria Math" w:hAnsi="Cambria Math"/>
                  </w:rPr>
                  <m:t>N</m:t>
                </m:r>
                <m:d>
                  <m:dPr>
                    <m:ctrlPr>
                      <w:rPr>
                        <w:rFonts w:ascii="Cambria Math" w:hAnsi="Cambria Math"/>
                        <w:i/>
                      </w:rPr>
                    </m:ctrlPr>
                  </m:dPr>
                  <m:e>
                    <m:r>
                      <w:rPr>
                        <w:rFonts w:ascii="Cambria Math" w:hAnsi="Cambria Math"/>
                      </w:rPr>
                      <m:t>0,</m:t>
                    </m:r>
                    <m:sSubSup>
                      <m:sSubSupPr>
                        <m:ctrlPr>
                          <w:rPr>
                            <w:rFonts w:ascii="Cambria Math" w:hAnsi="Cambria Math"/>
                            <w:szCs w:val="24"/>
                          </w:rPr>
                        </m:ctrlPr>
                      </m:sSubSupPr>
                      <m:e>
                        <m:r>
                          <w:rPr>
                            <w:rFonts w:ascii="Cambria Math" w:hAnsi="Cambria Math"/>
                          </w:rPr>
                          <m:t>σ</m:t>
                        </m:r>
                      </m:e>
                      <m:sub>
                        <m:r>
                          <w:rPr>
                            <w:rFonts w:ascii="Cambria Math" w:hAnsi="Cambria Math"/>
                          </w:rPr>
                          <m:t>n</m:t>
                        </m:r>
                      </m:sub>
                      <m:sup>
                        <m:r>
                          <w:rPr>
                            <w:rFonts w:ascii="Cambria Math" w:hAnsi="Cambria Math"/>
                          </w:rPr>
                          <m:t>2</m:t>
                        </m:r>
                      </m:sup>
                    </m:sSubSup>
                  </m:e>
                </m:d>
                <m:r>
                  <w:rPr>
                    <w:rFonts w:ascii="Cambria Math" w:hAnsi="Cambria Math"/>
                  </w:rPr>
                  <m:t>,  </m:t>
                </m:r>
                <m:sSub>
                  <m:sSubPr>
                    <m:ctrlPr>
                      <w:rPr>
                        <w:rFonts w:ascii="Cambria Math" w:hAnsi="Cambria Math"/>
                        <w:szCs w:val="24"/>
                      </w:rPr>
                    </m:ctrlPr>
                  </m:sSubPr>
                  <m:e>
                    <m:r>
                      <w:rPr>
                        <w:rFonts w:ascii="Cambria Math" w:hAnsi="Cambria Math"/>
                      </w:rPr>
                      <m:t>σ</m:t>
                    </m:r>
                  </m:e>
                  <m:sub>
                    <m:r>
                      <w:rPr>
                        <w:rFonts w:ascii="Cambria Math" w:hAnsi="Cambria Math"/>
                      </w:rPr>
                      <m:t>n</m:t>
                    </m:r>
                  </m:sub>
                </m:sSub>
                <m:r>
                  <w:rPr>
                    <w:rFonts w:ascii="Cambria Math" w:hAnsi="Cambria Math"/>
                  </w:rPr>
                  <m:t>=0.05 </m:t>
                </m:r>
                <m:r>
                  <w:rPr>
                    <w:rFonts w:ascii="Cambria Math" w:hAnsi="Cambria Math"/>
                  </w:rPr>
                  <m:t>h</m:t>
                </m:r>
                <m:r>
                  <m:rPr>
                    <m:sty m:val="p"/>
                  </m:rPr>
                  <w:rPr>
                    <w:rFonts w:ascii="Cambria Math" w:hAnsi="Cambria Math"/>
                    <w:kern w:val="2"/>
                    <w14:ligatures w14:val="standardContextual"/>
                  </w:rPr>
                  <m:t>,</m:t>
                </m:r>
              </m:oMath>
            </m:oMathPara>
          </w:p>
        </w:tc>
        <w:tc>
          <w:tcPr>
            <w:tcW w:w="1362" w:type="dxa"/>
            <w:vAlign w:val="center"/>
          </w:tcPr>
          <w:p w14:paraId="2547A5CA" w14:textId="09B924EB" w:rsidR="00982AA6" w:rsidRPr="00982AA6" w:rsidRDefault="00982AA6" w:rsidP="00A73437">
            <w:pPr>
              <w:spacing w:line="276" w:lineRule="auto"/>
              <w:jc w:val="right"/>
              <w:rPr>
                <w:kern w:val="2"/>
                <w14:ligatures w14:val="standardContextual"/>
              </w:rPr>
            </w:pPr>
            <w:r w:rsidRPr="00982AA6">
              <w:rPr>
                <w:kern w:val="2"/>
                <w14:ligatures w14:val="standardContextual"/>
              </w:rPr>
              <w:t>(</w:t>
            </w:r>
            <w:r>
              <w:rPr>
                <w:kern w:val="2"/>
                <w14:ligatures w14:val="standardContextual"/>
              </w:rPr>
              <w:t>S</w:t>
            </w:r>
            <w:r w:rsidRPr="00982AA6">
              <w:fldChar w:fldCharType="begin"/>
            </w:r>
            <w:r w:rsidRPr="00982AA6">
              <w:rPr>
                <w:kern w:val="2"/>
                <w14:ligatures w14:val="standardContextual"/>
              </w:rPr>
              <w:instrText xml:space="preserve"> SEQ Equation \* ARABIC </w:instrText>
            </w:r>
            <w:r w:rsidRPr="00982AA6">
              <w:fldChar w:fldCharType="separate"/>
            </w:r>
            <w:r>
              <w:rPr>
                <w:noProof/>
                <w:kern w:val="2"/>
                <w14:ligatures w14:val="standardContextual"/>
              </w:rPr>
              <w:t>2</w:t>
            </w:r>
            <w:r w:rsidRPr="00982AA6">
              <w:fldChar w:fldCharType="end"/>
            </w:r>
            <w:r w:rsidRPr="00982AA6">
              <w:rPr>
                <w:kern w:val="2"/>
                <w14:ligatures w14:val="standardContextual"/>
              </w:rPr>
              <w:t>)</w:t>
            </w:r>
          </w:p>
        </w:tc>
      </w:tr>
    </w:tbl>
    <w:p w14:paraId="242C1ABC" w14:textId="77777777" w:rsidR="00982AA6" w:rsidRPr="00982AA6" w:rsidRDefault="00982AA6" w:rsidP="00982AA6">
      <w:pPr>
        <w:spacing w:line="276" w:lineRule="auto"/>
      </w:pPr>
    </w:p>
    <w:p w14:paraId="3B440DE7" w14:textId="4FBABA06" w:rsidR="00377E32" w:rsidRDefault="00377E32" w:rsidP="00157B78">
      <w:r w:rsidRPr="00377E32">
        <w:t>The jitter is zero-mean and avoids artificial tangential displacement. Applying it after terracing combines scan-direction bias with high-frequency roughness while preserving connectivity.</w:t>
      </w:r>
      <w:r>
        <w:t xml:space="preserve"> </w:t>
      </w:r>
    </w:p>
    <w:p w14:paraId="497F4A3A" w14:textId="77777777" w:rsidR="00377E32" w:rsidRDefault="00377E32">
      <w:pPr>
        <w:spacing w:after="160" w:line="259" w:lineRule="auto"/>
        <w:jc w:val="left"/>
      </w:pPr>
      <w:r>
        <w:br w:type="page"/>
      </w:r>
    </w:p>
    <w:p w14:paraId="7B10D4A5" w14:textId="73DF3CE9" w:rsidR="00982AA6" w:rsidRDefault="00377E32" w:rsidP="00377E32">
      <w:pPr>
        <w:pStyle w:val="Heading1"/>
      </w:pPr>
      <w:r>
        <w:lastRenderedPageBreak/>
        <w:t>S2. Curvature estimation and invariant averaging</w:t>
      </w:r>
    </w:p>
    <w:p w14:paraId="2C4DD991" w14:textId="3432E5B5" w:rsidR="00DD04DA" w:rsidRDefault="00F95380">
      <w:pPr>
        <w:rPr>
          <w:szCs w:val="24"/>
        </w:rPr>
      </w:pPr>
      <w:r w:rsidRPr="00C87333">
        <w:t xml:space="preserve">Base estimation. Curvature is estimated with the RUS per-face tensor construction described in Sec. 3.2 of the main manuscript. </w:t>
      </w:r>
      <w:r w:rsidR="00C87333" w:rsidRPr="00C87333">
        <w:t xml:space="preserve">In this approach, per-vertex normals are used to define a finite-difference approximation of the second fundamental form on each triangle. The resulting tensor estimates are then angle-weighted onto the vertices, and their eigenvalues provide the principal curvatures, </w:t>
      </w:r>
      <m:oMath>
        <m:sSub>
          <m:sSubPr>
            <m:ctrlPr>
              <w:rPr>
                <w:rFonts w:ascii="Cambria Math" w:hAnsi="Cambria Math"/>
              </w:rPr>
            </m:ctrlPr>
          </m:sSubPr>
          <m:e>
            <m:r>
              <w:rPr>
                <w:rFonts w:ascii="Cambria Math" w:hAnsi="Cambria Math"/>
              </w:rPr>
              <m:t>κ</m:t>
            </m:r>
          </m:e>
          <m:sub>
            <m:r>
              <m:rPr>
                <m:sty m:val="p"/>
              </m:rPr>
              <w:rPr>
                <w:rFonts w:ascii="Cambria Math" w:hAnsi="Cambria Math"/>
              </w:rPr>
              <m:t>1</m:t>
            </m:r>
          </m:sub>
        </m:sSub>
      </m:oMath>
      <w:r w:rsidR="00C87333" w:rsidRPr="00C87333">
        <w:t xml:space="preserve"> and </w:t>
      </w:r>
      <m:oMath>
        <m:sSub>
          <m:sSubPr>
            <m:ctrlPr>
              <w:rPr>
                <w:rFonts w:ascii="Cambria Math" w:hAnsi="Cambria Math"/>
              </w:rPr>
            </m:ctrlPr>
          </m:sSubPr>
          <m:e>
            <m:r>
              <w:rPr>
                <w:rFonts w:ascii="Cambria Math" w:hAnsi="Cambria Math"/>
              </w:rPr>
              <m:t>κ</m:t>
            </m:r>
          </m:e>
          <m:sub>
            <m:r>
              <m:rPr>
                <m:sty m:val="p"/>
              </m:rPr>
              <w:rPr>
                <w:rFonts w:ascii="Cambria Math" w:hAnsi="Cambria Math"/>
              </w:rPr>
              <m:t>2</m:t>
            </m:r>
          </m:sub>
        </m:sSub>
      </m:oMath>
      <w:r w:rsidR="00C87333" w:rsidRPr="00C87333">
        <w:t xml:space="preserve"> and hence the invariants </w:t>
      </w:r>
      <m:oMath>
        <m:sSub>
          <m:sSubPr>
            <m:ctrlPr>
              <w:rPr>
                <w:rFonts w:ascii="Cambria Math" w:hAnsi="Cambria Math"/>
              </w:rPr>
            </m:ctrlPr>
          </m:sSubPr>
          <m:e>
            <m:r>
              <w:rPr>
                <w:rFonts w:ascii="Cambria Math" w:hAnsi="Cambria Math"/>
              </w:rPr>
              <m:t>κ</m:t>
            </m:r>
          </m:e>
          <m:sub>
            <m:r>
              <w:rPr>
                <w:rFonts w:ascii="Cambria Math" w:hAnsi="Cambria Math"/>
              </w:rPr>
              <m:t>m</m:t>
            </m:r>
          </m:sub>
        </m:sSub>
      </m:oMath>
      <w:r w:rsidR="00C87333" w:rsidRPr="00C87333">
        <w:t xml:space="preserve"> and </w:t>
      </w:r>
      <m:oMath>
        <m:sSub>
          <m:sSubPr>
            <m:ctrlPr>
              <w:rPr>
                <w:rFonts w:ascii="Cambria Math" w:hAnsi="Cambria Math"/>
              </w:rPr>
            </m:ctrlPr>
          </m:sSubPr>
          <m:e>
            <m:r>
              <w:rPr>
                <w:rFonts w:ascii="Cambria Math" w:hAnsi="Cambria Math"/>
              </w:rPr>
              <m:t>κ</m:t>
            </m:r>
          </m:e>
          <m:sub>
            <m:r>
              <w:rPr>
                <w:rFonts w:ascii="Cambria Math" w:hAnsi="Cambria Math"/>
              </w:rPr>
              <m:t>g</m:t>
            </m:r>
          </m:sub>
        </m:sSub>
      </m:oMath>
      <w:r w:rsidR="00C87333" w:rsidRPr="00C87333">
        <w:t>. RUS was selected as the base estimator for the CT-image analysis because it showed the best overall performance across the tested morphologies, as demonstrated</w:t>
      </w:r>
      <w:r w:rsidRPr="00C87333">
        <w:t xml:space="preserve"> in Sec. 4.1 of the main manuscript.</w:t>
      </w:r>
    </w:p>
    <w:p w14:paraId="3E6156DD" w14:textId="6B234535" w:rsidR="00DD04DA" w:rsidRDefault="008C0453">
      <w:pPr>
        <w:rPr>
          <w:szCs w:val="24"/>
        </w:rPr>
      </w:pPr>
      <w:r w:rsidRPr="008C0453">
        <w:rPr>
          <w:i/>
          <w:iCs/>
        </w:rPr>
        <w:t>Invariant averaging.</w:t>
      </w:r>
      <w:r w:rsidRPr="008C0453">
        <w:t xml:space="preserve"> The per-vertex invariants are then aggregated by n passes of a self-inclusive, area-weighted average over the closed one-ring </w:t>
      </w:r>
      <m:oMath>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rPr>
                  <m:t>N</m:t>
                </m:r>
              </m:e>
            </m:acc>
          </m:e>
          <m:sub>
            <m:r>
              <w:rPr>
                <w:rFonts w:ascii="Cambria Math" w:hAnsi="Cambria Math"/>
              </w:rPr>
              <m:t>1</m:t>
            </m:r>
          </m:sub>
        </m:sSub>
        <m:r>
          <w:rPr>
            <w:rFonts w:ascii="Cambria Math" w:hAnsi="Cambria Math"/>
          </w:rPr>
          <m:t>(</m:t>
        </m:r>
        <m:sSub>
          <m:sSubPr>
            <m:ctrlPr>
              <w:rPr>
                <w:rFonts w:ascii="Cambria Math" w:hAnsi="Cambria Math"/>
                <w:szCs w:val="24"/>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szCs w:val="24"/>
              </w:rPr>
            </m:ctrlPr>
          </m:sSubPr>
          <m:e>
            <m:r>
              <w:rPr>
                <w:rFonts w:ascii="Cambria Math" w:hAnsi="Cambria Math"/>
              </w:rPr>
              <m:t>v</m:t>
            </m:r>
          </m:e>
          <m:sub>
            <m:r>
              <w:rPr>
                <w:rFonts w:ascii="Cambria Math" w:hAnsi="Cambria Math"/>
              </w:rPr>
              <m:t>i</m:t>
            </m:r>
          </m:sub>
        </m:sSub>
        <m:r>
          <w:rPr>
            <w:rFonts w:ascii="Cambria Math" w:hAnsi="Cambria Math"/>
          </w:rPr>
          <m:t>}∪</m:t>
        </m:r>
        <m:sSub>
          <m:sSubPr>
            <m:ctrlPr>
              <w:rPr>
                <w:rFonts w:ascii="Cambria Math" w:hAnsi="Cambria Math"/>
                <w:szCs w:val="24"/>
              </w:rPr>
            </m:ctrlPr>
          </m:sSubPr>
          <m:e>
            <m:r>
              <w:rPr>
                <w:rFonts w:ascii="Cambria Math" w:hAnsi="Cambria Math"/>
              </w:rPr>
              <m:t>N</m:t>
            </m:r>
          </m:e>
          <m:sub>
            <m:r>
              <w:rPr>
                <w:rFonts w:ascii="Cambria Math" w:hAnsi="Cambria Math"/>
              </w:rPr>
              <m:t>1</m:t>
            </m:r>
          </m:sub>
        </m:sSub>
        <m:r>
          <w:rPr>
            <w:rFonts w:ascii="Cambria Math" w:hAnsi="Cambria Math"/>
          </w:rPr>
          <m:t>(</m:t>
        </m:r>
        <m:sSub>
          <m:sSubPr>
            <m:ctrlPr>
              <w:rPr>
                <w:rFonts w:ascii="Cambria Math" w:hAnsi="Cambria Math"/>
                <w:szCs w:val="24"/>
              </w:rPr>
            </m:ctrlPr>
          </m:sSubPr>
          <m:e>
            <m:r>
              <w:rPr>
                <w:rFonts w:ascii="Cambria Math" w:hAnsi="Cambria Math"/>
              </w:rPr>
              <m:t>v</m:t>
            </m:r>
          </m:e>
          <m:sub>
            <m:r>
              <w:rPr>
                <w:rFonts w:ascii="Cambria Math" w:hAnsi="Cambria Math"/>
              </w:rPr>
              <m:t>i</m:t>
            </m:r>
          </m:sub>
        </m:sSub>
        <m:r>
          <w:rPr>
            <w:rFonts w:ascii="Cambria Math" w:hAnsi="Cambria Math"/>
          </w:rPr>
          <m:t>)</m:t>
        </m:r>
      </m:oMath>
      <w:r w:rsidR="00C87333">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6248"/>
        <w:gridCol w:w="1362"/>
      </w:tblGrid>
      <w:tr w:rsidR="00377E32" w:rsidRPr="00377E32" w14:paraId="3E61A81C" w14:textId="77777777" w:rsidTr="00C87333">
        <w:trPr>
          <w:trHeight w:val="510"/>
        </w:trPr>
        <w:tc>
          <w:tcPr>
            <w:tcW w:w="1416" w:type="dxa"/>
            <w:vAlign w:val="center"/>
          </w:tcPr>
          <w:p w14:paraId="2493CC44" w14:textId="77777777" w:rsidR="00377E32" w:rsidRPr="00377E32" w:rsidRDefault="00377E32" w:rsidP="00377E32"/>
        </w:tc>
        <w:tc>
          <w:tcPr>
            <w:tcW w:w="6248" w:type="dxa"/>
            <w:vAlign w:val="center"/>
          </w:tcPr>
          <w:p w14:paraId="55100E7D" w14:textId="77777777" w:rsidR="00377E32" w:rsidRPr="00377E32" w:rsidRDefault="00000000" w:rsidP="00377E32">
            <m:oMathPara>
              <m:oMath>
                <m:sSubSup>
                  <m:sSubSupPr>
                    <m:ctrlPr>
                      <w:rPr>
                        <w:rFonts w:ascii="Cambria Math" w:hAnsi="Cambria Math"/>
                        <w:szCs w:val="24"/>
                      </w:rPr>
                    </m:ctrlPr>
                  </m:sSubSupPr>
                  <m:e>
                    <m:r>
                      <w:rPr>
                        <w:rFonts w:ascii="Cambria Math" w:hAnsi="Cambria Math"/>
                      </w:rPr>
                      <m:t>κ</m:t>
                    </m:r>
                  </m:e>
                  <m:sub>
                    <m:r>
                      <w:rPr>
                        <w:rFonts w:ascii="Cambria Math" w:hAnsi="Cambria Math"/>
                      </w:rPr>
                      <m:t>i</m:t>
                    </m:r>
                  </m:sub>
                  <m:sup>
                    <m:r>
                      <w:rPr>
                        <w:rFonts w:ascii="Cambria Math" w:hAnsi="Cambria Math"/>
                      </w:rPr>
                      <m:t>(k+1)</m:t>
                    </m:r>
                  </m:sup>
                </m:sSubSup>
                <m:r>
                  <w:rPr>
                    <w:rFonts w:ascii="Cambria Math" w:hAnsi="Cambria Math"/>
                  </w:rPr>
                  <m:t>=</m:t>
                </m:r>
                <m:f>
                  <m:fPr>
                    <m:ctrlPr>
                      <w:rPr>
                        <w:rFonts w:ascii="Cambria Math" w:hAnsi="Cambria Math"/>
                        <w:szCs w:val="24"/>
                      </w:rPr>
                    </m:ctrlPr>
                  </m:fPr>
                  <m:num>
                    <m:nary>
                      <m:naryPr>
                        <m:chr m:val="∑"/>
                        <m:limLoc m:val="undOvr"/>
                        <m:supHide m:val="1"/>
                        <m:ctrlPr>
                          <w:rPr>
                            <w:rFonts w:ascii="Cambria Math" w:hAnsi="Cambria Math"/>
                            <w:szCs w:val="24"/>
                          </w:rPr>
                        </m:ctrlPr>
                      </m:naryPr>
                      <m:sub>
                        <m:sSub>
                          <m:sSubPr>
                            <m:ctrlPr>
                              <w:rPr>
                                <w:rFonts w:ascii="Cambria Math" w:hAnsi="Cambria Math"/>
                                <w:szCs w:val="24"/>
                              </w:rPr>
                            </m:ctrlPr>
                          </m:sSubPr>
                          <m:e>
                            <m:r>
                              <w:rPr>
                                <w:rFonts w:ascii="Cambria Math" w:hAnsi="Cambria Math"/>
                              </w:rPr>
                              <m:t>v</m:t>
                            </m:r>
                          </m:e>
                          <m:sub>
                            <m:r>
                              <w:rPr>
                                <w:rFonts w:ascii="Cambria Math" w:hAnsi="Cambria Math"/>
                              </w:rPr>
                              <m:t>j</m:t>
                            </m:r>
                          </m:sub>
                        </m:sSub>
                        <m:r>
                          <w:rPr>
                            <w:rFonts w:ascii="Cambria Math" w:hAnsi="Cambria Math"/>
                          </w:rPr>
                          <m:t>∈</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rPr>
                                  <m:t>N</m:t>
                                </m:r>
                              </m:e>
                            </m:acc>
                          </m:e>
                          <m:sub>
                            <m:r>
                              <w:rPr>
                                <w:rFonts w:ascii="Cambria Math" w:hAnsi="Cambria Math"/>
                              </w:rPr>
                              <m:t>1</m:t>
                            </m:r>
                          </m:sub>
                        </m:sSub>
                        <m:r>
                          <w:rPr>
                            <w:rFonts w:ascii="Cambria Math" w:hAnsi="Cambria Math"/>
                          </w:rPr>
                          <m:t>(</m:t>
                        </m:r>
                        <m:sSub>
                          <m:sSubPr>
                            <m:ctrlPr>
                              <w:rPr>
                                <w:rFonts w:ascii="Cambria Math" w:hAnsi="Cambria Math"/>
                                <w:szCs w:val="24"/>
                              </w:rPr>
                            </m:ctrlPr>
                          </m:sSubPr>
                          <m:e>
                            <m:r>
                              <w:rPr>
                                <w:rFonts w:ascii="Cambria Math" w:hAnsi="Cambria Math"/>
                              </w:rPr>
                              <m:t>v</m:t>
                            </m:r>
                          </m:e>
                          <m:sub>
                            <m:r>
                              <w:rPr>
                                <w:rFonts w:ascii="Cambria Math" w:hAnsi="Cambria Math"/>
                              </w:rPr>
                              <m:t>i</m:t>
                            </m:r>
                          </m:sub>
                        </m:sSub>
                        <m:r>
                          <w:rPr>
                            <w:rFonts w:ascii="Cambria Math" w:hAnsi="Cambria Math"/>
                          </w:rPr>
                          <m:t>)</m:t>
                        </m:r>
                      </m:sub>
                      <m:sup>
                        <m:r>
                          <w:rPr>
                            <w:rFonts w:ascii="Cambria Math" w:hAnsi="Cambria Math"/>
                          </w:rPr>
                          <m:t>​</m:t>
                        </m:r>
                      </m:sup>
                      <m:e>
                        <m:sSub>
                          <m:sSubPr>
                            <m:ctrlPr>
                              <w:rPr>
                                <w:rFonts w:ascii="Cambria Math" w:hAnsi="Cambria Math"/>
                                <w:szCs w:val="24"/>
                              </w:rPr>
                            </m:ctrlPr>
                          </m:sSubPr>
                          <m:e>
                            <m:r>
                              <w:rPr>
                                <w:rFonts w:ascii="Cambria Math" w:hAnsi="Cambria Math"/>
                              </w:rPr>
                              <m:t>A</m:t>
                            </m:r>
                          </m:e>
                          <m:sub>
                            <m:r>
                              <w:rPr>
                                <w:rFonts w:ascii="Cambria Math" w:hAnsi="Cambria Math"/>
                              </w:rPr>
                              <m:t>j</m:t>
                            </m:r>
                          </m:sub>
                        </m:sSub>
                      </m:e>
                    </m:nary>
                    <m:r>
                      <w:rPr>
                        <w:rFonts w:ascii="Cambria Math" w:hAnsi="Cambria Math"/>
                      </w:rPr>
                      <m:t> </m:t>
                    </m:r>
                    <m:sSubSup>
                      <m:sSubSupPr>
                        <m:ctrlPr>
                          <w:rPr>
                            <w:rFonts w:ascii="Cambria Math" w:hAnsi="Cambria Math"/>
                            <w:szCs w:val="24"/>
                          </w:rPr>
                        </m:ctrlPr>
                      </m:sSubSupPr>
                      <m:e>
                        <m:r>
                          <w:rPr>
                            <w:rFonts w:ascii="Cambria Math" w:hAnsi="Cambria Math"/>
                          </w:rPr>
                          <m:t>κ</m:t>
                        </m:r>
                      </m:e>
                      <m:sub>
                        <m:r>
                          <w:rPr>
                            <w:rFonts w:ascii="Cambria Math" w:hAnsi="Cambria Math"/>
                          </w:rPr>
                          <m:t>j</m:t>
                        </m:r>
                      </m:sub>
                      <m:sup>
                        <m:r>
                          <w:rPr>
                            <w:rFonts w:ascii="Cambria Math" w:hAnsi="Cambria Math"/>
                          </w:rPr>
                          <m:t>(k)</m:t>
                        </m:r>
                      </m:sup>
                    </m:sSubSup>
                  </m:num>
                  <m:den>
                    <m:nary>
                      <m:naryPr>
                        <m:chr m:val="∑"/>
                        <m:limLoc m:val="undOvr"/>
                        <m:supHide m:val="1"/>
                        <m:ctrlPr>
                          <w:rPr>
                            <w:rFonts w:ascii="Cambria Math" w:hAnsi="Cambria Math"/>
                            <w:szCs w:val="24"/>
                          </w:rPr>
                        </m:ctrlPr>
                      </m:naryPr>
                      <m:sub>
                        <m:sSub>
                          <m:sSubPr>
                            <m:ctrlPr>
                              <w:rPr>
                                <w:rFonts w:ascii="Cambria Math" w:hAnsi="Cambria Math"/>
                                <w:szCs w:val="24"/>
                              </w:rPr>
                            </m:ctrlPr>
                          </m:sSubPr>
                          <m:e>
                            <m:r>
                              <w:rPr>
                                <w:rFonts w:ascii="Cambria Math" w:hAnsi="Cambria Math"/>
                              </w:rPr>
                              <m:t>v</m:t>
                            </m:r>
                          </m:e>
                          <m:sub>
                            <m:r>
                              <w:rPr>
                                <w:rFonts w:ascii="Cambria Math" w:hAnsi="Cambria Math"/>
                              </w:rPr>
                              <m:t>j</m:t>
                            </m:r>
                          </m:sub>
                        </m:sSub>
                        <m:r>
                          <w:rPr>
                            <w:rFonts w:ascii="Cambria Math" w:hAnsi="Cambria Math"/>
                          </w:rPr>
                          <m:t>∈</m:t>
                        </m:r>
                        <m:sSub>
                          <m:sSubPr>
                            <m:ctrlPr>
                              <w:rPr>
                                <w:rFonts w:ascii="Cambria Math" w:hAnsi="Cambria Math"/>
                                <w:szCs w:val="24"/>
                              </w:rPr>
                            </m:ctrlPr>
                          </m:sSubPr>
                          <m:e>
                            <m:acc>
                              <m:accPr>
                                <m:chr m:val="‾"/>
                                <m:ctrlPr>
                                  <w:rPr>
                                    <w:rFonts w:ascii="Cambria Math" w:hAnsi="Cambria Math"/>
                                    <w:szCs w:val="24"/>
                                  </w:rPr>
                                </m:ctrlPr>
                              </m:accPr>
                              <m:e>
                                <m:r>
                                  <w:rPr>
                                    <w:rFonts w:ascii="Cambria Math" w:hAnsi="Cambria Math"/>
                                  </w:rPr>
                                  <m:t>N</m:t>
                                </m:r>
                              </m:e>
                            </m:acc>
                          </m:e>
                          <m:sub>
                            <m:r>
                              <w:rPr>
                                <w:rFonts w:ascii="Cambria Math" w:hAnsi="Cambria Math"/>
                              </w:rPr>
                              <m:t>1</m:t>
                            </m:r>
                          </m:sub>
                        </m:sSub>
                        <m:r>
                          <w:rPr>
                            <w:rFonts w:ascii="Cambria Math" w:hAnsi="Cambria Math"/>
                          </w:rPr>
                          <m:t>(</m:t>
                        </m:r>
                        <m:sSub>
                          <m:sSubPr>
                            <m:ctrlPr>
                              <w:rPr>
                                <w:rFonts w:ascii="Cambria Math" w:hAnsi="Cambria Math"/>
                                <w:szCs w:val="24"/>
                              </w:rPr>
                            </m:ctrlPr>
                          </m:sSubPr>
                          <m:e>
                            <m:r>
                              <w:rPr>
                                <w:rFonts w:ascii="Cambria Math" w:hAnsi="Cambria Math"/>
                              </w:rPr>
                              <m:t>v</m:t>
                            </m:r>
                          </m:e>
                          <m:sub>
                            <m:r>
                              <w:rPr>
                                <w:rFonts w:ascii="Cambria Math" w:hAnsi="Cambria Math"/>
                              </w:rPr>
                              <m:t>i</m:t>
                            </m:r>
                          </m:sub>
                        </m:sSub>
                        <m:r>
                          <w:rPr>
                            <w:rFonts w:ascii="Cambria Math" w:hAnsi="Cambria Math"/>
                          </w:rPr>
                          <m:t>)</m:t>
                        </m:r>
                      </m:sub>
                      <m:sup>
                        <m:r>
                          <w:rPr>
                            <w:rFonts w:ascii="Cambria Math" w:hAnsi="Cambria Math"/>
                          </w:rPr>
                          <m:t>​</m:t>
                        </m:r>
                      </m:sup>
                      <m:e>
                        <m:sSub>
                          <m:sSubPr>
                            <m:ctrlPr>
                              <w:rPr>
                                <w:rFonts w:ascii="Cambria Math" w:hAnsi="Cambria Math"/>
                                <w:szCs w:val="24"/>
                              </w:rPr>
                            </m:ctrlPr>
                          </m:sSubPr>
                          <m:e>
                            <m:r>
                              <w:rPr>
                                <w:rFonts w:ascii="Cambria Math" w:hAnsi="Cambria Math"/>
                              </w:rPr>
                              <m:t>A</m:t>
                            </m:r>
                          </m:e>
                          <m:sub>
                            <m:r>
                              <w:rPr>
                                <w:rFonts w:ascii="Cambria Math" w:hAnsi="Cambria Math"/>
                              </w:rPr>
                              <m:t>j</m:t>
                            </m:r>
                          </m:sub>
                        </m:sSub>
                      </m:e>
                    </m:nary>
                  </m:den>
                </m:f>
                <m:r>
                  <m:rPr>
                    <m:sty m:val="p"/>
                  </m:rPr>
                  <w:rPr>
                    <w:rFonts w:ascii="Cambria Math" w:hAnsi="Cambria Math"/>
                  </w:rPr>
                  <m:t xml:space="preserve"> ,</m:t>
                </m:r>
              </m:oMath>
            </m:oMathPara>
          </w:p>
        </w:tc>
        <w:tc>
          <w:tcPr>
            <w:tcW w:w="1362" w:type="dxa"/>
            <w:tcMar>
              <w:top w:w="0" w:type="dxa"/>
              <w:left w:w="108" w:type="dxa"/>
              <w:bottom w:w="0" w:type="dxa"/>
              <w:right w:w="108" w:type="dxa"/>
            </w:tcMar>
            <w:vAlign w:val="center"/>
            <w:hideMark/>
          </w:tcPr>
          <w:p w14:paraId="6408BDAE" w14:textId="02000D17" w:rsidR="00377E32" w:rsidRPr="00377E32" w:rsidRDefault="00C87333" w:rsidP="00C87333">
            <w:pPr>
              <w:jc w:val="right"/>
            </w:pPr>
            <w:r w:rsidRPr="00982AA6">
              <w:rPr>
                <w:kern w:val="2"/>
                <w14:ligatures w14:val="standardContextual"/>
              </w:rPr>
              <w:t>(</w:t>
            </w:r>
            <w:r>
              <w:rPr>
                <w:kern w:val="2"/>
                <w14:ligatures w14:val="standardContextual"/>
              </w:rPr>
              <w:t>S</w:t>
            </w:r>
            <w:r w:rsidRPr="00982AA6">
              <w:fldChar w:fldCharType="begin"/>
            </w:r>
            <w:r w:rsidRPr="00982AA6">
              <w:rPr>
                <w:kern w:val="2"/>
                <w14:ligatures w14:val="standardContextual"/>
              </w:rPr>
              <w:instrText xml:space="preserve"> SEQ Equation \* ARABIC </w:instrText>
            </w:r>
            <w:r w:rsidRPr="00982AA6">
              <w:fldChar w:fldCharType="separate"/>
            </w:r>
            <w:r>
              <w:rPr>
                <w:noProof/>
                <w:kern w:val="2"/>
                <w14:ligatures w14:val="standardContextual"/>
              </w:rPr>
              <w:t>3</w:t>
            </w:r>
            <w:r w:rsidRPr="00982AA6">
              <w:fldChar w:fldCharType="end"/>
            </w:r>
            <w:r w:rsidRPr="00982AA6">
              <w:rPr>
                <w:kern w:val="2"/>
                <w14:ligatures w14:val="standardContextual"/>
              </w:rPr>
              <w:t>)</w:t>
            </w:r>
          </w:p>
        </w:tc>
      </w:tr>
    </w:tbl>
    <w:p w14:paraId="54996762" w14:textId="7E546B24" w:rsidR="00DD04DA" w:rsidRDefault="004F1F59" w:rsidP="00C87333">
      <w:r w:rsidRPr="00C87333">
        <w:t>Equation (S</w:t>
      </w:r>
      <w:r w:rsidR="00C87333" w:rsidRPr="00C87333">
        <w:t>3</w:t>
      </w:r>
      <w:r w:rsidRPr="00C87333">
        <w:t>) is applied</w:t>
      </w:r>
      <w:r w:rsidRPr="004F1F59">
        <w:t xml:space="preserve"> separately to </w:t>
      </w:r>
      <m:oMath>
        <m:sSub>
          <m:sSubPr>
            <m:ctrlPr>
              <w:rPr>
                <w:rFonts w:ascii="Cambria Math" w:hAnsi="Cambria Math"/>
              </w:rPr>
            </m:ctrlPr>
          </m:sSubPr>
          <m:e>
            <m:r>
              <w:rPr>
                <w:rFonts w:ascii="Cambria Math" w:hAnsi="Cambria Math"/>
              </w:rPr>
              <m:t>κ</m:t>
            </m:r>
          </m:e>
          <m:sub>
            <m:r>
              <w:rPr>
                <w:rFonts w:ascii="Cambria Math" w:hAnsi="Cambria Math"/>
              </w:rPr>
              <m:t>m</m:t>
            </m:r>
          </m:sub>
        </m:sSub>
      </m:oMath>
      <w:r w:rsidR="00C87333">
        <w:t xml:space="preserve"> and </w:t>
      </w:r>
      <m:oMath>
        <m:sSub>
          <m:sSubPr>
            <m:ctrlPr>
              <w:rPr>
                <w:rFonts w:ascii="Cambria Math" w:hAnsi="Cambria Math"/>
              </w:rPr>
            </m:ctrlPr>
          </m:sSubPr>
          <m:e>
            <m:r>
              <w:rPr>
                <w:rFonts w:ascii="Cambria Math" w:hAnsi="Cambria Math"/>
              </w:rPr>
              <m:t>κ</m:t>
            </m:r>
          </m:e>
          <m:sub>
            <m:r>
              <w:rPr>
                <w:rFonts w:ascii="Cambria Math" w:hAnsi="Cambria Math"/>
              </w:rPr>
              <m:t>g</m:t>
            </m:r>
          </m:sub>
        </m:sSub>
      </m:oMath>
      <w:r w:rsidR="00C87333">
        <w:t xml:space="preserve">, and </w:t>
      </w:r>
      <m:oMath>
        <m:sSub>
          <m:sSubPr>
            <m:ctrlPr>
              <w:rPr>
                <w:rFonts w:ascii="Cambria Math" w:hAnsi="Cambria Math"/>
              </w:rPr>
            </m:ctrlPr>
          </m:sSubPr>
          <m:e>
            <m:r>
              <w:rPr>
                <w:rFonts w:ascii="Cambria Math" w:hAnsi="Cambria Math"/>
              </w:rPr>
              <m:t>A</m:t>
            </m:r>
          </m:e>
          <m:sub>
            <m:r>
              <w:rPr>
                <w:rFonts w:ascii="Cambria Math" w:hAnsi="Cambria Math"/>
              </w:rPr>
              <m:t>j</m:t>
            </m:r>
          </m:sub>
        </m:sSub>
      </m:oMath>
      <w:r w:rsidR="00C87333">
        <w:t xml:space="preserve"> is the barycentric-cell area of vertex </w:t>
      </w:r>
      <m:oMath>
        <m:sSub>
          <m:sSubPr>
            <m:ctrlPr>
              <w:rPr>
                <w:rFonts w:ascii="Cambria Math" w:hAnsi="Cambria Math"/>
              </w:rPr>
            </m:ctrlPr>
          </m:sSubPr>
          <m:e>
            <m:r>
              <w:rPr>
                <w:rFonts w:ascii="Cambria Math" w:hAnsi="Cambria Math"/>
              </w:rPr>
              <m:t>v</m:t>
            </m:r>
          </m:e>
          <m:sub>
            <m:r>
              <w:rPr>
                <w:rFonts w:ascii="Cambria Math" w:hAnsi="Cambria Math"/>
              </w:rPr>
              <m:t>j</m:t>
            </m:r>
          </m:sub>
        </m:sSub>
      </m:oMath>
      <w:r w:rsidRPr="004F1F59">
        <w:t xml:space="preserve"> </w:t>
      </w:r>
      <w:r w:rsidR="00C87333" w:rsidRPr="00C87333">
        <w:fldChar w:fldCharType="begin"/>
      </w:r>
      <w:r w:rsidR="00EB6BE8">
        <w:instrText xml:space="preserve"> ADDIN ZOTERO_ITEM CSL_CITATION {"citationID":"a16lo62s804","properties":{"unsorted":false,"formattedCitation":"(Botsch et al. 2010)","plainCitation":"(Botsch et al. 2010)","noteIndex":0},"citationItems":[{"id":1216,"uris":["http://zotero.org/users/13509348/items/7NYUE9TI"],"itemData":{"id":1216,"type":"book","DOI":"10.1201/b10688","edition":"0","ISBN":"978-1-4398-6531-6","language":"en","publisher":"A K Peters/CRC Press","source":"DOI.org (Crossref)","title":"Polygon Mesh Processing","URL":"https://www.taylorfrancis.com/books/9781439865316","author":[{"family":"Botsch","given":"Mario"},{"family":"Kobbelt","given":"Leif"},{"family":"Pauly","given":"Mark"},{"family":"Alliez","given":"Pierre"},{"family":"Levy","given":"Bruno"}],"accessed":{"date-parts":[["2026",7,10]]},"issued":{"date-parts":[["2010",10,7]]}}}],"schema":"https://github.com/citation-style-language/schema/raw/master/csl-citation.json"} </w:instrText>
      </w:r>
      <w:r w:rsidR="00C87333" w:rsidRPr="00C87333">
        <w:fldChar w:fldCharType="separate"/>
      </w:r>
      <w:r w:rsidR="00EB6BE8" w:rsidRPr="00EB6BE8">
        <w:rPr>
          <w:rFonts w:cs="Times New Roman"/>
          <w:kern w:val="0"/>
        </w:rPr>
        <w:t>(Botsch et al. 2010)</w:t>
      </w:r>
      <w:r w:rsidR="00C87333" w:rsidRPr="00C87333">
        <w:fldChar w:fldCharType="end"/>
      </w:r>
      <w:r w:rsidRPr="004F1F59">
        <w:t xml:space="preserve">. Three design choices matter here. Self-inclusion makes each pass a convex combination, so constant fields are fixed </w:t>
      </w:r>
      <w:proofErr w:type="gramStart"/>
      <w:r w:rsidRPr="004F1F59">
        <w:t>points</w:t>
      </w:r>
      <w:proofErr w:type="gramEnd"/>
      <w:r w:rsidRPr="004F1F59">
        <w:t xml:space="preserve"> and the iteration is unconditionally stable. Averaging the </w:t>
      </w:r>
      <w:r w:rsidRPr="004F1F59">
        <w:rPr>
          <w:i/>
          <w:iCs/>
        </w:rPr>
        <w:t>invariants</w:t>
      </w:r>
      <w:r w:rsidRPr="004F1F59">
        <w:t xml:space="preserve"> rather than the principal curvatures preserves the ordering </w:t>
      </w:r>
      <m:oMath>
        <m:sSub>
          <m:sSubPr>
            <m:ctrlPr>
              <w:rPr>
                <w:rFonts w:ascii="Cambria Math" w:hAnsi="Cambria Math"/>
              </w:rPr>
            </m:ctrlPr>
          </m:sSubPr>
          <m:e>
            <m:r>
              <w:rPr>
                <w:rFonts w:ascii="Cambria Math" w:hAnsi="Cambria Math"/>
              </w:rPr>
              <m:t>κ</m:t>
            </m:r>
          </m:e>
          <m:sub>
            <m:r>
              <w:rPr>
                <w:rFonts w:ascii="Cambria Math" w:hAnsi="Cambria Math"/>
              </w:rPr>
              <m:t>1</m:t>
            </m:r>
          </m:sub>
        </m:sSub>
        <m:r>
          <w:rPr>
            <w:rFonts w:ascii="Cambria Math" w:hAnsi="Cambria Math"/>
          </w:rPr>
          <m:t>≥</m:t>
        </m:r>
        <m:sSub>
          <m:sSubPr>
            <m:ctrlPr>
              <w:rPr>
                <w:rFonts w:ascii="Cambria Math" w:hAnsi="Cambria Math"/>
              </w:rPr>
            </m:ctrlPr>
          </m:sSubPr>
          <m:e>
            <m:r>
              <w:rPr>
                <w:rFonts w:ascii="Cambria Math" w:hAnsi="Cambria Math"/>
              </w:rPr>
              <m:t>κ</m:t>
            </m:r>
          </m:e>
          <m:sub>
            <m:r>
              <w:rPr>
                <w:rFonts w:ascii="Cambria Math" w:hAnsi="Cambria Math"/>
              </w:rPr>
              <m:t>2</m:t>
            </m:r>
          </m:sub>
        </m:sSub>
      </m:oMath>
      <w:r w:rsidRPr="004F1F59">
        <w:t xml:space="preserve"> when the pair is recovered by inverting </w:t>
      </w:r>
      <w:r w:rsidRPr="00C87333">
        <w:t>Eqs. (2)–(3)</w:t>
      </w:r>
      <w:r w:rsidR="00C87333">
        <w:t xml:space="preserve"> of the main </w:t>
      </w:r>
      <w:proofErr w:type="gramStart"/>
      <w:r w:rsidR="00C87333">
        <w:t>manuscript</w:t>
      </w:r>
      <w:r w:rsidRPr="00C87333">
        <w:t>, and</w:t>
      </w:r>
      <w:proofErr w:type="gramEnd"/>
      <w:r w:rsidRPr="00C87333">
        <w:t xml:space="preserve"> avoids the sign ambiguities of averaging eigenvalue fields; </w:t>
      </w:r>
      <m:oMath>
        <m:sSub>
          <m:sSubPr>
            <m:ctrlPr>
              <w:rPr>
                <w:rFonts w:ascii="Cambria Math" w:hAnsi="Cambria Math"/>
              </w:rPr>
            </m:ctrlPr>
          </m:sSubPr>
          <m:e>
            <m:r>
              <w:rPr>
                <w:rFonts w:ascii="Cambria Math" w:hAnsi="Cambria Math"/>
              </w:rPr>
              <m:t>κ</m:t>
            </m:r>
          </m:e>
          <m:sub>
            <m:r>
              <w:rPr>
                <w:rFonts w:ascii="Cambria Math" w:hAnsi="Cambria Math"/>
              </w:rPr>
              <m:t>T</m:t>
            </m:r>
          </m:sub>
        </m:sSub>
      </m:oMath>
      <w:r w:rsidRPr="00C87333">
        <w:t xml:space="preserve"> and the shape index </w:t>
      </w:r>
      <w:r w:rsidR="00C87333">
        <w:t>is</w:t>
      </w:r>
      <w:r w:rsidRPr="00C87333">
        <w:t xml:space="preserve"> then derived from the smoothed pair through Eq. (4)</w:t>
      </w:r>
      <w:r w:rsidR="00C87333">
        <w:t xml:space="preserve"> of the main manuscript</w:t>
      </w:r>
      <w:r w:rsidRPr="00C87333">
        <w:t>.</w:t>
      </w:r>
      <w:r w:rsidR="00C87333">
        <w:t xml:space="preserve"> Because Eq. (3) </w:t>
      </w:r>
      <w:r w:rsidRPr="004F1F59">
        <w:t xml:space="preserve">is a discrete diffusion step, </w:t>
      </w:r>
      <m:oMath>
        <m:r>
          <w:rPr>
            <w:rFonts w:ascii="Cambria Math" w:hAnsi="Cambria Math"/>
          </w:rPr>
          <m:t>n</m:t>
        </m:r>
      </m:oMath>
      <w:r w:rsidR="00C87333">
        <w:t xml:space="preserve"> passes approximate convolution with a heat kernel of radius </w:t>
      </w:r>
      <m:oMath>
        <m:sSub>
          <m:sSubPr>
            <m:ctrlPr>
              <w:rPr>
                <w:rFonts w:ascii="Cambria Math" w:hAnsi="Cambria Math"/>
              </w:rPr>
            </m:ctrlPr>
          </m:sSubPr>
          <m:e>
            <m:r>
              <w:rPr>
                <w:rFonts w:ascii="Cambria Math" w:hAnsi="Cambria Math"/>
              </w:rPr>
              <m:t>r</m:t>
            </m:r>
          </m:e>
          <m:sub>
            <m:r>
              <w:rPr>
                <w:rFonts w:ascii="Cambria Math" w:hAnsi="Cambria Math"/>
              </w:rPr>
              <m:t>n</m:t>
            </m:r>
          </m:sub>
        </m:sSub>
        <m:r>
          <w:rPr>
            <w:rFonts w:ascii="Cambria Math" w:hAnsi="Cambria Math"/>
          </w:rPr>
          <m:t>∼h</m:t>
        </m:r>
        <m:rad>
          <m:radPr>
            <m:degHide m:val="1"/>
            <m:ctrlPr>
              <w:rPr>
                <w:rFonts w:ascii="Cambria Math" w:hAnsi="Cambria Math"/>
              </w:rPr>
            </m:ctrlPr>
          </m:radPr>
          <m:deg/>
          <m:e>
            <m:r>
              <w:rPr>
                <w:rFonts w:ascii="Cambria Math" w:hAnsi="Cambria Math"/>
              </w:rPr>
              <m:t>n</m:t>
            </m:r>
          </m:e>
        </m:rad>
      </m:oMath>
      <w:r w:rsidR="00C87333">
        <w:t xml:space="preserve">: the noise variance decays roughly as the inverse of the accumulated kernel area while the morphology-dependent bias of Sec. 2 grows as </w:t>
      </w:r>
      <m:oMath>
        <m:sSubSup>
          <m:sSubSupPr>
            <m:ctrlPr>
              <w:rPr>
                <w:rFonts w:ascii="Cambria Math" w:hAnsi="Cambria Math"/>
              </w:rPr>
            </m:ctrlPr>
          </m:sSubSupPr>
          <m:e>
            <m:r>
              <w:rPr>
                <w:rFonts w:ascii="Cambria Math" w:hAnsi="Cambria Math"/>
              </w:rPr>
              <m:t>r</m:t>
            </m:r>
          </m:e>
          <m:sub>
            <m:r>
              <w:rPr>
                <w:rFonts w:ascii="Cambria Math" w:hAnsi="Cambria Math"/>
              </w:rPr>
              <m:t>n</m:t>
            </m:r>
          </m:sub>
          <m:sup>
            <m:r>
              <w:rPr>
                <w:rFonts w:ascii="Cambria Math" w:hAnsi="Cambria Math"/>
              </w:rPr>
              <m:t>2</m:t>
            </m:r>
          </m:sup>
        </m:sSubSup>
        <m:r>
          <w:rPr>
            <w:rFonts w:ascii="Cambria Math" w:hAnsi="Cambria Math"/>
          </w:rPr>
          <m:t> </m:t>
        </m:r>
        <m:sSub>
          <m:sSubPr>
            <m:ctrlPr>
              <w:rPr>
                <w:rFonts w:ascii="Cambria Math" w:hAnsi="Cambria Math"/>
              </w:rPr>
            </m:ctrlPr>
          </m:sSubPr>
          <m:e>
            <m:r>
              <w:rPr>
                <w:rFonts w:ascii="Cambria Math" w:hAnsi="Cambria Math"/>
              </w:rPr>
              <m:t>Δ</m:t>
            </m:r>
          </m:e>
          <m:sub>
            <m:r>
              <w:rPr>
                <w:rFonts w:ascii="Cambria Math" w:hAnsi="Cambria Math"/>
              </w:rPr>
              <m:t>S</m:t>
            </m:r>
          </m:sub>
        </m:sSub>
        <m:r>
          <w:rPr>
            <w:rFonts w:ascii="Cambria Math" w:hAnsi="Cambria Math"/>
          </w:rPr>
          <m:t>κ</m:t>
        </m:r>
      </m:oMath>
      <w:r w:rsidR="00C87333">
        <w:t>, so the mean-square error behaves as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6"/>
        <w:gridCol w:w="6248"/>
        <w:gridCol w:w="1362"/>
      </w:tblGrid>
      <w:tr w:rsidR="00377E32" w:rsidRPr="00377E32" w14:paraId="3A00677E" w14:textId="77777777" w:rsidTr="00C87333">
        <w:trPr>
          <w:trHeight w:val="510"/>
        </w:trPr>
        <w:tc>
          <w:tcPr>
            <w:tcW w:w="1416" w:type="dxa"/>
            <w:vAlign w:val="center"/>
          </w:tcPr>
          <w:p w14:paraId="6137A5BB" w14:textId="77777777" w:rsidR="00377E32" w:rsidRPr="00377E32" w:rsidRDefault="00377E32" w:rsidP="00377E32"/>
        </w:tc>
        <w:tc>
          <w:tcPr>
            <w:tcW w:w="6248" w:type="dxa"/>
            <w:vAlign w:val="center"/>
          </w:tcPr>
          <w:p w14:paraId="2EDDD2B9" w14:textId="77777777" w:rsidR="00377E32" w:rsidRPr="00377E32" w:rsidRDefault="00377E32" w:rsidP="00377E32">
            <m:oMathPara>
              <m:oMath>
                <m:r>
                  <m:rPr>
                    <m:sty m:val="p"/>
                  </m:rPr>
                  <w:rPr>
                    <w:rFonts w:ascii="Cambria Math" w:hAnsi="Cambria Math"/>
                  </w:rPr>
                  <m:t>MSE</m:t>
                </m:r>
                <m:d>
                  <m:dPr>
                    <m:ctrlPr>
                      <w:rPr>
                        <w:rFonts w:ascii="Cambria Math" w:hAnsi="Cambria Math"/>
                        <w:i/>
                      </w:rPr>
                    </m:ctrlPr>
                  </m:dPr>
                  <m:e>
                    <m:r>
                      <w:rPr>
                        <w:rFonts w:ascii="Cambria Math" w:hAnsi="Cambria Math"/>
                      </w:rPr>
                      <m:t>n</m:t>
                    </m:r>
                  </m:e>
                </m:d>
                <m:r>
                  <w:rPr>
                    <w:rFonts w:ascii="Cambria Math" w:hAnsi="Cambria Math"/>
                  </w:rPr>
                  <m:t> ∼ </m:t>
                </m:r>
                <m:f>
                  <m:fPr>
                    <m:ctrlPr>
                      <w:rPr>
                        <w:rFonts w:ascii="Cambria Math" w:hAnsi="Cambria Math"/>
                        <w:szCs w:val="24"/>
                      </w:rPr>
                    </m:ctrlPr>
                  </m:fPr>
                  <m:num>
                    <m:sSubSup>
                      <m:sSubSupPr>
                        <m:ctrlPr>
                          <w:rPr>
                            <w:rFonts w:ascii="Cambria Math" w:hAnsi="Cambria Math"/>
                            <w:szCs w:val="24"/>
                          </w:rPr>
                        </m:ctrlPr>
                      </m:sSubSupPr>
                      <m:e>
                        <m:r>
                          <w:rPr>
                            <w:rFonts w:ascii="Cambria Math" w:hAnsi="Cambria Math"/>
                          </w:rPr>
                          <m:t>σ</m:t>
                        </m:r>
                      </m:e>
                      <m:sub>
                        <m:r>
                          <w:rPr>
                            <w:rFonts w:ascii="Cambria Math" w:hAnsi="Cambria Math"/>
                          </w:rPr>
                          <m:t>κ</m:t>
                        </m:r>
                      </m:sub>
                      <m:sup>
                        <m:r>
                          <w:rPr>
                            <w:rFonts w:ascii="Cambria Math" w:hAnsi="Cambria Math"/>
                          </w:rPr>
                          <m:t>2</m:t>
                        </m:r>
                      </m:sup>
                    </m:sSubSup>
                  </m:num>
                  <m:den>
                    <m:r>
                      <w:rPr>
                        <w:rFonts w:ascii="Cambria Math" w:hAnsi="Cambria Math"/>
                      </w:rPr>
                      <m:t>1+c n</m:t>
                    </m:r>
                  </m:den>
                </m:f>
                <m:r>
                  <w:rPr>
                    <w:rFonts w:ascii="Cambria Math" w:hAnsi="Cambria Math"/>
                  </w:rPr>
                  <m:t> + </m:t>
                </m:r>
                <m:sSup>
                  <m:sSupPr>
                    <m:ctrlPr>
                      <w:rPr>
                        <w:rFonts w:ascii="Cambria Math" w:hAnsi="Cambria Math"/>
                        <w:szCs w:val="24"/>
                      </w:rPr>
                    </m:ctrlPr>
                  </m:sSupPr>
                  <m:e>
                    <m:d>
                      <m:dPr>
                        <m:ctrlPr>
                          <w:rPr>
                            <w:rFonts w:ascii="Cambria Math" w:hAnsi="Cambria Math"/>
                            <w:szCs w:val="24"/>
                          </w:rPr>
                        </m:ctrlPr>
                      </m:dPr>
                      <m:e>
                        <m:f>
                          <m:fPr>
                            <m:ctrlPr>
                              <w:rPr>
                                <w:rFonts w:ascii="Cambria Math" w:hAnsi="Cambria Math"/>
                                <w:szCs w:val="24"/>
                              </w:rPr>
                            </m:ctrlPr>
                          </m:fPr>
                          <m:num>
                            <m:r>
                              <w:rPr>
                                <w:rFonts w:ascii="Cambria Math" w:hAnsi="Cambria Math"/>
                              </w:rPr>
                              <m:t>n</m:t>
                            </m:r>
                            <m:sSup>
                              <m:sSupPr>
                                <m:ctrlPr>
                                  <w:rPr>
                                    <w:rFonts w:ascii="Cambria Math" w:hAnsi="Cambria Math"/>
                                    <w:szCs w:val="24"/>
                                  </w:rPr>
                                </m:ctrlPr>
                              </m:sSupPr>
                              <m:e>
                                <m:r>
                                  <w:rPr>
                                    <w:rFonts w:ascii="Cambria Math" w:hAnsi="Cambria Math"/>
                                  </w:rPr>
                                  <m:t>h</m:t>
                                </m:r>
                              </m:e>
                              <m:sup>
                                <m:r>
                                  <w:rPr>
                                    <w:rFonts w:ascii="Cambria Math" w:hAnsi="Cambria Math"/>
                                  </w:rPr>
                                  <m:t>2</m:t>
                                </m:r>
                              </m:sup>
                            </m:sSup>
                          </m:num>
                          <m:den>
                            <m:r>
                              <w:rPr>
                                <w:rFonts w:ascii="Cambria Math" w:hAnsi="Cambria Math"/>
                              </w:rPr>
                              <m:t>8</m:t>
                            </m:r>
                          </m:den>
                        </m:f>
                        <m:r>
                          <w:rPr>
                            <w:rFonts w:ascii="Cambria Math" w:hAnsi="Cambria Math"/>
                          </w:rPr>
                          <m:t> </m:t>
                        </m:r>
                        <m:sSub>
                          <m:sSubPr>
                            <m:ctrlPr>
                              <w:rPr>
                                <w:rFonts w:ascii="Cambria Math" w:hAnsi="Cambria Math"/>
                                <w:szCs w:val="24"/>
                              </w:rPr>
                            </m:ctrlPr>
                          </m:sSubPr>
                          <m:e>
                            <m:r>
                              <w:rPr>
                                <w:rFonts w:ascii="Cambria Math" w:hAnsi="Cambria Math"/>
                              </w:rPr>
                              <m:t>Δ</m:t>
                            </m:r>
                          </m:e>
                          <m:sub>
                            <m:r>
                              <w:rPr>
                                <w:rFonts w:ascii="Cambria Math" w:hAnsi="Cambria Math"/>
                              </w:rPr>
                              <m:t>S</m:t>
                            </m:r>
                          </m:sub>
                        </m:sSub>
                        <m:r>
                          <w:rPr>
                            <w:rFonts w:ascii="Cambria Math" w:hAnsi="Cambria Math"/>
                          </w:rPr>
                          <m:t>κ</m:t>
                        </m:r>
                      </m:e>
                    </m:d>
                  </m:e>
                  <m:sup>
                    <m:r>
                      <w:rPr>
                        <w:rFonts w:ascii="Cambria Math" w:hAnsi="Cambria Math"/>
                      </w:rPr>
                      <m:t>​2</m:t>
                    </m:r>
                  </m:sup>
                </m:sSup>
                <m:r>
                  <m:rPr>
                    <m:sty m:val="p"/>
                  </m:rPr>
                  <w:rPr>
                    <w:rFonts w:ascii="Cambria Math" w:hAnsi="Cambria Math"/>
                  </w:rPr>
                  <m:t xml:space="preserve"> ,</m:t>
                </m:r>
              </m:oMath>
            </m:oMathPara>
          </w:p>
        </w:tc>
        <w:tc>
          <w:tcPr>
            <w:tcW w:w="1362" w:type="dxa"/>
            <w:tcMar>
              <w:top w:w="0" w:type="dxa"/>
              <w:left w:w="108" w:type="dxa"/>
              <w:bottom w:w="0" w:type="dxa"/>
              <w:right w:w="108" w:type="dxa"/>
            </w:tcMar>
            <w:vAlign w:val="center"/>
            <w:hideMark/>
          </w:tcPr>
          <w:p w14:paraId="0EE9CA3E" w14:textId="40D882AB" w:rsidR="00377E32" w:rsidRPr="00377E32" w:rsidRDefault="00C87333" w:rsidP="00C87333">
            <w:pPr>
              <w:jc w:val="right"/>
            </w:pPr>
            <w:r w:rsidRPr="00982AA6">
              <w:rPr>
                <w:kern w:val="2"/>
                <w14:ligatures w14:val="standardContextual"/>
              </w:rPr>
              <w:t>(</w:t>
            </w:r>
            <w:r>
              <w:rPr>
                <w:kern w:val="2"/>
                <w14:ligatures w14:val="standardContextual"/>
              </w:rPr>
              <w:t>S</w:t>
            </w:r>
            <w:r w:rsidRPr="00982AA6">
              <w:fldChar w:fldCharType="begin"/>
            </w:r>
            <w:r w:rsidRPr="00982AA6">
              <w:rPr>
                <w:kern w:val="2"/>
                <w14:ligatures w14:val="standardContextual"/>
              </w:rPr>
              <w:instrText xml:space="preserve"> SEQ Equation \* ARABIC </w:instrText>
            </w:r>
            <w:r w:rsidRPr="00982AA6">
              <w:fldChar w:fldCharType="separate"/>
            </w:r>
            <w:r>
              <w:rPr>
                <w:noProof/>
                <w:kern w:val="2"/>
                <w14:ligatures w14:val="standardContextual"/>
              </w:rPr>
              <w:t>4</w:t>
            </w:r>
            <w:r w:rsidRPr="00982AA6">
              <w:fldChar w:fldCharType="end"/>
            </w:r>
            <w:r w:rsidRPr="00982AA6">
              <w:rPr>
                <w:kern w:val="2"/>
                <w14:ligatures w14:val="standardContextual"/>
              </w:rPr>
              <w:t>)</w:t>
            </w:r>
          </w:p>
        </w:tc>
      </w:tr>
    </w:tbl>
    <w:p w14:paraId="32E80984" w14:textId="074E9CB5" w:rsidR="00810A39" w:rsidRDefault="00C87333">
      <w:r w:rsidRPr="00C87333">
        <w:t xml:space="preserve">where </w:t>
      </w:r>
      <m:oMath>
        <m:sSub>
          <m:sSubPr>
            <m:ctrlPr>
              <w:rPr>
                <w:rFonts w:ascii="Cambria Math" w:hAnsi="Cambria Math"/>
              </w:rPr>
            </m:ctrlPr>
          </m:sSubPr>
          <m:e>
            <m:r>
              <w:rPr>
                <w:rFonts w:ascii="Cambria Math" w:hAnsi="Cambria Math"/>
              </w:rPr>
              <m:t>σ</m:t>
            </m:r>
          </m:e>
          <m:sub>
            <m:r>
              <w:rPr>
                <w:rFonts w:ascii="Cambria Math" w:hAnsi="Cambria Math"/>
              </w:rPr>
              <m:t>κ</m:t>
            </m:r>
          </m:sub>
        </m:sSub>
      </m:oMath>
      <w:r w:rsidRPr="00C87333">
        <w:t xml:space="preserve"> is the raw estimator noise and </w:t>
      </w:r>
      <w:r w:rsidRPr="00C87333">
        <w:rPr>
          <w:i/>
          <w:iCs/>
        </w:rPr>
        <w:t>c</w:t>
      </w:r>
      <w:r w:rsidRPr="00C87333">
        <w:t xml:space="preserve"> is a mesh-dependent constant. </w:t>
      </w:r>
      <w:r w:rsidR="00810A39">
        <w:t xml:space="preserve">For a sphere, </w:t>
      </w:r>
      <m:oMath>
        <m:sSub>
          <m:sSubPr>
            <m:ctrlPr>
              <w:rPr>
                <w:rFonts w:ascii="Cambria Math" w:hAnsi="Cambria Math"/>
              </w:rPr>
            </m:ctrlPr>
          </m:sSubPr>
          <m:e>
            <m:r>
              <w:rPr>
                <w:rFonts w:ascii="Cambria Math" w:hAnsi="Cambria Math"/>
              </w:rPr>
              <m:t>Δ</m:t>
            </m:r>
          </m:e>
          <m:sub>
            <m:r>
              <w:rPr>
                <w:rFonts w:ascii="Cambria Math" w:hAnsi="Cambria Math"/>
              </w:rPr>
              <m:t>S</m:t>
            </m:r>
          </m:sub>
        </m:sSub>
        <m:r>
          <w:rPr>
            <w:rFonts w:ascii="Cambria Math" w:hAnsi="Cambria Math"/>
          </w:rPr>
          <m:t>κ=0</m:t>
        </m:r>
      </m:oMath>
      <w:r w:rsidR="00810A39">
        <w:t xml:space="preserve"> and averaging is pure variance reduction—the optimal </w:t>
      </w:r>
      <m:oMath>
        <m:r>
          <w:rPr>
            <w:rFonts w:ascii="Cambria Math" w:hAnsi="Cambria Math"/>
          </w:rPr>
          <m:t>n</m:t>
        </m:r>
      </m:oMath>
      <w:r w:rsidR="00810A39">
        <w:t xml:space="preserve"> is unbounded; for the gently varying</w:t>
      </w:r>
      <w:r w:rsidRPr="00C87333">
        <w:t xml:space="preserve"> torus field, the bias </w:t>
      </w:r>
      <w:r w:rsidRPr="00810A39">
        <w:t>term</w:t>
      </w:r>
      <w:r w:rsidR="00810A39">
        <w:t xml:space="preserve"> remains negligible through </w:t>
      </w:r>
      <w:r w:rsidR="00810A39" w:rsidRPr="00810A39">
        <w:rPr>
          <w:i/>
          <w:iCs/>
        </w:rPr>
        <w:t>n</w:t>
      </w:r>
      <w:r w:rsidR="00810A39">
        <w:t>=10</w:t>
      </w:r>
      <w:r w:rsidRPr="00810A39">
        <w:t xml:space="preserve">; </w:t>
      </w:r>
      <w:r w:rsidR="00810A39">
        <w:t xml:space="preserve">for a catenoid, </w:t>
      </w:r>
      <m:oMath>
        <m:r>
          <w:rPr>
            <w:rFonts w:ascii="Cambria Math" w:hAnsi="Cambria Math"/>
          </w:rPr>
          <m:t>|</m:t>
        </m:r>
        <m:sSub>
          <m:sSubPr>
            <m:ctrlPr>
              <w:rPr>
                <w:rFonts w:ascii="Cambria Math" w:hAnsi="Cambria Math"/>
              </w:rPr>
            </m:ctrlPr>
          </m:sSubPr>
          <m:e>
            <m:r>
              <w:rPr>
                <w:rFonts w:ascii="Cambria Math" w:hAnsi="Cambria Math"/>
              </w:rPr>
              <m:t>κ</m:t>
            </m:r>
          </m:e>
          <m:sub>
            <m:r>
              <w:rPr>
                <w:rFonts w:ascii="Cambria Math" w:hAnsi="Cambria Math"/>
              </w:rPr>
              <m:t>g</m:t>
            </m:r>
          </m:sub>
        </m:sSub>
        <m:r>
          <w:rPr>
            <w:rFonts w:ascii="Cambria Math" w:hAnsi="Cambria Math"/>
          </w:rPr>
          <m:t>|</m:t>
        </m:r>
      </m:oMath>
      <w:r w:rsidR="00810A39">
        <w:t xml:space="preserve"> is sharply peaked at the neck, </w:t>
      </w:r>
      <m:oMath>
        <m:sSub>
          <m:sSubPr>
            <m:ctrlPr>
              <w:rPr>
                <w:rFonts w:ascii="Cambria Math" w:hAnsi="Cambria Math"/>
              </w:rPr>
            </m:ctrlPr>
          </m:sSubPr>
          <m:e>
            <m:r>
              <w:rPr>
                <w:rFonts w:ascii="Cambria Math" w:hAnsi="Cambria Math"/>
              </w:rPr>
              <m:t>Δ</m:t>
            </m:r>
          </m:e>
          <m:sub>
            <m:r>
              <w:rPr>
                <w:rFonts w:ascii="Cambria Math" w:hAnsi="Cambria Math"/>
              </w:rPr>
              <m:t>S</m:t>
            </m:r>
          </m:sub>
        </m:sSub>
        <m:r>
          <w:rPr>
            <w:rFonts w:ascii="Cambria Math" w:hAnsi="Cambria Math"/>
          </w:rPr>
          <m:t>κ</m:t>
        </m:r>
      </m:oMath>
      <w:r w:rsidR="00810A39">
        <w:t xml:space="preserve"> is large, and the optimum collapses to </w:t>
      </w:r>
      <m:oMath>
        <m:r>
          <w:rPr>
            <w:rFonts w:ascii="Cambria Math" w:hAnsi="Cambria Math"/>
          </w:rPr>
          <m:t>n≈0</m:t>
        </m:r>
      </m:oMath>
      <w:r w:rsidR="00810A39">
        <w:t>–</w:t>
      </w:r>
      <m:oMath>
        <m:r>
          <w:rPr>
            <w:rFonts w:ascii="Cambria Math" w:hAnsi="Cambria Math"/>
          </w:rPr>
          <m:t>1</m:t>
        </m:r>
      </m:oMath>
      <w:r w:rsidR="00810A39">
        <w:t xml:space="preserve">. Section 4.2 of the main manuscript </w:t>
      </w:r>
      <w:r w:rsidRPr="00C87333">
        <w:t>confirms this prediction quantitatively</w:t>
      </w:r>
      <w:r w:rsidR="00810A39">
        <w:t>;</w:t>
      </w:r>
      <w:r w:rsidRPr="00C87333">
        <w:t xml:space="preserve"> averaging reduces the sphere and torus errors approximately threefold but degrades the catenoid</w:t>
      </w:r>
      <w:r w:rsidR="00810A39">
        <w:t xml:space="preserve"> by</w:t>
      </w:r>
      <w:r w:rsidRPr="00C87333">
        <w:t xml:space="preserve"> up to threefold. Table 3</w:t>
      </w:r>
      <w:r w:rsidR="00810A39">
        <w:t xml:space="preserve"> of the main manuscript </w:t>
      </w:r>
      <w:r w:rsidRPr="00C87333">
        <w:t>shows the same signature across all nine methods (</w:t>
      </w:r>
      <w:proofErr w:type="spellStart"/>
      <w:r w:rsidRPr="00C87333">
        <w:t>RUSavg</w:t>
      </w:r>
      <w:proofErr w:type="spellEnd"/>
      <w:r w:rsidRPr="00C87333">
        <w:t xml:space="preserve"> best on caps and arcs; base RUS and SDQF best on saddles).</w:t>
      </w:r>
    </w:p>
    <w:p w14:paraId="6DDE776F" w14:textId="77777777" w:rsidR="00810A39" w:rsidRDefault="00810A39">
      <w:pPr>
        <w:spacing w:after="160" w:line="259" w:lineRule="auto"/>
        <w:jc w:val="left"/>
      </w:pPr>
      <w:r>
        <w:br w:type="page"/>
      </w:r>
    </w:p>
    <w:p w14:paraId="249EA345" w14:textId="68451BC9" w:rsidR="00377E32" w:rsidRDefault="00810A39" w:rsidP="00810A39">
      <w:pPr>
        <w:pStyle w:val="Heading1"/>
      </w:pPr>
      <w:r>
        <w:lastRenderedPageBreak/>
        <w:t>S3. Benchmark comparison on clean analytical surfaces</w:t>
      </w:r>
    </w:p>
    <w:p w14:paraId="07C44DF3" w14:textId="201F0DB6" w:rsidR="00B953AF" w:rsidRPr="00B953AF" w:rsidRDefault="00B953AF" w:rsidP="00B953AF">
      <w:r w:rsidRPr="00B953AF">
        <w:t xml:space="preserve">The benchmark included eight curvature-estimation methods: Meyer-style discrete differential operators (DDG), local principal curvatures from a neighborhood (FIT), Cohen-Steiner and Morvan normal-cycle measures (CSM), </w:t>
      </w:r>
      <w:proofErr w:type="spellStart"/>
      <w:r w:rsidRPr="00B953AF">
        <w:t>Rusinkiewicz</w:t>
      </w:r>
      <w:proofErr w:type="spellEnd"/>
      <w:r w:rsidRPr="00B953AF">
        <w:t xml:space="preserve"> per-face tensors averaged to vertices (RUS), Taubin approximation (TAU), quadric fitting (QF), scale-dependent quadric fitting (SDQF), and normal cycles (NC).</w:t>
      </w:r>
    </w:p>
    <w:p w14:paraId="749C9E48" w14:textId="77777777" w:rsidR="005F2B88" w:rsidRDefault="005F2B88" w:rsidP="005F2B88">
      <w:pPr>
        <w:pStyle w:val="FirstParagraph"/>
      </w:pPr>
      <w:r>
        <w:rPr>
          <w:noProof/>
        </w:rPr>
        <w:drawing>
          <wp:inline distT="0" distB="0" distL="0" distR="0" wp14:anchorId="29A15BAD" wp14:editId="2E46C787">
            <wp:extent cx="5334000" cy="2773046"/>
            <wp:effectExtent l="0" t="0" r="0" b="0"/>
            <wp:docPr id="733529704" name="Picture"/>
            <wp:cNvGraphicFramePr/>
            <a:graphic xmlns:a="http://schemas.openxmlformats.org/drawingml/2006/main">
              <a:graphicData uri="http://schemas.openxmlformats.org/drawingml/2006/picture">
                <pic:pic xmlns:pic="http://schemas.openxmlformats.org/drawingml/2006/picture">
                  <pic:nvPicPr>
                    <pic:cNvPr id="0" name="Picture" descr="figs/methods_maps.png"/>
                    <pic:cNvPicPr>
                      <a:picLocks noChangeAspect="1" noChangeArrowheads="1"/>
                    </pic:cNvPicPr>
                  </pic:nvPicPr>
                  <pic:blipFill>
                    <a:blip r:embed="rId9"/>
                    <a:stretch>
                      <a:fillRect/>
                    </a:stretch>
                  </pic:blipFill>
                  <pic:spPr bwMode="auto">
                    <a:xfrm>
                      <a:off x="0" y="0"/>
                      <a:ext cx="5334000" cy="2773046"/>
                    </a:xfrm>
                    <a:prstGeom prst="rect">
                      <a:avLst/>
                    </a:prstGeom>
                    <a:noFill/>
                    <a:ln w="9525">
                      <a:noFill/>
                      <a:headEnd/>
                      <a:tailEnd/>
                    </a:ln>
                  </pic:spPr>
                </pic:pic>
              </a:graphicData>
            </a:graphic>
          </wp:inline>
        </w:drawing>
      </w:r>
    </w:p>
    <w:p w14:paraId="1EF9185C" w14:textId="072B50C2" w:rsidR="00095CCD" w:rsidRDefault="005F2B88" w:rsidP="00B953AF">
      <w:pPr>
        <w:pStyle w:val="BodyText"/>
        <w:jc w:val="both"/>
        <w:rPr>
          <w:rFonts w:asciiTheme="majorBidi" w:hAnsiTheme="majorBidi" w:cstheme="majorBidi"/>
        </w:rPr>
      </w:pPr>
      <w:r w:rsidRPr="005F2B88">
        <w:rPr>
          <w:rFonts w:asciiTheme="majorBidi" w:hAnsiTheme="majorBidi" w:cstheme="majorBidi"/>
          <w:b/>
        </w:rPr>
        <w:t xml:space="preserve">Fig. </w:t>
      </w:r>
      <w:r w:rsidR="00810A39">
        <w:rPr>
          <w:rFonts w:asciiTheme="majorBidi" w:hAnsiTheme="majorBidi" w:cstheme="majorBidi"/>
          <w:b/>
        </w:rPr>
        <w:t>S</w:t>
      </w:r>
      <w:r w:rsidR="00A3014D">
        <w:rPr>
          <w:rFonts w:asciiTheme="majorBidi" w:hAnsiTheme="majorBidi" w:cstheme="majorBidi"/>
          <w:b/>
        </w:rPr>
        <w:t>1</w:t>
      </w:r>
      <w:r w:rsidRPr="005F2B88">
        <w:rPr>
          <w:rFonts w:asciiTheme="majorBidi" w:hAnsiTheme="majorBidi" w:cstheme="majorBidi"/>
        </w:rPr>
        <w:t xml:space="preserve"> </w:t>
      </w:r>
      <w:r w:rsidR="00B953AF" w:rsidRPr="00B953AF">
        <w:rPr>
          <w:rFonts w:asciiTheme="majorBidi" w:hAnsiTheme="majorBidi" w:cstheme="majorBidi"/>
        </w:rPr>
        <w:t>Per-method mean-curvature maps on the clean benchmark surfaces (GT, analytical ground truth), with the RMSE reported for each map. The catenoid row reveals boundary-concentrated error for DDG, neck flattening for TAU, and rim artifacts for the SDQF variants</w:t>
      </w:r>
      <w:r>
        <w:rPr>
          <w:rFonts w:asciiTheme="majorBidi" w:hAnsiTheme="majorBidi" w:cstheme="majorBidi"/>
        </w:rPr>
        <w:t>.</w:t>
      </w:r>
    </w:p>
    <w:p w14:paraId="05EEE5C9" w14:textId="1BE9BAEC" w:rsidR="00095CCD" w:rsidRPr="005F2B88" w:rsidRDefault="00095CCD" w:rsidP="00095CCD">
      <w:pPr>
        <w:pStyle w:val="Heading1"/>
      </w:pPr>
      <w:r>
        <w:lastRenderedPageBreak/>
        <w:t xml:space="preserve">S4. </w:t>
      </w:r>
      <w:r w:rsidR="00B953AF" w:rsidRPr="00B953AF">
        <w:t xml:space="preserve">Effect of degradation, smoothing, and </w:t>
      </w:r>
      <w:r w:rsidR="00B953AF">
        <w:t>invariant averaging</w:t>
      </w:r>
    </w:p>
    <w:p w14:paraId="090BF132" w14:textId="74F56FC2" w:rsidR="005F2B88" w:rsidRDefault="005F2B88" w:rsidP="005F2B88">
      <w:pPr>
        <w:pStyle w:val="BodyText"/>
      </w:pPr>
      <w:r>
        <w:rPr>
          <w:noProof/>
        </w:rPr>
        <w:drawing>
          <wp:inline distT="0" distB="0" distL="0" distR="0" wp14:anchorId="6C614B0D" wp14:editId="6B8916B9">
            <wp:extent cx="5334000" cy="4186853"/>
            <wp:effectExtent l="0" t="0" r="0" b="0"/>
            <wp:docPr id="925925452" name="Picture"/>
            <wp:cNvGraphicFramePr/>
            <a:graphic xmlns:a="http://schemas.openxmlformats.org/drawingml/2006/main">
              <a:graphicData uri="http://schemas.openxmlformats.org/drawingml/2006/picture">
                <pic:pic xmlns:pic="http://schemas.openxmlformats.org/drawingml/2006/picture">
                  <pic:nvPicPr>
                    <pic:cNvPr id="0" name="Picture" descr="figs/noise_smooth.png"/>
                    <pic:cNvPicPr>
                      <a:picLocks noChangeAspect="1" noChangeArrowheads="1"/>
                    </pic:cNvPicPr>
                  </pic:nvPicPr>
                  <pic:blipFill>
                    <a:blip r:embed="rId10"/>
                    <a:stretch>
                      <a:fillRect/>
                    </a:stretch>
                  </pic:blipFill>
                  <pic:spPr bwMode="auto">
                    <a:xfrm>
                      <a:off x="0" y="0"/>
                      <a:ext cx="5334000" cy="4186853"/>
                    </a:xfrm>
                    <a:prstGeom prst="rect">
                      <a:avLst/>
                    </a:prstGeom>
                    <a:noFill/>
                    <a:ln w="9525">
                      <a:noFill/>
                      <a:headEnd/>
                      <a:tailEnd/>
                    </a:ln>
                  </pic:spPr>
                </pic:pic>
              </a:graphicData>
            </a:graphic>
          </wp:inline>
        </w:drawing>
      </w:r>
    </w:p>
    <w:p w14:paraId="2A30B520" w14:textId="2A5ED9F8" w:rsidR="005F2B88" w:rsidRPr="005F2B88" w:rsidRDefault="005F2B88" w:rsidP="005F2B88">
      <w:pPr>
        <w:pStyle w:val="BodyText"/>
        <w:jc w:val="both"/>
        <w:rPr>
          <w:rFonts w:asciiTheme="majorBidi" w:hAnsiTheme="majorBidi" w:cstheme="majorBidi"/>
        </w:rPr>
      </w:pPr>
      <w:r w:rsidRPr="005F2B88">
        <w:rPr>
          <w:rFonts w:asciiTheme="majorBidi" w:hAnsiTheme="majorBidi" w:cstheme="majorBidi"/>
          <w:b/>
        </w:rPr>
        <w:t xml:space="preserve">Fig. </w:t>
      </w:r>
      <w:r w:rsidR="00810A39">
        <w:rPr>
          <w:rFonts w:asciiTheme="majorBidi" w:hAnsiTheme="majorBidi" w:cstheme="majorBidi"/>
          <w:b/>
        </w:rPr>
        <w:t>S2</w:t>
      </w:r>
      <w:r w:rsidRPr="005F2B88">
        <w:rPr>
          <w:rFonts w:asciiTheme="majorBidi" w:hAnsiTheme="majorBidi" w:cstheme="majorBidi"/>
        </w:rPr>
        <w:t xml:space="preserve"> Effect of CT-style degradation and smoothing on the mean-curvature field (</w:t>
      </w:r>
      <w:proofErr w:type="gramStart"/>
      <w:r w:rsidRPr="005F2B88">
        <w:rPr>
          <w:rFonts w:asciiTheme="majorBidi" w:hAnsiTheme="majorBidi" w:cstheme="majorBidi"/>
        </w:rPr>
        <w:t>left:</w:t>
      </w:r>
      <w:proofErr w:type="gramEnd"/>
      <w:r w:rsidRPr="005F2B88">
        <w:rPr>
          <w:rFonts w:asciiTheme="majorBidi" w:hAnsiTheme="majorBidi" w:cstheme="majorBidi"/>
        </w:rPr>
        <w:t xml:space="preserve"> clean; middle: after terracing and jitter; right: after Taubin smoothing) for the three benchmark surfaces</w:t>
      </w:r>
      <w:r>
        <w:rPr>
          <w:rFonts w:asciiTheme="majorBidi" w:hAnsiTheme="majorBidi" w:cstheme="majorBidi"/>
        </w:rPr>
        <w:t>.</w:t>
      </w:r>
    </w:p>
    <w:p w14:paraId="2239376E" w14:textId="77777777" w:rsidR="005F2B88" w:rsidRPr="005F2B88" w:rsidRDefault="005F2B88" w:rsidP="005F2B88"/>
    <w:p w14:paraId="00F9AE54" w14:textId="77777777" w:rsidR="00CF00CA" w:rsidRDefault="00CF00CA" w:rsidP="00696555">
      <w:pPr>
        <w:pStyle w:val="BodyTextParagraphinitial"/>
        <w:spacing w:line="360" w:lineRule="auto"/>
        <w:rPr>
          <w:rFonts w:cstheme="minorBidi"/>
          <w:color w:val="000000" w:themeColor="text1"/>
          <w:kern w:val="2"/>
          <w:sz w:val="24"/>
          <w:szCs w:val="22"/>
          <w14:ligatures w14:val="standardContextual"/>
        </w:rPr>
      </w:pPr>
    </w:p>
    <w:p w14:paraId="5C5EA6DF" w14:textId="77777777" w:rsidR="00597C59" w:rsidRDefault="00597C59">
      <w:pPr>
        <w:spacing w:line="259" w:lineRule="auto"/>
        <w:jc w:val="left"/>
        <w:rPr>
          <w:highlight w:val="yellow"/>
        </w:rPr>
      </w:pPr>
      <w:r>
        <w:rPr>
          <w:highlight w:val="yellow"/>
        </w:rPr>
        <w:br w:type="page"/>
      </w:r>
    </w:p>
    <w:p w14:paraId="50FCD82B" w14:textId="27EE24C4" w:rsidR="00095CCD" w:rsidRPr="00095CCD" w:rsidRDefault="00095CCD" w:rsidP="00095CCD">
      <w:pPr>
        <w:pStyle w:val="Heading1"/>
      </w:pPr>
      <w:r w:rsidRPr="00095CCD">
        <w:lastRenderedPageBreak/>
        <w:t>S5</w:t>
      </w:r>
      <w:r w:rsidR="00B953AF">
        <w:t xml:space="preserve">. </w:t>
      </w:r>
      <w:r w:rsidR="00B953AF" w:rsidRPr="00B953AF">
        <w:t>Curvature distributions in water-wet and mixed-wet sandstone</w:t>
      </w:r>
    </w:p>
    <w:p w14:paraId="066AA17A" w14:textId="6882FC83" w:rsidR="00597C59" w:rsidRPr="001F43D1" w:rsidRDefault="00B953AF" w:rsidP="00597C59">
      <w:pPr>
        <w:spacing w:line="276" w:lineRule="auto"/>
      </w:pPr>
      <w:r w:rsidRPr="00B953AF">
        <w:t xml:space="preserve">Representative interfacial-curvature distributions for water-wet (WW) and mixed-wet (MW) Bentheimer sandstone are shown in Figure S3. The WW distributions correspond to a water fractional flow </w:t>
      </w:r>
      <w:r w:rsidRPr="00B953AF">
        <w:rPr>
          <w:i/>
          <w:iCs/>
        </w:rPr>
        <w:t>f</w:t>
      </w:r>
      <w:r w:rsidRPr="00B953AF">
        <w:rPr>
          <w:i/>
          <w:iCs/>
          <w:vertAlign w:val="subscript"/>
        </w:rPr>
        <w:t>w</w:t>
      </w:r>
      <w:r w:rsidRPr="00B953AF">
        <w:t xml:space="preserve"> = 0.85, and the MW distributions correspond to </w:t>
      </w:r>
      <w:r w:rsidRPr="00B953AF">
        <w:rPr>
          <w:i/>
          <w:iCs/>
        </w:rPr>
        <w:t>f</w:t>
      </w:r>
      <w:r w:rsidRPr="00B953AF">
        <w:rPr>
          <w:i/>
          <w:iCs/>
          <w:vertAlign w:val="subscript"/>
        </w:rPr>
        <w:t>w</w:t>
      </w:r>
      <w:r w:rsidRPr="00B953AF">
        <w:t xml:space="preserve"> = 0.50. Histograms show relative frequency, fitted probability-density curves compare candidate distribution models, and vertical dotted lines indicate the fitted peaks used to select representative curvature values</w:t>
      </w:r>
      <w:r>
        <w:t xml:space="preserve"> for the capillary pressure-saturation plot (Sec 4.4 of the main manuscript)</w:t>
      </w:r>
      <w:r w:rsidRPr="00B953AF">
        <w:t>.</w:t>
      </w:r>
    </w:p>
    <w:p w14:paraId="43C18921" w14:textId="77777777" w:rsidR="00597C59" w:rsidRDefault="00597C59" w:rsidP="00597C59">
      <w:pPr>
        <w:keepNext/>
      </w:pPr>
      <w:r>
        <w:rPr>
          <w:noProof/>
        </w:rPr>
        <w:drawing>
          <wp:inline distT="0" distB="0" distL="0" distR="0" wp14:anchorId="3E7443DD" wp14:editId="0D5C478F">
            <wp:extent cx="5890318" cy="5313751"/>
            <wp:effectExtent l="0" t="0" r="0" b="1270"/>
            <wp:docPr id="13598979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95981" cy="5318860"/>
                    </a:xfrm>
                    <a:prstGeom prst="rect">
                      <a:avLst/>
                    </a:prstGeom>
                    <a:noFill/>
                  </pic:spPr>
                </pic:pic>
              </a:graphicData>
            </a:graphic>
          </wp:inline>
        </w:drawing>
      </w:r>
    </w:p>
    <w:p w14:paraId="72B69F96" w14:textId="6F0C0D73" w:rsidR="00597C59" w:rsidRDefault="00597C59" w:rsidP="00B953AF">
      <w:pPr>
        <w:pStyle w:val="Caption"/>
        <w:jc w:val="both"/>
      </w:pPr>
      <w:bookmarkStart w:id="1" w:name="_Ref236890515"/>
      <w:r>
        <w:t xml:space="preserve">Fig. </w:t>
      </w:r>
      <w:r w:rsidR="00810A39">
        <w:t>S</w:t>
      </w:r>
      <w:bookmarkEnd w:id="1"/>
      <w:r w:rsidR="00810A39">
        <w:t>3</w:t>
      </w:r>
      <w:r>
        <w:t xml:space="preserve">. </w:t>
      </w:r>
      <w:r w:rsidR="00B953AF" w:rsidRPr="005542BB">
        <w:rPr>
          <w:rFonts w:asciiTheme="majorBidi" w:hAnsiTheme="majorBidi" w:cstheme="majorBidi"/>
          <w:b w:val="0"/>
          <w:bCs/>
          <w:sz w:val="24"/>
          <w:szCs w:val="24"/>
        </w:rPr>
        <w:t xml:space="preserve">Representative </w:t>
      </w:r>
      <w:r w:rsidRPr="005542BB">
        <w:rPr>
          <w:rFonts w:asciiTheme="majorBidi" w:hAnsiTheme="majorBidi" w:cstheme="majorBidi"/>
          <w:b w:val="0"/>
          <w:bCs/>
          <w:sz w:val="24"/>
          <w:szCs w:val="24"/>
        </w:rPr>
        <w:t xml:space="preserve">distributions of </w:t>
      </w:r>
      <m:oMath>
        <m:sSub>
          <m:sSubPr>
            <m:ctrlPr>
              <w:rPr>
                <w:rFonts w:ascii="Cambria Math" w:hAnsi="Cambria Math" w:cstheme="majorBidi"/>
                <w:b w:val="0"/>
                <w:bCs/>
                <w:sz w:val="24"/>
                <w:szCs w:val="24"/>
              </w:rPr>
            </m:ctrlPr>
          </m:sSubPr>
          <m:e>
            <m:r>
              <m:rPr>
                <m:sty m:val="bi"/>
              </m:rPr>
              <w:rPr>
                <w:rFonts w:ascii="Cambria Math" w:hAnsi="Cambria Math" w:cstheme="majorBidi"/>
                <w:sz w:val="24"/>
                <w:szCs w:val="24"/>
              </w:rPr>
              <m:t>κ</m:t>
            </m:r>
          </m:e>
          <m:sub>
            <m:r>
              <m:rPr>
                <m:sty m:val="bi"/>
              </m:rPr>
              <w:rPr>
                <w:rFonts w:ascii="Cambria Math" w:hAnsi="Cambria Math" w:cstheme="majorBidi"/>
                <w:sz w:val="24"/>
                <w:szCs w:val="24"/>
              </w:rPr>
              <m:t>m</m:t>
            </m:r>
          </m:sub>
        </m:sSub>
      </m:oMath>
      <w:r w:rsidRPr="005542BB">
        <w:rPr>
          <w:rFonts w:asciiTheme="majorBidi" w:hAnsiTheme="majorBidi" w:cstheme="majorBidi"/>
          <w:b w:val="0"/>
          <w:bCs/>
          <w:sz w:val="24"/>
          <w:szCs w:val="24"/>
        </w:rPr>
        <w:t xml:space="preserve"> and </w:t>
      </w:r>
      <m:oMath>
        <m:sSub>
          <m:sSubPr>
            <m:ctrlPr>
              <w:rPr>
                <w:rFonts w:ascii="Cambria Math" w:hAnsi="Cambria Math" w:cstheme="majorBidi"/>
                <w:b w:val="0"/>
                <w:bCs/>
                <w:sz w:val="24"/>
                <w:szCs w:val="24"/>
              </w:rPr>
            </m:ctrlPr>
          </m:sSubPr>
          <m:e>
            <m:r>
              <m:rPr>
                <m:sty m:val="bi"/>
              </m:rPr>
              <w:rPr>
                <w:rFonts w:ascii="Cambria Math" w:hAnsi="Cambria Math" w:cstheme="majorBidi"/>
                <w:sz w:val="24"/>
                <w:szCs w:val="24"/>
              </w:rPr>
              <m:t>κ</m:t>
            </m:r>
          </m:e>
          <m:sub>
            <m:r>
              <m:rPr>
                <m:sty m:val="bi"/>
              </m:rPr>
              <w:rPr>
                <w:rFonts w:ascii="Cambria Math" w:hAnsi="Cambria Math" w:cstheme="majorBidi"/>
                <w:sz w:val="24"/>
                <w:szCs w:val="24"/>
              </w:rPr>
              <m:t>g</m:t>
            </m:r>
          </m:sub>
        </m:sSub>
      </m:oMath>
      <w:r w:rsidR="00B953AF" w:rsidRPr="005542BB">
        <w:rPr>
          <w:rFonts w:asciiTheme="majorBidi" w:hAnsiTheme="majorBidi" w:cstheme="majorBidi"/>
          <w:b w:val="0"/>
          <w:bCs/>
          <w:sz w:val="24"/>
          <w:szCs w:val="24"/>
        </w:rPr>
        <w:t>.</w:t>
      </w:r>
      <w:r w:rsidRPr="005542BB">
        <w:rPr>
          <w:rFonts w:asciiTheme="majorBidi" w:hAnsiTheme="majorBidi" w:cstheme="majorBidi"/>
          <w:b w:val="0"/>
          <w:bCs/>
          <w:sz w:val="24"/>
          <w:szCs w:val="24"/>
        </w:rPr>
        <w:t>(a</w:t>
      </w:r>
      <w:r w:rsidR="00B953AF" w:rsidRPr="005542BB">
        <w:rPr>
          <w:rFonts w:asciiTheme="majorBidi" w:hAnsiTheme="majorBidi" w:cstheme="majorBidi"/>
          <w:b w:val="0"/>
          <w:bCs/>
          <w:sz w:val="24"/>
          <w:szCs w:val="24"/>
        </w:rPr>
        <w:t>, b</w:t>
      </w:r>
      <w:r w:rsidRPr="005542BB">
        <w:rPr>
          <w:rFonts w:asciiTheme="majorBidi" w:hAnsiTheme="majorBidi" w:cstheme="majorBidi"/>
          <w:b w:val="0"/>
          <w:bCs/>
          <w:sz w:val="24"/>
          <w:szCs w:val="24"/>
        </w:rPr>
        <w:t>)</w:t>
      </w:r>
      <w:r w:rsidR="00B953AF" w:rsidRPr="005542BB">
        <w:rPr>
          <w:rFonts w:asciiTheme="majorBidi" w:hAnsiTheme="majorBidi" w:cstheme="majorBidi"/>
          <w:b w:val="0"/>
          <w:bCs/>
          <w:sz w:val="24"/>
          <w:szCs w:val="24"/>
        </w:rPr>
        <w:t xml:space="preserve"> WW case at </w:t>
      </w:r>
      <w:r w:rsidR="00B953AF" w:rsidRPr="005542BB">
        <w:rPr>
          <w:rFonts w:asciiTheme="majorBidi" w:hAnsiTheme="majorBidi" w:cstheme="majorBidi"/>
          <w:b w:val="0"/>
          <w:bCs/>
          <w:i/>
          <w:iCs w:val="0"/>
          <w:sz w:val="24"/>
          <w:szCs w:val="24"/>
        </w:rPr>
        <w:t>f</w:t>
      </w:r>
      <w:r w:rsidR="00B953AF" w:rsidRPr="005542BB">
        <w:rPr>
          <w:rFonts w:asciiTheme="majorBidi" w:hAnsiTheme="majorBidi" w:cstheme="majorBidi"/>
          <w:b w:val="0"/>
          <w:bCs/>
          <w:i/>
          <w:iCs w:val="0"/>
          <w:sz w:val="24"/>
          <w:szCs w:val="24"/>
          <w:vertAlign w:val="subscript"/>
        </w:rPr>
        <w:t>w</w:t>
      </w:r>
      <w:r w:rsidR="00B953AF" w:rsidRPr="005542BB">
        <w:rPr>
          <w:rFonts w:asciiTheme="majorBidi" w:hAnsiTheme="majorBidi" w:cstheme="majorBidi"/>
          <w:b w:val="0"/>
          <w:bCs/>
          <w:sz w:val="24"/>
          <w:szCs w:val="24"/>
        </w:rPr>
        <w:t xml:space="preserve"> = 0.85</w:t>
      </w:r>
      <w:r w:rsidRPr="005542BB">
        <w:rPr>
          <w:rFonts w:asciiTheme="majorBidi" w:hAnsiTheme="majorBidi" w:cstheme="majorBidi"/>
          <w:b w:val="0"/>
          <w:bCs/>
          <w:sz w:val="24"/>
          <w:szCs w:val="24"/>
        </w:rPr>
        <w:t xml:space="preserve"> and (</w:t>
      </w:r>
      <w:proofErr w:type="spellStart"/>
      <w:r w:rsidR="00B953AF" w:rsidRPr="005542BB">
        <w:rPr>
          <w:rFonts w:asciiTheme="majorBidi" w:hAnsiTheme="majorBidi" w:cstheme="majorBidi"/>
          <w:b w:val="0"/>
          <w:bCs/>
          <w:sz w:val="24"/>
          <w:szCs w:val="24"/>
        </w:rPr>
        <w:t>c,d</w:t>
      </w:r>
      <w:proofErr w:type="spellEnd"/>
      <w:r w:rsidRPr="005542BB">
        <w:rPr>
          <w:rFonts w:asciiTheme="majorBidi" w:hAnsiTheme="majorBidi" w:cstheme="majorBidi"/>
          <w:b w:val="0"/>
          <w:bCs/>
          <w:sz w:val="24"/>
          <w:szCs w:val="24"/>
        </w:rPr>
        <w:t>)</w:t>
      </w:r>
      <w:r w:rsidR="00B953AF" w:rsidRPr="005542BB">
        <w:rPr>
          <w:rFonts w:asciiTheme="majorBidi" w:hAnsiTheme="majorBidi" w:cstheme="majorBidi"/>
          <w:b w:val="0"/>
          <w:bCs/>
          <w:sz w:val="24"/>
          <w:szCs w:val="24"/>
        </w:rPr>
        <w:t xml:space="preserve"> MW case at </w:t>
      </w:r>
      <w:r w:rsidR="00B953AF" w:rsidRPr="005542BB">
        <w:rPr>
          <w:rFonts w:asciiTheme="majorBidi" w:hAnsiTheme="majorBidi" w:cstheme="majorBidi"/>
          <w:b w:val="0"/>
          <w:bCs/>
          <w:i/>
          <w:iCs w:val="0"/>
          <w:sz w:val="24"/>
          <w:szCs w:val="24"/>
        </w:rPr>
        <w:t>f</w:t>
      </w:r>
      <w:r w:rsidR="00B953AF" w:rsidRPr="005542BB">
        <w:rPr>
          <w:rFonts w:asciiTheme="majorBidi" w:hAnsiTheme="majorBidi" w:cstheme="majorBidi"/>
          <w:b w:val="0"/>
          <w:bCs/>
          <w:i/>
          <w:iCs w:val="0"/>
          <w:sz w:val="24"/>
          <w:szCs w:val="24"/>
          <w:vertAlign w:val="subscript"/>
        </w:rPr>
        <w:t>w</w:t>
      </w:r>
      <w:r w:rsidR="00B953AF" w:rsidRPr="005542BB">
        <w:rPr>
          <w:rFonts w:asciiTheme="majorBidi" w:hAnsiTheme="majorBidi" w:cstheme="majorBidi"/>
          <w:b w:val="0"/>
          <w:bCs/>
          <w:sz w:val="24"/>
          <w:szCs w:val="24"/>
        </w:rPr>
        <w:t xml:space="preserve"> = 0.5. Gray histograms show relative frequency, colored curves show fitted distributions, and vertical dotted lines mark the fitted peaks.</w:t>
      </w:r>
    </w:p>
    <w:p w14:paraId="56FD2C48" w14:textId="2B209E0C" w:rsidR="005542BB" w:rsidRPr="005542BB" w:rsidRDefault="005542BB" w:rsidP="005542BB">
      <w:r w:rsidRPr="005542BB">
        <w:t xml:space="preserve">The WW </w:t>
      </w:r>
      <m:oMath>
        <m:sSub>
          <m:sSubPr>
            <m:ctrlPr>
              <w:rPr>
                <w:rFonts w:ascii="Cambria Math" w:hAnsi="Cambria Math" w:cstheme="majorBidi"/>
                <w:b/>
                <w:bCs/>
                <w:szCs w:val="24"/>
              </w:rPr>
            </m:ctrlPr>
          </m:sSubPr>
          <m:e>
            <m:r>
              <m:rPr>
                <m:sty m:val="bi"/>
              </m:rPr>
              <w:rPr>
                <w:rFonts w:ascii="Cambria Math" w:hAnsi="Cambria Math" w:cstheme="majorBidi"/>
                <w:szCs w:val="24"/>
              </w:rPr>
              <m:t>κ</m:t>
            </m:r>
          </m:e>
          <m:sub>
            <m:r>
              <m:rPr>
                <m:sty m:val="bi"/>
              </m:rPr>
              <w:rPr>
                <w:rFonts w:ascii="Cambria Math" w:hAnsi="Cambria Math" w:cstheme="majorBidi"/>
                <w:szCs w:val="24"/>
              </w:rPr>
              <m:t>m</m:t>
            </m:r>
          </m:sub>
        </m:sSub>
      </m:oMath>
      <w:r w:rsidRPr="005542BB">
        <w:t xml:space="preserve"> distribution is narrow and nearly symmetric. Generalized Gaussian and generalized Lorentzian fits therefore yield almost identical peak locations near 0.025 µm⁻¹, making the representative curvature insensitive to the selected model.</w:t>
      </w:r>
    </w:p>
    <w:p w14:paraId="4998A89D" w14:textId="77777777" w:rsidR="005542BB" w:rsidRPr="005542BB" w:rsidRDefault="005542BB" w:rsidP="005542BB"/>
    <w:p w14:paraId="0797AAEB" w14:textId="00895C71" w:rsidR="00A84DC4" w:rsidRDefault="005542BB" w:rsidP="005542BB">
      <w:r w:rsidRPr="005542BB">
        <w:lastRenderedPageBreak/>
        <w:t>The MW distribution is broader and asymmetric. Symmetric fits place its peak near 0.022 µm⁻¹, whereas asymmetric models yield lower representative values of approximately 0.010–0.014 µm⁻¹. The choice of fitting model consequently has a larger effect on the capillary pressure reconstructed for the mixed-wet state and should be included in the reported uncertainty.</w:t>
      </w:r>
    </w:p>
    <w:p w14:paraId="01A4740D" w14:textId="0A0CF679" w:rsidR="00EB6BE8" w:rsidRDefault="00EB6BE8" w:rsidP="00EB6BE8">
      <w:pPr>
        <w:pStyle w:val="Heading1"/>
      </w:pPr>
      <w:r>
        <w:t>References</w:t>
      </w:r>
    </w:p>
    <w:p w14:paraId="5E03120F" w14:textId="77777777" w:rsidR="00EB6BE8" w:rsidRPr="00EB6BE8" w:rsidRDefault="00EB6BE8" w:rsidP="00EB6BE8">
      <w:pPr>
        <w:pStyle w:val="Bibliography"/>
        <w:spacing w:after="0"/>
        <w:rPr>
          <w:sz w:val="22"/>
          <w:szCs w:val="20"/>
        </w:rPr>
      </w:pPr>
      <w:r w:rsidRPr="00EB6BE8">
        <w:rPr>
          <w:sz w:val="22"/>
          <w:szCs w:val="20"/>
        </w:rPr>
        <w:fldChar w:fldCharType="begin"/>
      </w:r>
      <w:r w:rsidRPr="00EB6BE8">
        <w:rPr>
          <w:sz w:val="22"/>
          <w:szCs w:val="20"/>
        </w:rPr>
        <w:instrText xml:space="preserve"> ADDIN ZOTERO_BIBL {"uncited":[],"omitted":[],"custom":[]} CSL_BIBLIOGRAPHY </w:instrText>
      </w:r>
      <w:r w:rsidRPr="00EB6BE8">
        <w:rPr>
          <w:sz w:val="22"/>
          <w:szCs w:val="20"/>
        </w:rPr>
        <w:fldChar w:fldCharType="separate"/>
      </w:r>
      <w:r w:rsidRPr="00EB6BE8">
        <w:rPr>
          <w:sz w:val="22"/>
          <w:szCs w:val="20"/>
        </w:rPr>
        <w:t>Botsch M, Kobbelt L, Pauly M, et al (2010) Polygon Mesh Processing, 0 edn. A K Peters/CRC Press</w:t>
      </w:r>
    </w:p>
    <w:p w14:paraId="36D8B6B2" w14:textId="77777777" w:rsidR="00EB6BE8" w:rsidRPr="00EB6BE8" w:rsidRDefault="00EB6BE8" w:rsidP="00EB6BE8">
      <w:pPr>
        <w:pStyle w:val="Bibliography"/>
        <w:spacing w:after="0"/>
        <w:rPr>
          <w:sz w:val="22"/>
          <w:szCs w:val="20"/>
        </w:rPr>
      </w:pPr>
      <w:r w:rsidRPr="00EB6BE8">
        <w:rPr>
          <w:sz w:val="22"/>
          <w:szCs w:val="20"/>
        </w:rPr>
        <w:t>Magid E, Soldea O, Rivlin E (2007) A comparison of Gaussian and mean curvature estimation methods on triangular meshes of range image data. Computer Vision and Image Understanding 107:139–159. https://doi.org/10.1016/j.cviu.2006.09.007</w:t>
      </w:r>
    </w:p>
    <w:p w14:paraId="32E59E0F" w14:textId="77777777" w:rsidR="00EB6BE8" w:rsidRPr="00EB6BE8" w:rsidRDefault="00EB6BE8" w:rsidP="00EB6BE8">
      <w:pPr>
        <w:pStyle w:val="Bibliography"/>
        <w:spacing w:after="0"/>
        <w:rPr>
          <w:sz w:val="22"/>
          <w:szCs w:val="20"/>
        </w:rPr>
      </w:pPr>
      <w:r w:rsidRPr="00EB6BE8">
        <w:rPr>
          <w:sz w:val="22"/>
          <w:szCs w:val="20"/>
        </w:rPr>
        <w:t>Váša L, Vaněček P, Prantl M, et al (2016) Mesh Statistics for Robust Curvature Estimation. Computer Graphics Forum 35:271–280. https://doi.org/10.1111/cgf.12982</w:t>
      </w:r>
    </w:p>
    <w:p w14:paraId="0BBC5857" w14:textId="43DE48AF" w:rsidR="00EB6BE8" w:rsidRPr="00EB6BE8" w:rsidRDefault="00EB6BE8" w:rsidP="00EB6BE8">
      <w:pPr>
        <w:spacing w:after="0"/>
      </w:pPr>
      <w:r w:rsidRPr="00EB6BE8">
        <w:rPr>
          <w:sz w:val="22"/>
          <w:szCs w:val="20"/>
        </w:rPr>
        <w:fldChar w:fldCharType="end"/>
      </w:r>
    </w:p>
    <w:sectPr w:rsidR="00EB6BE8" w:rsidRPr="00EB6BE8">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F89375" w14:textId="77777777" w:rsidR="00887F90" w:rsidRDefault="00887F90" w:rsidP="00520A71">
      <w:pPr>
        <w:spacing w:after="0" w:line="240" w:lineRule="auto"/>
      </w:pPr>
      <w:r>
        <w:separator/>
      </w:r>
    </w:p>
  </w:endnote>
  <w:endnote w:type="continuationSeparator" w:id="0">
    <w:p w14:paraId="272AE6A5" w14:textId="77777777" w:rsidR="00887F90" w:rsidRDefault="00887F90" w:rsidP="00520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1"/>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6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0909E3" w14:textId="77777777" w:rsidR="00377E32" w:rsidRDefault="00377E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9FF2118" w14:textId="2BA56A9E" w:rsidR="001558FE" w:rsidRPr="001558FE" w:rsidRDefault="001558FE" w:rsidP="001558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FAE2C" w14:textId="77777777" w:rsidR="00377E32" w:rsidRDefault="00377E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D3D94D" w14:textId="77777777" w:rsidR="00887F90" w:rsidRDefault="00887F90" w:rsidP="00520A71">
      <w:pPr>
        <w:spacing w:after="0" w:line="240" w:lineRule="auto"/>
      </w:pPr>
      <w:r>
        <w:separator/>
      </w:r>
    </w:p>
  </w:footnote>
  <w:footnote w:type="continuationSeparator" w:id="0">
    <w:p w14:paraId="34F2298E" w14:textId="77777777" w:rsidR="00887F90" w:rsidRDefault="00887F90" w:rsidP="00520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64520F" w14:textId="77777777" w:rsidR="00377E32" w:rsidRDefault="00377E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5181D" w14:textId="77777777" w:rsidR="00377E32" w:rsidRDefault="00377E3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766EF9" w14:textId="77777777" w:rsidR="00377E32" w:rsidRDefault="00377E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680AFD"/>
    <w:multiLevelType w:val="multilevel"/>
    <w:tmpl w:val="CC36D36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E4A1A42"/>
    <w:multiLevelType w:val="multilevel"/>
    <w:tmpl w:val="6AF4B08A"/>
    <w:lvl w:ilvl="0">
      <w:start w:val="1"/>
      <w:numFmt w:val="decimal"/>
      <w:lvlText w:val="%1."/>
      <w:lvlJc w:val="left"/>
      <w:pPr>
        <w:ind w:left="397" w:hanging="397"/>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4AC242FF"/>
    <w:multiLevelType w:val="hybridMultilevel"/>
    <w:tmpl w:val="F6C6A01C"/>
    <w:lvl w:ilvl="0" w:tplc="4C090001">
      <w:start w:val="1"/>
      <w:numFmt w:val="bullet"/>
      <w:lvlText w:val=""/>
      <w:lvlJc w:val="left"/>
      <w:pPr>
        <w:ind w:left="720" w:hanging="360"/>
      </w:pPr>
      <w:rPr>
        <w:rFonts w:ascii="Symbol" w:hAnsi="Symbol" w:hint="default"/>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3" w15:restartNumberingAfterBreak="0">
    <w:nsid w:val="55851AF6"/>
    <w:multiLevelType w:val="multilevel"/>
    <w:tmpl w:val="FC0603A6"/>
    <w:lvl w:ilvl="0">
      <w:start w:val="1"/>
      <w:numFmt w:val="decimal"/>
      <w:lvlText w:val="%1."/>
      <w:lvlJc w:val="left"/>
      <w:pPr>
        <w:ind w:left="397" w:hanging="397"/>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573F6221"/>
    <w:multiLevelType w:val="hybridMultilevel"/>
    <w:tmpl w:val="F7B4673A"/>
    <w:lvl w:ilvl="0" w:tplc="F782C310">
      <w:numFmt w:val="bullet"/>
      <w:lvlText w:val=""/>
      <w:lvlJc w:val="left"/>
      <w:pPr>
        <w:ind w:left="720" w:hanging="360"/>
      </w:pPr>
      <w:rPr>
        <w:rFonts w:ascii="Symbol" w:eastAsiaTheme="minorHAnsi" w:hAnsi="Symbol" w:cstheme="minorBidi" w:hint="default"/>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6794AFC"/>
    <w:multiLevelType w:val="hybridMultilevel"/>
    <w:tmpl w:val="EE8E5B80"/>
    <w:lvl w:ilvl="0" w:tplc="4C090001">
      <w:start w:val="1"/>
      <w:numFmt w:val="bullet"/>
      <w:lvlText w:val=""/>
      <w:lvlJc w:val="left"/>
      <w:pPr>
        <w:ind w:left="360" w:hanging="360"/>
      </w:pPr>
      <w:rPr>
        <w:rFonts w:ascii="Symbol" w:hAnsi="Symbol" w:hint="default"/>
      </w:rPr>
    </w:lvl>
    <w:lvl w:ilvl="1" w:tplc="4C090003" w:tentative="1">
      <w:start w:val="1"/>
      <w:numFmt w:val="bullet"/>
      <w:lvlText w:val="o"/>
      <w:lvlJc w:val="left"/>
      <w:pPr>
        <w:ind w:left="1080" w:hanging="360"/>
      </w:pPr>
      <w:rPr>
        <w:rFonts w:ascii="Courier New" w:hAnsi="Courier New" w:cs="Courier New" w:hint="default"/>
      </w:rPr>
    </w:lvl>
    <w:lvl w:ilvl="2" w:tplc="4C090005" w:tentative="1">
      <w:start w:val="1"/>
      <w:numFmt w:val="bullet"/>
      <w:lvlText w:val=""/>
      <w:lvlJc w:val="left"/>
      <w:pPr>
        <w:ind w:left="1800" w:hanging="360"/>
      </w:pPr>
      <w:rPr>
        <w:rFonts w:ascii="Wingdings" w:hAnsi="Wingdings" w:hint="default"/>
      </w:rPr>
    </w:lvl>
    <w:lvl w:ilvl="3" w:tplc="4C090001" w:tentative="1">
      <w:start w:val="1"/>
      <w:numFmt w:val="bullet"/>
      <w:lvlText w:val=""/>
      <w:lvlJc w:val="left"/>
      <w:pPr>
        <w:ind w:left="2520" w:hanging="360"/>
      </w:pPr>
      <w:rPr>
        <w:rFonts w:ascii="Symbol" w:hAnsi="Symbol" w:hint="default"/>
      </w:rPr>
    </w:lvl>
    <w:lvl w:ilvl="4" w:tplc="4C090003" w:tentative="1">
      <w:start w:val="1"/>
      <w:numFmt w:val="bullet"/>
      <w:lvlText w:val="o"/>
      <w:lvlJc w:val="left"/>
      <w:pPr>
        <w:ind w:left="3240" w:hanging="360"/>
      </w:pPr>
      <w:rPr>
        <w:rFonts w:ascii="Courier New" w:hAnsi="Courier New" w:cs="Courier New" w:hint="default"/>
      </w:rPr>
    </w:lvl>
    <w:lvl w:ilvl="5" w:tplc="4C090005" w:tentative="1">
      <w:start w:val="1"/>
      <w:numFmt w:val="bullet"/>
      <w:lvlText w:val=""/>
      <w:lvlJc w:val="left"/>
      <w:pPr>
        <w:ind w:left="3960" w:hanging="360"/>
      </w:pPr>
      <w:rPr>
        <w:rFonts w:ascii="Wingdings" w:hAnsi="Wingdings" w:hint="default"/>
      </w:rPr>
    </w:lvl>
    <w:lvl w:ilvl="6" w:tplc="4C090001" w:tentative="1">
      <w:start w:val="1"/>
      <w:numFmt w:val="bullet"/>
      <w:lvlText w:val=""/>
      <w:lvlJc w:val="left"/>
      <w:pPr>
        <w:ind w:left="4680" w:hanging="360"/>
      </w:pPr>
      <w:rPr>
        <w:rFonts w:ascii="Symbol" w:hAnsi="Symbol" w:hint="default"/>
      </w:rPr>
    </w:lvl>
    <w:lvl w:ilvl="7" w:tplc="4C090003" w:tentative="1">
      <w:start w:val="1"/>
      <w:numFmt w:val="bullet"/>
      <w:lvlText w:val="o"/>
      <w:lvlJc w:val="left"/>
      <w:pPr>
        <w:ind w:left="5400" w:hanging="360"/>
      </w:pPr>
      <w:rPr>
        <w:rFonts w:ascii="Courier New" w:hAnsi="Courier New" w:cs="Courier New" w:hint="default"/>
      </w:rPr>
    </w:lvl>
    <w:lvl w:ilvl="8" w:tplc="4C090005" w:tentative="1">
      <w:start w:val="1"/>
      <w:numFmt w:val="bullet"/>
      <w:lvlText w:val=""/>
      <w:lvlJc w:val="left"/>
      <w:pPr>
        <w:ind w:left="6120" w:hanging="360"/>
      </w:pPr>
      <w:rPr>
        <w:rFonts w:ascii="Wingdings" w:hAnsi="Wingdings" w:hint="default"/>
      </w:rPr>
    </w:lvl>
  </w:abstractNum>
  <w:num w:numId="1" w16cid:durableId="773869260">
    <w:abstractNumId w:val="1"/>
  </w:num>
  <w:num w:numId="2" w16cid:durableId="983654694">
    <w:abstractNumId w:val="0"/>
  </w:num>
  <w:num w:numId="3" w16cid:durableId="215698746">
    <w:abstractNumId w:val="3"/>
  </w:num>
  <w:num w:numId="4" w16cid:durableId="1457943394">
    <w:abstractNumId w:val="3"/>
  </w:num>
  <w:num w:numId="5" w16cid:durableId="928082352">
    <w:abstractNumId w:val="3"/>
  </w:num>
  <w:num w:numId="6" w16cid:durableId="1435787803">
    <w:abstractNumId w:val="3"/>
  </w:num>
  <w:num w:numId="7" w16cid:durableId="1909026835">
    <w:abstractNumId w:val="3"/>
  </w:num>
  <w:num w:numId="8" w16cid:durableId="1601717821">
    <w:abstractNumId w:val="3"/>
  </w:num>
  <w:num w:numId="9" w16cid:durableId="1300456334">
    <w:abstractNumId w:val="3"/>
  </w:num>
  <w:num w:numId="10" w16cid:durableId="2093815409">
    <w:abstractNumId w:val="3"/>
  </w:num>
  <w:num w:numId="11" w16cid:durableId="2025815595">
    <w:abstractNumId w:val="3"/>
  </w:num>
  <w:num w:numId="12" w16cid:durableId="933975620">
    <w:abstractNumId w:val="3"/>
  </w:num>
  <w:num w:numId="13" w16cid:durableId="804006158">
    <w:abstractNumId w:val="3"/>
  </w:num>
  <w:num w:numId="14" w16cid:durableId="292322985">
    <w:abstractNumId w:val="3"/>
  </w:num>
  <w:num w:numId="15" w16cid:durableId="1257786133">
    <w:abstractNumId w:val="3"/>
  </w:num>
  <w:num w:numId="16" w16cid:durableId="490948211">
    <w:abstractNumId w:val="3"/>
  </w:num>
  <w:num w:numId="17" w16cid:durableId="1027683219">
    <w:abstractNumId w:val="3"/>
  </w:num>
  <w:num w:numId="18" w16cid:durableId="1036203332">
    <w:abstractNumId w:val="3"/>
  </w:num>
  <w:num w:numId="19" w16cid:durableId="1796560496">
    <w:abstractNumId w:val="3"/>
  </w:num>
  <w:num w:numId="20" w16cid:durableId="123895272">
    <w:abstractNumId w:val="3"/>
  </w:num>
  <w:num w:numId="21" w16cid:durableId="58203533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2038572">
    <w:abstractNumId w:val="2"/>
  </w:num>
  <w:num w:numId="23" w16cid:durableId="2104911281">
    <w:abstractNumId w:val="5"/>
  </w:num>
  <w:num w:numId="24" w16cid:durableId="1279334891">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2181"/>
    <w:rsid w:val="00011801"/>
    <w:rsid w:val="00013B97"/>
    <w:rsid w:val="0002384C"/>
    <w:rsid w:val="0003773D"/>
    <w:rsid w:val="00082CE7"/>
    <w:rsid w:val="00091093"/>
    <w:rsid w:val="00095CCD"/>
    <w:rsid w:val="00095D70"/>
    <w:rsid w:val="000B4E67"/>
    <w:rsid w:val="000C4BB1"/>
    <w:rsid w:val="00145869"/>
    <w:rsid w:val="00146890"/>
    <w:rsid w:val="00150B31"/>
    <w:rsid w:val="001525E9"/>
    <w:rsid w:val="001558FE"/>
    <w:rsid w:val="00157B78"/>
    <w:rsid w:val="00163C05"/>
    <w:rsid w:val="00175546"/>
    <w:rsid w:val="001948AC"/>
    <w:rsid w:val="001A5718"/>
    <w:rsid w:val="001D477E"/>
    <w:rsid w:val="00206C2A"/>
    <w:rsid w:val="00222172"/>
    <w:rsid w:val="00231079"/>
    <w:rsid w:val="002516BE"/>
    <w:rsid w:val="002A00AB"/>
    <w:rsid w:val="002C1E83"/>
    <w:rsid w:val="002D59C8"/>
    <w:rsid w:val="002E3ADB"/>
    <w:rsid w:val="002E4D5D"/>
    <w:rsid w:val="002F62FE"/>
    <w:rsid w:val="00314E3B"/>
    <w:rsid w:val="00322BDD"/>
    <w:rsid w:val="003422C9"/>
    <w:rsid w:val="003535D9"/>
    <w:rsid w:val="00377E32"/>
    <w:rsid w:val="003F1229"/>
    <w:rsid w:val="003F5124"/>
    <w:rsid w:val="003F53CE"/>
    <w:rsid w:val="0040473E"/>
    <w:rsid w:val="00421992"/>
    <w:rsid w:val="00440221"/>
    <w:rsid w:val="00443942"/>
    <w:rsid w:val="004634A7"/>
    <w:rsid w:val="00463BE7"/>
    <w:rsid w:val="00472DBA"/>
    <w:rsid w:val="00473206"/>
    <w:rsid w:val="004B2A5E"/>
    <w:rsid w:val="004B4FE6"/>
    <w:rsid w:val="004C7668"/>
    <w:rsid w:val="004D31D3"/>
    <w:rsid w:val="004D7410"/>
    <w:rsid w:val="004E44B7"/>
    <w:rsid w:val="004F1F59"/>
    <w:rsid w:val="004F5028"/>
    <w:rsid w:val="0050469A"/>
    <w:rsid w:val="00520A71"/>
    <w:rsid w:val="0054056C"/>
    <w:rsid w:val="005470A9"/>
    <w:rsid w:val="00550532"/>
    <w:rsid w:val="00553CB4"/>
    <w:rsid w:val="005542BB"/>
    <w:rsid w:val="00556AA7"/>
    <w:rsid w:val="00556AB3"/>
    <w:rsid w:val="00597C59"/>
    <w:rsid w:val="005A5C5E"/>
    <w:rsid w:val="005A7FAC"/>
    <w:rsid w:val="005B6495"/>
    <w:rsid w:val="005C2ACD"/>
    <w:rsid w:val="005C5BDE"/>
    <w:rsid w:val="005E3A61"/>
    <w:rsid w:val="005E59E5"/>
    <w:rsid w:val="005F1ECD"/>
    <w:rsid w:val="005F2B88"/>
    <w:rsid w:val="005F5133"/>
    <w:rsid w:val="0061342B"/>
    <w:rsid w:val="006351D7"/>
    <w:rsid w:val="00635221"/>
    <w:rsid w:val="00640E53"/>
    <w:rsid w:val="006509AD"/>
    <w:rsid w:val="00655A8A"/>
    <w:rsid w:val="006617A0"/>
    <w:rsid w:val="00696555"/>
    <w:rsid w:val="006D0791"/>
    <w:rsid w:val="006D20C1"/>
    <w:rsid w:val="006D2450"/>
    <w:rsid w:val="006E27F3"/>
    <w:rsid w:val="006E48AB"/>
    <w:rsid w:val="00706DED"/>
    <w:rsid w:val="00714958"/>
    <w:rsid w:val="00716D91"/>
    <w:rsid w:val="00736A04"/>
    <w:rsid w:val="00742E77"/>
    <w:rsid w:val="00760480"/>
    <w:rsid w:val="00776C68"/>
    <w:rsid w:val="00786EBA"/>
    <w:rsid w:val="00791810"/>
    <w:rsid w:val="00795767"/>
    <w:rsid w:val="007A1018"/>
    <w:rsid w:val="007A603A"/>
    <w:rsid w:val="007B12F4"/>
    <w:rsid w:val="007B3422"/>
    <w:rsid w:val="007B5207"/>
    <w:rsid w:val="007B7F07"/>
    <w:rsid w:val="007C09DD"/>
    <w:rsid w:val="007C44A9"/>
    <w:rsid w:val="007E7AA6"/>
    <w:rsid w:val="00803661"/>
    <w:rsid w:val="00810A39"/>
    <w:rsid w:val="00814B30"/>
    <w:rsid w:val="0082421C"/>
    <w:rsid w:val="0082598F"/>
    <w:rsid w:val="00830302"/>
    <w:rsid w:val="0083598B"/>
    <w:rsid w:val="00855B60"/>
    <w:rsid w:val="00863271"/>
    <w:rsid w:val="00887F90"/>
    <w:rsid w:val="008A7876"/>
    <w:rsid w:val="008B3CC5"/>
    <w:rsid w:val="008C0453"/>
    <w:rsid w:val="008E25E6"/>
    <w:rsid w:val="00914D44"/>
    <w:rsid w:val="00920752"/>
    <w:rsid w:val="009250B7"/>
    <w:rsid w:val="00930EEC"/>
    <w:rsid w:val="0095060A"/>
    <w:rsid w:val="00951C4E"/>
    <w:rsid w:val="00960A5F"/>
    <w:rsid w:val="009743CE"/>
    <w:rsid w:val="009817C6"/>
    <w:rsid w:val="00982AA6"/>
    <w:rsid w:val="0098656E"/>
    <w:rsid w:val="00987B9E"/>
    <w:rsid w:val="009A4D25"/>
    <w:rsid w:val="009D3BFF"/>
    <w:rsid w:val="009D72F2"/>
    <w:rsid w:val="00A25785"/>
    <w:rsid w:val="00A3014D"/>
    <w:rsid w:val="00A32E91"/>
    <w:rsid w:val="00A361AD"/>
    <w:rsid w:val="00A5137D"/>
    <w:rsid w:val="00A65959"/>
    <w:rsid w:val="00A77CEB"/>
    <w:rsid w:val="00A815DE"/>
    <w:rsid w:val="00A84DC4"/>
    <w:rsid w:val="00A936CD"/>
    <w:rsid w:val="00AA3286"/>
    <w:rsid w:val="00AB4D1E"/>
    <w:rsid w:val="00AC188E"/>
    <w:rsid w:val="00AC4831"/>
    <w:rsid w:val="00AD6140"/>
    <w:rsid w:val="00AF263E"/>
    <w:rsid w:val="00B049CD"/>
    <w:rsid w:val="00B16504"/>
    <w:rsid w:val="00B231CD"/>
    <w:rsid w:val="00B75898"/>
    <w:rsid w:val="00B94167"/>
    <w:rsid w:val="00B953AF"/>
    <w:rsid w:val="00BB61A5"/>
    <w:rsid w:val="00BC36FF"/>
    <w:rsid w:val="00BC430C"/>
    <w:rsid w:val="00C0240C"/>
    <w:rsid w:val="00C168F4"/>
    <w:rsid w:val="00C22181"/>
    <w:rsid w:val="00C415A2"/>
    <w:rsid w:val="00C453F8"/>
    <w:rsid w:val="00C478B3"/>
    <w:rsid w:val="00C6768D"/>
    <w:rsid w:val="00C87333"/>
    <w:rsid w:val="00CA1608"/>
    <w:rsid w:val="00CC2711"/>
    <w:rsid w:val="00CF00CA"/>
    <w:rsid w:val="00D03F40"/>
    <w:rsid w:val="00D149DD"/>
    <w:rsid w:val="00D31F8F"/>
    <w:rsid w:val="00D63E96"/>
    <w:rsid w:val="00D86F4C"/>
    <w:rsid w:val="00D945EE"/>
    <w:rsid w:val="00D95FBE"/>
    <w:rsid w:val="00DA0F03"/>
    <w:rsid w:val="00DB2B45"/>
    <w:rsid w:val="00DC17BD"/>
    <w:rsid w:val="00DD04DA"/>
    <w:rsid w:val="00DD11BF"/>
    <w:rsid w:val="00E41496"/>
    <w:rsid w:val="00E42547"/>
    <w:rsid w:val="00E5012A"/>
    <w:rsid w:val="00E53CC0"/>
    <w:rsid w:val="00E56B94"/>
    <w:rsid w:val="00E75450"/>
    <w:rsid w:val="00E77CCD"/>
    <w:rsid w:val="00E863EF"/>
    <w:rsid w:val="00E90E0D"/>
    <w:rsid w:val="00EA6635"/>
    <w:rsid w:val="00EA7239"/>
    <w:rsid w:val="00EB6BE8"/>
    <w:rsid w:val="00EC4539"/>
    <w:rsid w:val="00EE4151"/>
    <w:rsid w:val="00F15A03"/>
    <w:rsid w:val="00F23416"/>
    <w:rsid w:val="00F23D3C"/>
    <w:rsid w:val="00F437EF"/>
    <w:rsid w:val="00F45A33"/>
    <w:rsid w:val="00F66A33"/>
    <w:rsid w:val="00F75893"/>
    <w:rsid w:val="00F95380"/>
    <w:rsid w:val="00F9553F"/>
    <w:rsid w:val="00FA2E58"/>
    <w:rsid w:val="00FC3A37"/>
    <w:rsid w:val="00FC7B58"/>
    <w:rsid w:val="00FE4848"/>
    <w:rsid w:val="00FF3D07"/>
    <w:rsid w:val="00FF4411"/>
    <w:rsid w:val="00FF4711"/>
    <w:rsid w:val="00FF7CF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74946A"/>
  <w15:chartTrackingRefBased/>
  <w15:docId w15:val="{6A42BBA0-CEB2-4A9F-95D4-29FDF45D3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B78"/>
    <w:pPr>
      <w:spacing w:after="120" w:line="288" w:lineRule="auto"/>
      <w:jc w:val="both"/>
    </w:pPr>
    <w:rPr>
      <w:rFonts w:ascii="Times New Roman" w:hAnsi="Times New Roman"/>
      <w:color w:val="000000" w:themeColor="text1"/>
      <w:sz w:val="24"/>
    </w:rPr>
  </w:style>
  <w:style w:type="paragraph" w:styleId="Heading1">
    <w:name w:val="heading 1"/>
    <w:basedOn w:val="Normal"/>
    <w:next w:val="Normal"/>
    <w:link w:val="Heading1Char"/>
    <w:uiPriority w:val="9"/>
    <w:qFormat/>
    <w:rsid w:val="00157B78"/>
    <w:pPr>
      <w:keepNext/>
      <w:keepLines/>
      <w:spacing w:before="240" w:after="240" w:line="240" w:lineRule="auto"/>
      <w:outlineLvl w:val="0"/>
    </w:pPr>
    <w:rPr>
      <w:rFonts w:eastAsiaTheme="majorEastAsia" w:cstheme="majorBidi"/>
      <w:b/>
      <w:sz w:val="28"/>
      <w:szCs w:val="32"/>
    </w:rPr>
  </w:style>
  <w:style w:type="paragraph" w:styleId="Heading2">
    <w:name w:val="heading 2"/>
    <w:basedOn w:val="Normal"/>
    <w:next w:val="Normal"/>
    <w:link w:val="Heading2Char"/>
    <w:uiPriority w:val="9"/>
    <w:unhideWhenUsed/>
    <w:qFormat/>
    <w:rsid w:val="00B16504"/>
    <w:pPr>
      <w:keepNext/>
      <w:keepLines/>
      <w:numPr>
        <w:ilvl w:val="1"/>
        <w:numId w:val="20"/>
      </w:numPr>
      <w:spacing w:before="40" w:after="240" w:line="240" w:lineRule="auto"/>
      <w:ind w:left="578" w:hanging="578"/>
      <w:outlineLvl w:val="1"/>
    </w:pPr>
    <w:rPr>
      <w:rFonts w:eastAsiaTheme="majorEastAsia" w:cstheme="majorBidi"/>
      <w:b/>
      <w:sz w:val="28"/>
      <w:szCs w:val="26"/>
    </w:rPr>
  </w:style>
  <w:style w:type="paragraph" w:styleId="Heading3">
    <w:name w:val="heading 3"/>
    <w:basedOn w:val="Normal"/>
    <w:next w:val="Normal"/>
    <w:link w:val="Heading3Char"/>
    <w:autoRedefine/>
    <w:uiPriority w:val="9"/>
    <w:unhideWhenUsed/>
    <w:qFormat/>
    <w:rsid w:val="00C0240C"/>
    <w:pPr>
      <w:keepNext/>
      <w:keepLines/>
      <w:numPr>
        <w:ilvl w:val="2"/>
        <w:numId w:val="20"/>
      </w:numPr>
      <w:spacing w:before="40" w:after="0"/>
      <w:outlineLvl w:val="2"/>
    </w:pPr>
    <w:rPr>
      <w:rFonts w:eastAsiaTheme="majorEastAsia" w:cstheme="majorBidi"/>
      <w:b/>
      <w:sz w:val="28"/>
      <w:szCs w:val="24"/>
    </w:rPr>
  </w:style>
  <w:style w:type="paragraph" w:styleId="Heading4">
    <w:name w:val="heading 4"/>
    <w:basedOn w:val="Normal"/>
    <w:next w:val="Normal"/>
    <w:link w:val="Heading4Char"/>
    <w:uiPriority w:val="9"/>
    <w:semiHidden/>
    <w:unhideWhenUsed/>
    <w:qFormat/>
    <w:rsid w:val="00C0240C"/>
    <w:pPr>
      <w:keepNext/>
      <w:keepLines/>
      <w:numPr>
        <w:ilvl w:val="3"/>
        <w:numId w:val="20"/>
      </w:numPr>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240C"/>
    <w:pPr>
      <w:keepNext/>
      <w:keepLines/>
      <w:numPr>
        <w:ilvl w:val="4"/>
        <w:numId w:val="20"/>
      </w:numPr>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C0240C"/>
    <w:pPr>
      <w:keepNext/>
      <w:keepLines/>
      <w:numPr>
        <w:ilvl w:val="5"/>
        <w:numId w:val="20"/>
      </w:numPr>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C0240C"/>
    <w:pPr>
      <w:keepNext/>
      <w:keepLines/>
      <w:numPr>
        <w:ilvl w:val="6"/>
        <w:numId w:val="20"/>
      </w:numPr>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C0240C"/>
    <w:pPr>
      <w:keepNext/>
      <w:keepLines/>
      <w:numPr>
        <w:ilvl w:val="7"/>
        <w:numId w:val="2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0240C"/>
    <w:pPr>
      <w:keepNext/>
      <w:keepLines/>
      <w:numPr>
        <w:ilvl w:val="8"/>
        <w:numId w:val="2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0240C"/>
    <w:rPr>
      <w:rFonts w:ascii="Times New Roman" w:eastAsiaTheme="majorEastAsia" w:hAnsi="Times New Roman" w:cstheme="majorBidi"/>
      <w:b/>
      <w:color w:val="000000" w:themeColor="text1"/>
      <w:sz w:val="28"/>
      <w:szCs w:val="24"/>
    </w:rPr>
  </w:style>
  <w:style w:type="paragraph" w:styleId="Bibliography">
    <w:name w:val="Bibliography"/>
    <w:basedOn w:val="Normal"/>
    <w:next w:val="Normal"/>
    <w:uiPriority w:val="37"/>
    <w:unhideWhenUsed/>
    <w:rsid w:val="00C0240C"/>
    <w:pPr>
      <w:spacing w:after="240" w:line="240" w:lineRule="auto"/>
      <w:ind w:left="720" w:hanging="720"/>
    </w:pPr>
  </w:style>
  <w:style w:type="character" w:customStyle="1" w:styleId="Heading1Char">
    <w:name w:val="Heading 1 Char"/>
    <w:basedOn w:val="DefaultParagraphFont"/>
    <w:link w:val="Heading1"/>
    <w:uiPriority w:val="9"/>
    <w:rsid w:val="00157B78"/>
    <w:rPr>
      <w:rFonts w:ascii="Times New Roman" w:eastAsiaTheme="majorEastAsia" w:hAnsi="Times New Roman" w:cstheme="majorBidi"/>
      <w:b/>
      <w:color w:val="000000" w:themeColor="text1"/>
      <w:sz w:val="28"/>
      <w:szCs w:val="32"/>
    </w:rPr>
  </w:style>
  <w:style w:type="character" w:customStyle="1" w:styleId="Heading2Char">
    <w:name w:val="Heading 2 Char"/>
    <w:basedOn w:val="DefaultParagraphFont"/>
    <w:link w:val="Heading2"/>
    <w:uiPriority w:val="9"/>
    <w:rsid w:val="00B16504"/>
    <w:rPr>
      <w:rFonts w:ascii="Times New Roman" w:eastAsiaTheme="majorEastAsia" w:hAnsi="Times New Roman" w:cstheme="majorBidi"/>
      <w:b/>
      <w:color w:val="000000" w:themeColor="text1"/>
      <w:sz w:val="28"/>
      <w:szCs w:val="26"/>
    </w:rPr>
  </w:style>
  <w:style w:type="character" w:customStyle="1" w:styleId="Heading4Char">
    <w:name w:val="Heading 4 Char"/>
    <w:basedOn w:val="DefaultParagraphFont"/>
    <w:link w:val="Heading4"/>
    <w:uiPriority w:val="9"/>
    <w:semiHidden/>
    <w:rsid w:val="00C0240C"/>
    <w:rPr>
      <w:rFonts w:asciiTheme="majorHAnsi" w:eastAsiaTheme="majorEastAsia" w:hAnsiTheme="majorHAnsi" w:cstheme="majorBidi"/>
      <w:i/>
      <w:iCs/>
      <w:color w:val="0F4761" w:themeColor="accent1" w:themeShade="BF"/>
      <w:sz w:val="24"/>
    </w:rPr>
  </w:style>
  <w:style w:type="character" w:customStyle="1" w:styleId="Heading5Char">
    <w:name w:val="Heading 5 Char"/>
    <w:basedOn w:val="DefaultParagraphFont"/>
    <w:link w:val="Heading5"/>
    <w:uiPriority w:val="9"/>
    <w:semiHidden/>
    <w:rsid w:val="00C0240C"/>
    <w:rPr>
      <w:rFonts w:asciiTheme="majorHAnsi" w:eastAsiaTheme="majorEastAsia" w:hAnsiTheme="majorHAnsi" w:cstheme="majorBidi"/>
      <w:color w:val="0F4761" w:themeColor="accent1" w:themeShade="BF"/>
      <w:sz w:val="24"/>
    </w:rPr>
  </w:style>
  <w:style w:type="character" w:customStyle="1" w:styleId="Heading6Char">
    <w:name w:val="Heading 6 Char"/>
    <w:basedOn w:val="DefaultParagraphFont"/>
    <w:link w:val="Heading6"/>
    <w:uiPriority w:val="9"/>
    <w:semiHidden/>
    <w:rsid w:val="00C0240C"/>
    <w:rPr>
      <w:rFonts w:asciiTheme="majorHAnsi" w:eastAsiaTheme="majorEastAsia" w:hAnsiTheme="majorHAnsi" w:cstheme="majorBidi"/>
      <w:color w:val="0A2F40" w:themeColor="accent1" w:themeShade="7F"/>
      <w:sz w:val="24"/>
    </w:rPr>
  </w:style>
  <w:style w:type="character" w:customStyle="1" w:styleId="Heading7Char">
    <w:name w:val="Heading 7 Char"/>
    <w:basedOn w:val="DefaultParagraphFont"/>
    <w:link w:val="Heading7"/>
    <w:uiPriority w:val="9"/>
    <w:semiHidden/>
    <w:rsid w:val="00C0240C"/>
    <w:rPr>
      <w:rFonts w:asciiTheme="majorHAnsi" w:eastAsiaTheme="majorEastAsia" w:hAnsiTheme="majorHAnsi" w:cstheme="majorBidi"/>
      <w:i/>
      <w:iCs/>
      <w:color w:val="0A2F40" w:themeColor="accent1" w:themeShade="7F"/>
      <w:sz w:val="24"/>
    </w:rPr>
  </w:style>
  <w:style w:type="character" w:customStyle="1" w:styleId="Heading8Char">
    <w:name w:val="Heading 8 Char"/>
    <w:basedOn w:val="DefaultParagraphFont"/>
    <w:link w:val="Heading8"/>
    <w:uiPriority w:val="9"/>
    <w:semiHidden/>
    <w:rsid w:val="00C0240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0240C"/>
    <w:rPr>
      <w:rFonts w:asciiTheme="majorHAnsi" w:eastAsiaTheme="majorEastAsia" w:hAnsiTheme="majorHAnsi" w:cstheme="majorBidi"/>
      <w:i/>
      <w:iCs/>
      <w:color w:val="272727" w:themeColor="text1" w:themeTint="D8"/>
      <w:sz w:val="21"/>
      <w:szCs w:val="21"/>
    </w:rPr>
  </w:style>
  <w:style w:type="paragraph" w:customStyle="1" w:styleId="BodyTextParagraphinitial">
    <w:name w:val="Body Text Paragraph (initial)"/>
    <w:qFormat/>
    <w:rsid w:val="00C0240C"/>
    <w:pPr>
      <w:tabs>
        <w:tab w:val="left" w:pos="360"/>
      </w:tabs>
      <w:spacing w:line="240" w:lineRule="auto"/>
      <w:jc w:val="both"/>
    </w:pPr>
    <w:rPr>
      <w:rFonts w:ascii="Times New Roman" w:hAnsi="Times New Roman" w:cs="Times New Roman"/>
      <w:kern w:val="0"/>
      <w:sz w:val="20"/>
      <w:szCs w:val="20"/>
      <w14:ligatures w14:val="none"/>
    </w:rPr>
  </w:style>
  <w:style w:type="paragraph" w:styleId="Caption">
    <w:name w:val="caption"/>
    <w:basedOn w:val="Normal"/>
    <w:next w:val="Normal"/>
    <w:uiPriority w:val="35"/>
    <w:unhideWhenUsed/>
    <w:qFormat/>
    <w:rsid w:val="00C0240C"/>
    <w:pPr>
      <w:spacing w:after="200" w:line="240" w:lineRule="auto"/>
      <w:jc w:val="left"/>
    </w:pPr>
    <w:rPr>
      <w:rFonts w:ascii="Arial" w:hAnsi="Arial"/>
      <w:b/>
      <w:iCs/>
      <w:sz w:val="18"/>
      <w:szCs w:val="18"/>
    </w:rPr>
  </w:style>
  <w:style w:type="character" w:styleId="CommentReference">
    <w:name w:val="annotation reference"/>
    <w:basedOn w:val="DefaultParagraphFont"/>
    <w:uiPriority w:val="99"/>
    <w:semiHidden/>
    <w:unhideWhenUsed/>
    <w:rsid w:val="00C0240C"/>
    <w:rPr>
      <w:sz w:val="16"/>
      <w:szCs w:val="16"/>
    </w:rPr>
  </w:style>
  <w:style w:type="paragraph" w:styleId="CommentText">
    <w:name w:val="annotation text"/>
    <w:basedOn w:val="Normal"/>
    <w:link w:val="CommentTextChar"/>
    <w:uiPriority w:val="99"/>
    <w:unhideWhenUsed/>
    <w:rsid w:val="00C0240C"/>
    <w:pPr>
      <w:spacing w:line="240" w:lineRule="auto"/>
    </w:pPr>
    <w:rPr>
      <w:sz w:val="20"/>
      <w:szCs w:val="20"/>
    </w:rPr>
  </w:style>
  <w:style w:type="character" w:customStyle="1" w:styleId="CommentTextChar">
    <w:name w:val="Comment Text Char"/>
    <w:basedOn w:val="DefaultParagraphFont"/>
    <w:link w:val="CommentText"/>
    <w:uiPriority w:val="99"/>
    <w:rsid w:val="00C0240C"/>
    <w:rPr>
      <w:rFonts w:ascii="Times New Roman" w:hAnsi="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C0240C"/>
    <w:rPr>
      <w:b/>
      <w:bCs/>
    </w:rPr>
  </w:style>
  <w:style w:type="character" w:customStyle="1" w:styleId="CommentSubjectChar">
    <w:name w:val="Comment Subject Char"/>
    <w:basedOn w:val="CommentTextChar"/>
    <w:link w:val="CommentSubject"/>
    <w:uiPriority w:val="99"/>
    <w:semiHidden/>
    <w:rsid w:val="00C0240C"/>
    <w:rPr>
      <w:rFonts w:ascii="Times New Roman" w:hAnsi="Times New Roman"/>
      <w:b/>
      <w:bCs/>
      <w:color w:val="000000" w:themeColor="text1"/>
      <w:sz w:val="20"/>
      <w:szCs w:val="20"/>
    </w:rPr>
  </w:style>
  <w:style w:type="paragraph" w:styleId="Footer">
    <w:name w:val="footer"/>
    <w:basedOn w:val="Normal"/>
    <w:link w:val="FooterChar"/>
    <w:uiPriority w:val="99"/>
    <w:unhideWhenUsed/>
    <w:rsid w:val="00C024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240C"/>
    <w:rPr>
      <w:rFonts w:ascii="Times New Roman" w:hAnsi="Times New Roman"/>
      <w:color w:val="000000" w:themeColor="text1"/>
      <w:sz w:val="24"/>
    </w:rPr>
  </w:style>
  <w:style w:type="paragraph" w:styleId="Header">
    <w:name w:val="header"/>
    <w:basedOn w:val="Normal"/>
    <w:link w:val="HeaderChar"/>
    <w:uiPriority w:val="99"/>
    <w:unhideWhenUsed/>
    <w:rsid w:val="00C024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240C"/>
    <w:rPr>
      <w:rFonts w:ascii="Times New Roman" w:hAnsi="Times New Roman"/>
      <w:color w:val="000000" w:themeColor="text1"/>
      <w:sz w:val="24"/>
    </w:rPr>
  </w:style>
  <w:style w:type="character" w:styleId="Hyperlink">
    <w:name w:val="Hyperlink"/>
    <w:basedOn w:val="DefaultParagraphFont"/>
    <w:uiPriority w:val="99"/>
    <w:unhideWhenUsed/>
    <w:rsid w:val="00C0240C"/>
    <w:rPr>
      <w:color w:val="467886" w:themeColor="hyperlink"/>
      <w:u w:val="single"/>
    </w:rPr>
  </w:style>
  <w:style w:type="paragraph" w:styleId="ListParagraph">
    <w:name w:val="List Paragraph"/>
    <w:basedOn w:val="Normal"/>
    <w:uiPriority w:val="34"/>
    <w:qFormat/>
    <w:rsid w:val="00C0240C"/>
    <w:pPr>
      <w:ind w:left="720"/>
      <w:contextualSpacing/>
    </w:pPr>
  </w:style>
  <w:style w:type="paragraph" w:styleId="NoSpacing">
    <w:name w:val="No Spacing"/>
    <w:uiPriority w:val="1"/>
    <w:qFormat/>
    <w:rsid w:val="00C0240C"/>
    <w:pPr>
      <w:spacing w:after="0" w:line="240" w:lineRule="auto"/>
      <w:jc w:val="both"/>
    </w:pPr>
    <w:rPr>
      <w:rFonts w:ascii="Times New Roman" w:hAnsi="Times New Roman"/>
      <w:color w:val="000000" w:themeColor="text1"/>
      <w:sz w:val="24"/>
    </w:rPr>
  </w:style>
  <w:style w:type="character" w:styleId="PlaceholderText">
    <w:name w:val="Placeholder Text"/>
    <w:basedOn w:val="DefaultParagraphFont"/>
    <w:uiPriority w:val="99"/>
    <w:semiHidden/>
    <w:rsid w:val="00C0240C"/>
    <w:rPr>
      <w:color w:val="666666"/>
    </w:rPr>
  </w:style>
  <w:style w:type="table" w:styleId="TableGrid">
    <w:name w:val="Table Grid"/>
    <w:basedOn w:val="TableNormal"/>
    <w:uiPriority w:val="59"/>
    <w:rsid w:val="00C0240C"/>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C0240C"/>
    <w:pPr>
      <w:spacing w:after="0"/>
    </w:pPr>
  </w:style>
  <w:style w:type="paragraph" w:styleId="Title">
    <w:name w:val="Title"/>
    <w:basedOn w:val="Normal"/>
    <w:next w:val="Normal"/>
    <w:link w:val="TitleChar"/>
    <w:uiPriority w:val="10"/>
    <w:qFormat/>
    <w:rsid w:val="00C0240C"/>
    <w:pPr>
      <w:spacing w:after="0" w:line="240" w:lineRule="auto"/>
      <w:contextualSpacing/>
      <w:jc w:val="center"/>
    </w:pPr>
    <w:rPr>
      <w:rFonts w:eastAsiaTheme="majorEastAsia" w:cstheme="majorBidi"/>
      <w:b/>
      <w:spacing w:val="-10"/>
      <w:kern w:val="28"/>
      <w:sz w:val="48"/>
      <w:szCs w:val="56"/>
    </w:rPr>
  </w:style>
  <w:style w:type="character" w:customStyle="1" w:styleId="TitleChar">
    <w:name w:val="Title Char"/>
    <w:basedOn w:val="DefaultParagraphFont"/>
    <w:link w:val="Title"/>
    <w:uiPriority w:val="10"/>
    <w:rsid w:val="00C0240C"/>
    <w:rPr>
      <w:rFonts w:ascii="Times New Roman" w:eastAsiaTheme="majorEastAsia" w:hAnsi="Times New Roman" w:cstheme="majorBidi"/>
      <w:b/>
      <w:color w:val="000000" w:themeColor="text1"/>
      <w:spacing w:val="-10"/>
      <w:kern w:val="28"/>
      <w:sz w:val="48"/>
      <w:szCs w:val="56"/>
    </w:rPr>
  </w:style>
  <w:style w:type="paragraph" w:styleId="TOC1">
    <w:name w:val="toc 1"/>
    <w:basedOn w:val="Normal"/>
    <w:next w:val="Normal"/>
    <w:autoRedefine/>
    <w:uiPriority w:val="39"/>
    <w:unhideWhenUsed/>
    <w:rsid w:val="00C0240C"/>
    <w:pPr>
      <w:tabs>
        <w:tab w:val="left" w:pos="423"/>
        <w:tab w:val="right" w:pos="9016"/>
      </w:tabs>
      <w:spacing w:before="360" w:after="360"/>
      <w:jc w:val="left"/>
    </w:pPr>
    <w:rPr>
      <w:rFonts w:asciiTheme="minorHAnsi" w:hAnsiTheme="minorHAnsi" w:cstheme="minorHAnsi"/>
      <w:b/>
      <w:bCs/>
      <w:caps/>
      <w:noProof/>
      <w:sz w:val="22"/>
      <w:u w:val="single"/>
    </w:rPr>
  </w:style>
  <w:style w:type="paragraph" w:styleId="TOC2">
    <w:name w:val="toc 2"/>
    <w:basedOn w:val="Normal"/>
    <w:next w:val="Normal"/>
    <w:autoRedefine/>
    <w:uiPriority w:val="39"/>
    <w:unhideWhenUsed/>
    <w:rsid w:val="00C0240C"/>
    <w:pPr>
      <w:spacing w:after="0"/>
      <w:jc w:val="left"/>
    </w:pPr>
    <w:rPr>
      <w:rFonts w:asciiTheme="minorHAnsi" w:hAnsiTheme="minorHAnsi" w:cstheme="minorHAnsi"/>
      <w:b/>
      <w:bCs/>
      <w:smallCaps/>
      <w:sz w:val="22"/>
    </w:rPr>
  </w:style>
  <w:style w:type="paragraph" w:styleId="TOC3">
    <w:name w:val="toc 3"/>
    <w:basedOn w:val="Normal"/>
    <w:next w:val="Normal"/>
    <w:autoRedefine/>
    <w:uiPriority w:val="39"/>
    <w:unhideWhenUsed/>
    <w:rsid w:val="00C0240C"/>
    <w:pPr>
      <w:spacing w:after="0"/>
      <w:jc w:val="left"/>
    </w:pPr>
    <w:rPr>
      <w:rFonts w:asciiTheme="minorHAnsi" w:hAnsiTheme="minorHAnsi" w:cstheme="minorHAnsi"/>
      <w:smallCaps/>
      <w:sz w:val="22"/>
    </w:rPr>
  </w:style>
  <w:style w:type="paragraph" w:styleId="TOC4">
    <w:name w:val="toc 4"/>
    <w:basedOn w:val="Normal"/>
    <w:next w:val="Normal"/>
    <w:autoRedefine/>
    <w:uiPriority w:val="39"/>
    <w:unhideWhenUsed/>
    <w:rsid w:val="00C0240C"/>
    <w:pPr>
      <w:spacing w:after="0"/>
      <w:jc w:val="left"/>
    </w:pPr>
    <w:rPr>
      <w:rFonts w:asciiTheme="minorHAnsi" w:hAnsiTheme="minorHAnsi" w:cstheme="minorHAnsi"/>
      <w:sz w:val="22"/>
    </w:rPr>
  </w:style>
  <w:style w:type="paragraph" w:styleId="TOC5">
    <w:name w:val="toc 5"/>
    <w:basedOn w:val="Normal"/>
    <w:next w:val="Normal"/>
    <w:autoRedefine/>
    <w:uiPriority w:val="39"/>
    <w:unhideWhenUsed/>
    <w:rsid w:val="00C0240C"/>
    <w:pPr>
      <w:spacing w:after="0"/>
      <w:jc w:val="left"/>
    </w:pPr>
    <w:rPr>
      <w:rFonts w:asciiTheme="minorHAnsi" w:hAnsiTheme="minorHAnsi" w:cstheme="minorHAnsi"/>
      <w:sz w:val="22"/>
    </w:rPr>
  </w:style>
  <w:style w:type="paragraph" w:styleId="TOC6">
    <w:name w:val="toc 6"/>
    <w:basedOn w:val="Normal"/>
    <w:next w:val="Normal"/>
    <w:autoRedefine/>
    <w:uiPriority w:val="39"/>
    <w:unhideWhenUsed/>
    <w:rsid w:val="00C0240C"/>
    <w:pPr>
      <w:spacing w:after="0"/>
      <w:jc w:val="left"/>
    </w:pPr>
    <w:rPr>
      <w:rFonts w:asciiTheme="minorHAnsi" w:hAnsiTheme="minorHAnsi" w:cstheme="minorHAnsi"/>
      <w:sz w:val="22"/>
    </w:rPr>
  </w:style>
  <w:style w:type="paragraph" w:styleId="TOC7">
    <w:name w:val="toc 7"/>
    <w:basedOn w:val="Normal"/>
    <w:next w:val="Normal"/>
    <w:autoRedefine/>
    <w:uiPriority w:val="39"/>
    <w:unhideWhenUsed/>
    <w:rsid w:val="00C0240C"/>
    <w:pPr>
      <w:spacing w:after="0"/>
      <w:jc w:val="left"/>
    </w:pPr>
    <w:rPr>
      <w:rFonts w:asciiTheme="minorHAnsi" w:hAnsiTheme="minorHAnsi" w:cstheme="minorHAnsi"/>
      <w:sz w:val="22"/>
    </w:rPr>
  </w:style>
  <w:style w:type="paragraph" w:styleId="TOC8">
    <w:name w:val="toc 8"/>
    <w:basedOn w:val="Normal"/>
    <w:next w:val="Normal"/>
    <w:autoRedefine/>
    <w:uiPriority w:val="39"/>
    <w:unhideWhenUsed/>
    <w:rsid w:val="00C0240C"/>
    <w:pPr>
      <w:spacing w:after="0"/>
      <w:jc w:val="left"/>
    </w:pPr>
    <w:rPr>
      <w:rFonts w:asciiTheme="minorHAnsi" w:hAnsiTheme="minorHAnsi" w:cstheme="minorHAnsi"/>
      <w:sz w:val="22"/>
    </w:rPr>
  </w:style>
  <w:style w:type="paragraph" w:styleId="TOC9">
    <w:name w:val="toc 9"/>
    <w:basedOn w:val="Normal"/>
    <w:next w:val="Normal"/>
    <w:autoRedefine/>
    <w:uiPriority w:val="39"/>
    <w:unhideWhenUsed/>
    <w:rsid w:val="00C0240C"/>
    <w:pPr>
      <w:spacing w:after="0"/>
      <w:jc w:val="left"/>
    </w:pPr>
    <w:rPr>
      <w:rFonts w:asciiTheme="minorHAnsi" w:hAnsiTheme="minorHAnsi" w:cstheme="minorHAnsi"/>
      <w:sz w:val="22"/>
    </w:rPr>
  </w:style>
  <w:style w:type="character" w:styleId="UnresolvedMention">
    <w:name w:val="Unresolved Mention"/>
    <w:basedOn w:val="DefaultParagraphFont"/>
    <w:uiPriority w:val="99"/>
    <w:semiHidden/>
    <w:unhideWhenUsed/>
    <w:rsid w:val="00C0240C"/>
    <w:rPr>
      <w:color w:val="605E5C"/>
      <w:shd w:val="clear" w:color="auto" w:fill="E1DFDD"/>
    </w:rPr>
  </w:style>
  <w:style w:type="paragraph" w:styleId="Subtitle">
    <w:name w:val="Subtitle"/>
    <w:basedOn w:val="Normal"/>
    <w:next w:val="Normal"/>
    <w:link w:val="SubtitleChar"/>
    <w:uiPriority w:val="11"/>
    <w:qFormat/>
    <w:rsid w:val="00C2218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218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2181"/>
    <w:pPr>
      <w:spacing w:before="160"/>
      <w:jc w:val="center"/>
    </w:pPr>
    <w:rPr>
      <w:i/>
      <w:iCs/>
      <w:color w:val="404040" w:themeColor="text1" w:themeTint="BF"/>
    </w:rPr>
  </w:style>
  <w:style w:type="character" w:customStyle="1" w:styleId="QuoteChar">
    <w:name w:val="Quote Char"/>
    <w:basedOn w:val="DefaultParagraphFont"/>
    <w:link w:val="Quote"/>
    <w:uiPriority w:val="29"/>
    <w:rsid w:val="00C22181"/>
    <w:rPr>
      <w:rFonts w:ascii="Times New Roman" w:hAnsi="Times New Roman"/>
      <w:i/>
      <w:iCs/>
      <w:color w:val="404040" w:themeColor="text1" w:themeTint="BF"/>
      <w:sz w:val="24"/>
    </w:rPr>
  </w:style>
  <w:style w:type="character" w:styleId="IntenseEmphasis">
    <w:name w:val="Intense Emphasis"/>
    <w:basedOn w:val="DefaultParagraphFont"/>
    <w:uiPriority w:val="21"/>
    <w:qFormat/>
    <w:rsid w:val="00C22181"/>
    <w:rPr>
      <w:i/>
      <w:iCs/>
      <w:color w:val="0F4761" w:themeColor="accent1" w:themeShade="BF"/>
    </w:rPr>
  </w:style>
  <w:style w:type="paragraph" w:styleId="IntenseQuote">
    <w:name w:val="Intense Quote"/>
    <w:basedOn w:val="Normal"/>
    <w:next w:val="Normal"/>
    <w:link w:val="IntenseQuoteChar"/>
    <w:uiPriority w:val="30"/>
    <w:qFormat/>
    <w:rsid w:val="00C221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2181"/>
    <w:rPr>
      <w:rFonts w:ascii="Times New Roman" w:hAnsi="Times New Roman"/>
      <w:i/>
      <w:iCs/>
      <w:color w:val="0F4761" w:themeColor="accent1" w:themeShade="BF"/>
      <w:sz w:val="24"/>
    </w:rPr>
  </w:style>
  <w:style w:type="character" w:styleId="IntenseReference">
    <w:name w:val="Intense Reference"/>
    <w:basedOn w:val="DefaultParagraphFont"/>
    <w:uiPriority w:val="32"/>
    <w:qFormat/>
    <w:rsid w:val="00C22181"/>
    <w:rPr>
      <w:b/>
      <w:bCs/>
      <w:smallCaps/>
      <w:color w:val="0F4761" w:themeColor="accent1" w:themeShade="BF"/>
      <w:spacing w:val="5"/>
    </w:rPr>
  </w:style>
  <w:style w:type="paragraph" w:customStyle="1" w:styleId="pdq2pgselectionanchorcontainer">
    <w:name w:val="pdq2pg_selectionanchorcontainer"/>
    <w:basedOn w:val="Normal"/>
    <w:rsid w:val="00795767"/>
    <w:pPr>
      <w:spacing w:before="100" w:beforeAutospacing="1" w:after="100" w:afterAutospacing="1" w:line="240" w:lineRule="auto"/>
      <w:jc w:val="left"/>
    </w:pPr>
    <w:rPr>
      <w:rFonts w:eastAsia="Times New Roman" w:cs="Times New Roman"/>
      <w:color w:val="auto"/>
      <w:kern w:val="0"/>
      <w:szCs w:val="24"/>
      <w14:ligatures w14:val="none"/>
    </w:rPr>
  </w:style>
  <w:style w:type="paragraph" w:styleId="NormalWeb">
    <w:name w:val="Normal (Web)"/>
    <w:basedOn w:val="Normal"/>
    <w:uiPriority w:val="99"/>
    <w:semiHidden/>
    <w:unhideWhenUsed/>
    <w:rsid w:val="00795767"/>
    <w:pPr>
      <w:spacing w:before="100" w:beforeAutospacing="1" w:after="100" w:afterAutospacing="1" w:line="240" w:lineRule="auto"/>
      <w:jc w:val="left"/>
    </w:pPr>
    <w:rPr>
      <w:rFonts w:eastAsia="Times New Roman" w:cs="Times New Roman"/>
      <w:color w:val="auto"/>
      <w:kern w:val="0"/>
      <w:szCs w:val="24"/>
      <w14:ligatures w14:val="none"/>
    </w:rPr>
  </w:style>
  <w:style w:type="character" w:styleId="Strong">
    <w:name w:val="Strong"/>
    <w:basedOn w:val="DefaultParagraphFont"/>
    <w:uiPriority w:val="22"/>
    <w:qFormat/>
    <w:rsid w:val="00795767"/>
    <w:rPr>
      <w:b/>
      <w:bCs/>
    </w:rPr>
  </w:style>
  <w:style w:type="paragraph" w:styleId="BodyText">
    <w:name w:val="Body Text"/>
    <w:basedOn w:val="Normal"/>
    <w:link w:val="BodyTextChar"/>
    <w:unhideWhenUsed/>
    <w:qFormat/>
    <w:rsid w:val="00B16504"/>
    <w:pPr>
      <w:spacing w:before="180" w:after="180" w:line="240" w:lineRule="auto"/>
      <w:jc w:val="left"/>
    </w:pPr>
    <w:rPr>
      <w:rFonts w:asciiTheme="minorHAnsi" w:hAnsiTheme="minorHAnsi"/>
      <w:color w:val="auto"/>
      <w:kern w:val="0"/>
      <w:szCs w:val="24"/>
      <w14:ligatures w14:val="none"/>
    </w:rPr>
  </w:style>
  <w:style w:type="character" w:customStyle="1" w:styleId="BodyTextChar">
    <w:name w:val="Body Text Char"/>
    <w:basedOn w:val="DefaultParagraphFont"/>
    <w:link w:val="BodyText"/>
    <w:semiHidden/>
    <w:rsid w:val="00B16504"/>
    <w:rPr>
      <w:kern w:val="0"/>
      <w:sz w:val="24"/>
      <w:szCs w:val="24"/>
      <w:lang w:val="en-US"/>
      <w14:ligatures w14:val="none"/>
    </w:rPr>
  </w:style>
  <w:style w:type="paragraph" w:customStyle="1" w:styleId="FirstParagraph">
    <w:name w:val="First Paragraph"/>
    <w:basedOn w:val="BodyText"/>
    <w:next w:val="BodyText"/>
    <w:qFormat/>
    <w:rsid w:val="00B16504"/>
  </w:style>
  <w:style w:type="paragraph" w:customStyle="1" w:styleId="Compact">
    <w:name w:val="Compact"/>
    <w:basedOn w:val="BodyText"/>
    <w:qFormat/>
    <w:rsid w:val="00B16504"/>
    <w:pPr>
      <w:spacing w:before="36" w:after="36"/>
    </w:pPr>
  </w:style>
  <w:style w:type="table" w:customStyle="1" w:styleId="Table">
    <w:name w:val="Table"/>
    <w:semiHidden/>
    <w:qFormat/>
    <w:rsid w:val="00B16504"/>
    <w:pPr>
      <w:spacing w:after="200" w:line="240" w:lineRule="auto"/>
    </w:pPr>
    <w:rPr>
      <w:kern w:val="0"/>
      <w:sz w:val="24"/>
      <w:szCs w:val="24"/>
      <w14:ligatures w14:val="none"/>
    </w:rPr>
    <w:tblPr>
      <w:tblCellMar>
        <w:top w:w="0" w:type="dxa"/>
        <w:left w:w="108" w:type="dxa"/>
        <w:bottom w:w="0" w:type="dxa"/>
        <w:right w:w="108" w:type="dxa"/>
      </w:tblCellMar>
    </w:tblPr>
  </w:style>
  <w:style w:type="paragraph" w:styleId="Revision">
    <w:name w:val="Revision"/>
    <w:hidden/>
    <w:uiPriority w:val="99"/>
    <w:semiHidden/>
    <w:rsid w:val="003535D9"/>
    <w:pPr>
      <w:spacing w:after="0" w:line="240" w:lineRule="auto"/>
    </w:pPr>
    <w:rPr>
      <w:rFonts w:ascii="Times New Roman" w:hAnsi="Times New Roman"/>
      <w:color w:val="000000" w:themeColor="text1"/>
      <w:sz w:val="24"/>
    </w:rPr>
  </w:style>
  <w:style w:type="character" w:styleId="BookTitle">
    <w:name w:val="Book Title"/>
    <w:basedOn w:val="DefaultParagraphFont"/>
    <w:uiPriority w:val="33"/>
    <w:qFormat/>
    <w:rsid w:val="00377E32"/>
    <w:rPr>
      <w:b/>
      <w:bCs/>
      <w:i/>
      <w:iCs/>
      <w:spacing w:val="5"/>
    </w:rPr>
  </w:style>
  <w:style w:type="character" w:styleId="Emphasis">
    <w:name w:val="Emphasis"/>
    <w:basedOn w:val="DefaultParagraphFont"/>
    <w:uiPriority w:val="20"/>
    <w:qFormat/>
    <w:rsid w:val="00377E32"/>
    <w:rPr>
      <w:i/>
      <w:iCs/>
    </w:rPr>
  </w:style>
  <w:style w:type="character" w:styleId="SubtleEmphasis">
    <w:name w:val="Subtle Emphasis"/>
    <w:basedOn w:val="DefaultParagraphFont"/>
    <w:uiPriority w:val="19"/>
    <w:qFormat/>
    <w:rsid w:val="00377E32"/>
    <w:rPr>
      <w:i/>
      <w:iCs/>
      <w:color w:val="404040" w:themeColor="text1" w:themeTint="BF"/>
    </w:rPr>
  </w:style>
  <w:style w:type="character" w:styleId="SubtleReference">
    <w:name w:val="Subtle Reference"/>
    <w:basedOn w:val="DefaultParagraphFont"/>
    <w:uiPriority w:val="31"/>
    <w:qFormat/>
    <w:rsid w:val="00377E32"/>
    <w:rPr>
      <w:smallCaps/>
      <w:color w:val="5A5A5A" w:themeColor="text1" w:themeTint="A5"/>
    </w:rPr>
  </w:style>
  <w:style w:type="paragraph" w:styleId="TOCHeading">
    <w:name w:val="TOC Heading"/>
    <w:basedOn w:val="Heading1"/>
    <w:next w:val="Normal"/>
    <w:uiPriority w:val="39"/>
    <w:semiHidden/>
    <w:unhideWhenUsed/>
    <w:qFormat/>
    <w:rsid w:val="00377E32"/>
    <w:pPr>
      <w:spacing w:after="0" w:line="288" w:lineRule="auto"/>
      <w:outlineLvl w:val="9"/>
    </w:pPr>
    <w:rPr>
      <w:rFonts w:asciiTheme="majorHAnsi" w:hAnsiTheme="majorHAnsi"/>
      <w:b w:val="0"/>
      <w:color w:val="0F4761"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hammed.alkobaisi@ku.ac.a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4AC234-C256-4600-909C-DBBBFC8AB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6</Pages>
  <Words>1726</Words>
  <Characters>10480</Characters>
  <Application>Microsoft Office Word</Application>
  <DocSecurity>0</DocSecurity>
  <Lines>183</Lines>
  <Paragraphs>84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Kobaisi</dc:creator>
  <cp:keywords/>
  <dc:description/>
  <cp:lastModifiedBy>Mohammed Al Kobaisi</cp:lastModifiedBy>
  <cp:revision>12</cp:revision>
  <dcterms:created xsi:type="dcterms:W3CDTF">2026-08-08T20:56:00Z</dcterms:created>
  <dcterms:modified xsi:type="dcterms:W3CDTF">2026-08-14T16:32:00Z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09d57e7e-e842-4025-b6d6-d56aa6f96ccf</vt:lpwstr>
  </property>
  <property fmtid="{D5CDD505-2E9C-101B-9397-08002B2CF9AE}" pid="3" name="ZOTERO_PREF_1">
    <vt:lpwstr>&lt;data data-version="3" zotero-version="9.0.6"&gt;&lt;session id="xo63TjeN"/&gt;&lt;style id="http://www.zotero.org/styles/springer-basic-author-date" hasBibliography="1" bibliographyStyleHasBeenSet="1"/&gt;&lt;prefs&gt;&lt;pref name="fieldType" value="Field"/&gt;&lt;pref name="delayCi</vt:lpwstr>
  </property>
  <property fmtid="{D5CDD505-2E9C-101B-9397-08002B2CF9AE}" pid="4" name="ZOTERO_PREF_2">
    <vt:lpwstr>tationUpdates" value="true"/&gt;&lt;pref name="dontAskDelayCitationUpdates" value="true"/&gt;&lt;/prefs&gt;&lt;/data&gt;</vt:lpwstr>
  </property>
</Properties>
</file>