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rPr>
        <w:t>Additional file 1: Supplementary methods and results</w:t>
      </w:r>
    </w:p>
    <w:p>
      <w:pPr>
        <w:widowControl/>
        <w:spacing w:line="480" w:lineRule="auto" w:after="0"/>
      </w:pPr>
      <w:r>
        <w:rPr>
          <w:rFonts w:ascii="Times New Roman" w:hAnsi="Times New Roman"/>
          <w:i/>
        </w:rPr>
        <w:t>Predicting transitions between functional and financial vulnerability states and death in older Chinese adults: a longitudinal CHARLS study with temporal evaluation</w:t>
      </w:r>
    </w:p>
    <w:p>
      <w:pPr>
        <w:pStyle w:val="Heading1"/>
        <w:widowControl/>
      </w:pPr>
      <w:r>
        <w:rPr>
          <w:rFonts w:ascii="Times New Roman" w:hAnsi="Times New Roman"/>
        </w:rPr>
        <w:t>Supplementary note 1. Targeted novelty search</w:t>
      </w:r>
    </w:p>
    <w:p>
      <w:pPr>
        <w:widowControl/>
        <w:spacing w:line="480" w:lineRule="auto" w:after="0"/>
      </w:pPr>
      <w:r>
        <w:rPr>
          <w:rFonts w:ascii="Times New Roman" w:hAnsi="Times New Roman"/>
          <w:i w:val="0"/>
        </w:rPr>
        <w:t>Search date: 13 August 2026. Database: PubMed via NCBI E-utilities. The search was designed to test novelty and was not a systematic review. Title/abstract fields were used to reduce retrieval driven only by reference lists.</w:t>
      </w:r>
    </w:p>
    <w:tbl>
      <w:tblPr>
        <w:tblStyle w:val="TableGrid"/>
        <w:tblW w:type="auto" w:w="0"/>
        <w:jc w:val="center"/>
        <w:tblLayout w:type="fixed"/>
        <w:tblLook w:firstColumn="1" w:firstRow="1" w:lastColumn="0" w:lastRow="0" w:noHBand="0" w:noVBand="1" w:val="04A0"/>
      </w:tblPr>
      <w:tblGrid>
        <w:gridCol w:w="4680"/>
        <w:gridCol w:w="4680"/>
      </w:tblGrid>
      <w:tr>
        <w:trPr>
          <w:tblHeader/>
        </w:trPr>
        <w:tc>
          <w:tcPr>
            <w:tcW w:type="dxa" w:w="9216"/>
            <w:vAlign w:val="center"/>
          </w:tcPr>
          <w:p>
            <w:r>
              <w:rPr>
                <w:b/>
                <w:sz w:val="18"/>
              </w:rPr>
              <w:t>Title/abstract concept search</w:t>
            </w:r>
          </w:p>
        </w:tc>
        <w:tc>
          <w:tcPr>
            <w:tcW w:type="dxa" w:w="1008"/>
            <w:vAlign w:val="center"/>
          </w:tcPr>
          <w:p>
            <w:r>
              <w:rPr>
                <w:b/>
                <w:sz w:val="18"/>
              </w:rPr>
              <w:t>Records</w:t>
            </w:r>
          </w:p>
        </w:tc>
      </w:tr>
      <w:tr>
        <w:tc>
          <w:tcPr>
            <w:tcW w:type="dxa" w:w="9216"/>
            <w:vAlign w:val="center"/>
          </w:tcPr>
          <w:p>
            <w:pPr>
              <w:spacing w:line="240" w:lineRule="auto" w:after="0"/>
            </w:pPr>
            <w:r>
              <w:rPr>
                <w:rFonts w:ascii="Times New Roman" w:hAnsi="Times New Roman"/>
                <w:sz w:val="18"/>
              </w:rPr>
              <w:t>CHARLS AND (disability OR activities of daily living) AND catastrophic health expenditure</w:t>
            </w:r>
          </w:p>
        </w:tc>
        <w:tc>
          <w:tcPr>
            <w:tcW w:type="dxa" w:w="1008"/>
            <w:vAlign w:val="center"/>
          </w:tcPr>
          <w:p>
            <w:pPr>
              <w:spacing w:line="240" w:lineRule="auto" w:after="0"/>
            </w:pPr>
            <w:r>
              <w:rPr>
                <w:rFonts w:ascii="Times New Roman" w:hAnsi="Times New Roman"/>
                <w:sz w:val="18"/>
              </w:rPr>
              <w:t>3</w:t>
            </w:r>
          </w:p>
        </w:tc>
      </w:tr>
      <w:tr>
        <w:tc>
          <w:tcPr>
            <w:tcW w:type="dxa" w:w="9216"/>
            <w:vAlign w:val="center"/>
          </w:tcPr>
          <w:p>
            <w:pPr>
              <w:spacing w:line="240" w:lineRule="auto" w:after="0"/>
            </w:pPr>
            <w:r>
              <w:rPr>
                <w:rFonts w:ascii="Times New Roman" w:hAnsi="Times New Roman"/>
                <w:sz w:val="18"/>
              </w:rPr>
              <w:t>Same as above AND (predict* OR machine learning)</w:t>
            </w:r>
          </w:p>
        </w:tc>
        <w:tc>
          <w:tcPr>
            <w:tcW w:type="dxa" w:w="1008"/>
            <w:vAlign w:val="center"/>
          </w:tcPr>
          <w:p>
            <w:pPr>
              <w:spacing w:line="240" w:lineRule="auto" w:after="0"/>
            </w:pPr>
            <w:r>
              <w:rPr>
                <w:rFonts w:ascii="Times New Roman" w:hAnsi="Times New Roman"/>
                <w:sz w:val="18"/>
              </w:rPr>
              <w:t>0</w:t>
            </w:r>
          </w:p>
        </w:tc>
      </w:tr>
      <w:tr>
        <w:tc>
          <w:tcPr>
            <w:tcW w:type="dxa" w:w="9216"/>
            <w:vAlign w:val="center"/>
          </w:tcPr>
          <w:p>
            <w:pPr>
              <w:spacing w:line="240" w:lineRule="auto" w:after="0"/>
            </w:pPr>
            <w:r>
              <w:rPr>
                <w:rFonts w:ascii="Times New Roman" w:hAnsi="Times New Roman"/>
                <w:sz w:val="18"/>
              </w:rPr>
              <w:t>CHARLS AND catastrophic health expenditure</w:t>
            </w:r>
          </w:p>
        </w:tc>
        <w:tc>
          <w:tcPr>
            <w:tcW w:type="dxa" w:w="1008"/>
            <w:vAlign w:val="center"/>
          </w:tcPr>
          <w:p>
            <w:pPr>
              <w:spacing w:line="240" w:lineRule="auto" w:after="0"/>
            </w:pPr>
            <w:r>
              <w:rPr>
                <w:rFonts w:ascii="Times New Roman" w:hAnsi="Times New Roman"/>
                <w:sz w:val="18"/>
              </w:rPr>
              <w:t>54</w:t>
            </w:r>
          </w:p>
        </w:tc>
      </w:tr>
      <w:tr>
        <w:tc>
          <w:tcPr>
            <w:tcW w:type="dxa" w:w="9216"/>
            <w:vAlign w:val="center"/>
          </w:tcPr>
          <w:p>
            <w:pPr>
              <w:spacing w:line="240" w:lineRule="auto" w:after="0"/>
            </w:pPr>
            <w:r>
              <w:rPr>
                <w:rFonts w:ascii="Times New Roman" w:hAnsi="Times New Roman"/>
                <w:sz w:val="18"/>
              </w:rPr>
              <w:t>CHARLS AND (disability OR activities of daily living) AND (predict* OR machine learning)</w:t>
            </w:r>
          </w:p>
        </w:tc>
        <w:tc>
          <w:tcPr>
            <w:tcW w:type="dxa" w:w="1008"/>
            <w:vAlign w:val="center"/>
          </w:tcPr>
          <w:p>
            <w:pPr>
              <w:spacing w:line="240" w:lineRule="auto" w:after="0"/>
            </w:pPr>
            <w:r>
              <w:rPr>
                <w:rFonts w:ascii="Times New Roman" w:hAnsi="Times New Roman"/>
                <w:sz w:val="18"/>
              </w:rPr>
              <w:t>190</w:t>
            </w:r>
          </w:p>
        </w:tc>
      </w:tr>
      <w:tr>
        <w:tc>
          <w:tcPr>
            <w:tcW w:type="dxa" w:w="9216"/>
            <w:vAlign w:val="center"/>
          </w:tcPr>
          <w:p>
            <w:pPr>
              <w:spacing w:line="240" w:lineRule="auto" w:after="0"/>
            </w:pPr>
            <w:r>
              <w:rPr>
                <w:rFonts w:ascii="Times New Roman" w:hAnsi="Times New Roman"/>
                <w:sz w:val="18"/>
              </w:rPr>
              <w:t>(disability OR activities of daily living) AND catastrophic health expenditure AND (multistate OR multi-state OR transition*) AND (predict* OR machine learning)</w:t>
            </w:r>
          </w:p>
        </w:tc>
        <w:tc>
          <w:tcPr>
            <w:tcW w:type="dxa" w:w="1008"/>
            <w:vAlign w:val="center"/>
          </w:tcPr>
          <w:p>
            <w:pPr>
              <w:spacing w:line="240" w:lineRule="auto" w:after="0"/>
            </w:pPr>
            <w:r>
              <w:rPr>
                <w:rFonts w:ascii="Times New Roman" w:hAnsi="Times New Roman"/>
                <w:sz w:val="18"/>
              </w:rPr>
              <w:t>0</w:t>
            </w:r>
          </w:p>
        </w:tc>
      </w:tr>
    </w:tbl>
    <w:p>
      <w:pPr>
        <w:widowControl/>
        <w:spacing w:line="480" w:lineRule="auto" w:after="0"/>
      </w:pPr>
      <w:r>
        <w:rPr>
          <w:rFonts w:ascii="Times New Roman" w:hAnsi="Times New Roman"/>
          <w:i w:val="0"/>
        </w:rPr>
        <w:t>The three joint CHARLS records were Liao et al. (functional disability and poverty), Zhang et al. (provincial CHE patterns), and Long et al. (long-term care insurance and catastrophic health/long-term care spending). None developed a multistate transition prediction model. Searches are reproducible but counts can change as PubMed is updated.</w:t>
      </w:r>
    </w:p>
    <w:p>
      <w:pPr>
        <w:pStyle w:val="Heading1"/>
        <w:widowControl/>
      </w:pPr>
      <w:r>
        <w:rPr>
          <w:rFonts w:ascii="Times New Roman" w:hAnsi="Times New Roman"/>
        </w:rPr>
        <w:t>Supplementary Table S1. Landmark flow by transition</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1152"/>
            <w:vAlign w:val="center"/>
          </w:tcPr>
          <w:p>
            <w:r>
              <w:rPr>
                <w:b/>
                <w:sz w:val="18"/>
              </w:rPr>
              <w:t>Transition</w:t>
            </w:r>
          </w:p>
        </w:tc>
        <w:tc>
          <w:tcPr>
            <w:tcW w:type="dxa" w:w="1872"/>
            <w:vAlign w:val="center"/>
          </w:tcPr>
          <w:p>
            <w:r>
              <w:rPr>
                <w:b/>
                <w:sz w:val="18"/>
              </w:rPr>
              <w:t>Interview/age eligible</w:t>
            </w:r>
          </w:p>
        </w:tc>
        <w:tc>
          <w:tcPr>
            <w:tcW w:type="dxa" w:w="1440"/>
            <w:vAlign w:val="center"/>
          </w:tcPr>
          <w:p>
            <w:r>
              <w:rPr>
                <w:b/>
                <w:sz w:val="18"/>
              </w:rPr>
              <w:t>Valid origin</w:t>
            </w:r>
          </w:p>
        </w:tc>
        <w:tc>
          <w:tcPr>
            <w:tcW w:type="dxa" w:w="2016"/>
            <w:vAlign w:val="center"/>
          </w:tcPr>
          <w:p>
            <w:r>
              <w:rPr>
                <w:b/>
                <w:sz w:val="18"/>
              </w:rPr>
              <w:t>Observed destination/death</w:t>
            </w:r>
          </w:p>
        </w:tc>
        <w:tc>
          <w:tcPr>
            <w:tcW w:type="dxa" w:w="1872"/>
            <w:vAlign w:val="center"/>
          </w:tcPr>
          <w:p>
            <w:r>
              <w:rPr>
                <w:b/>
                <w:sz w:val="18"/>
              </w:rPr>
              <w:t>Destination unobserved</w:t>
            </w:r>
          </w:p>
        </w:tc>
        <w:tc>
          <w:tcPr>
            <w:tcW w:type="dxa" w:w="1008"/>
            <w:vAlign w:val="center"/>
          </w:tcPr>
          <w:p>
            <w:r>
              <w:rPr>
                <w:b/>
                <w:sz w:val="18"/>
              </w:rPr>
              <w:t>Deaths</w:t>
            </w:r>
          </w:p>
        </w:tc>
      </w:tr>
      <w:tr>
        <w:tc>
          <w:tcPr>
            <w:tcW w:type="dxa" w:w="1152"/>
            <w:vAlign w:val="center"/>
          </w:tcPr>
          <w:p>
            <w:pPr>
              <w:spacing w:line="240" w:lineRule="auto" w:after="0"/>
            </w:pPr>
            <w:r>
              <w:rPr>
                <w:rFonts w:ascii="Times New Roman" w:hAnsi="Times New Roman"/>
                <w:sz w:val="18"/>
              </w:rPr>
              <w:t>1-&gt;2</w:t>
            </w:r>
          </w:p>
        </w:tc>
        <w:tc>
          <w:tcPr>
            <w:tcW w:type="dxa" w:w="1872"/>
            <w:vAlign w:val="center"/>
          </w:tcPr>
          <w:p>
            <w:pPr>
              <w:spacing w:line="240" w:lineRule="auto" w:after="0"/>
            </w:pPr>
            <w:r>
              <w:rPr>
                <w:rFonts w:ascii="Times New Roman" w:hAnsi="Times New Roman"/>
                <w:sz w:val="18"/>
              </w:rPr>
              <w:t>7,290</w:t>
            </w:r>
          </w:p>
        </w:tc>
        <w:tc>
          <w:tcPr>
            <w:tcW w:type="dxa" w:w="1440"/>
            <w:vAlign w:val="center"/>
          </w:tcPr>
          <w:p>
            <w:pPr>
              <w:spacing w:line="240" w:lineRule="auto" w:after="0"/>
            </w:pPr>
            <w:r>
              <w:rPr>
                <w:rFonts w:ascii="Times New Roman" w:hAnsi="Times New Roman"/>
                <w:sz w:val="18"/>
              </w:rPr>
              <w:t>5,760</w:t>
            </w:r>
          </w:p>
        </w:tc>
        <w:tc>
          <w:tcPr>
            <w:tcW w:type="dxa" w:w="2016"/>
            <w:vAlign w:val="center"/>
          </w:tcPr>
          <w:p>
            <w:pPr>
              <w:spacing w:line="240" w:lineRule="auto" w:after="0"/>
            </w:pPr>
            <w:r>
              <w:rPr>
                <w:rFonts w:ascii="Times New Roman" w:hAnsi="Times New Roman"/>
                <w:sz w:val="18"/>
              </w:rPr>
              <w:t>3,696</w:t>
            </w:r>
          </w:p>
        </w:tc>
        <w:tc>
          <w:tcPr>
            <w:tcW w:type="dxa" w:w="1872"/>
            <w:vAlign w:val="center"/>
          </w:tcPr>
          <w:p>
            <w:pPr>
              <w:spacing w:line="240" w:lineRule="auto" w:after="0"/>
            </w:pPr>
            <w:r>
              <w:rPr>
                <w:rFonts w:ascii="Times New Roman" w:hAnsi="Times New Roman"/>
                <w:sz w:val="18"/>
              </w:rPr>
              <w:t>2,064</w:t>
            </w:r>
          </w:p>
        </w:tc>
        <w:tc>
          <w:tcPr>
            <w:tcW w:type="dxa" w:w="1008"/>
            <w:vAlign w:val="center"/>
          </w:tcPr>
          <w:p>
            <w:pPr>
              <w:spacing w:line="240" w:lineRule="auto" w:after="0"/>
            </w:pPr>
            <w:r>
              <w:rPr>
                <w:rFonts w:ascii="Times New Roman" w:hAnsi="Times New Roman"/>
                <w:sz w:val="18"/>
              </w:rPr>
              <w:t>266</w:t>
            </w:r>
          </w:p>
        </w:tc>
      </w:tr>
      <w:tr>
        <w:tc>
          <w:tcPr>
            <w:tcW w:type="dxa" w:w="1152"/>
            <w:vAlign w:val="center"/>
          </w:tcPr>
          <w:p>
            <w:pPr>
              <w:spacing w:line="240" w:lineRule="auto" w:after="0"/>
            </w:pPr>
            <w:r>
              <w:rPr>
                <w:rFonts w:ascii="Times New Roman" w:hAnsi="Times New Roman"/>
                <w:sz w:val="18"/>
              </w:rPr>
              <w:t>2-&gt;3</w:t>
            </w:r>
          </w:p>
        </w:tc>
        <w:tc>
          <w:tcPr>
            <w:tcW w:type="dxa" w:w="1872"/>
            <w:vAlign w:val="center"/>
          </w:tcPr>
          <w:p>
            <w:pPr>
              <w:spacing w:line="240" w:lineRule="auto" w:after="0"/>
            </w:pPr>
            <w:r>
              <w:rPr>
                <w:rFonts w:ascii="Times New Roman" w:hAnsi="Times New Roman"/>
                <w:sz w:val="18"/>
              </w:rPr>
              <w:t>8,524</w:t>
            </w:r>
          </w:p>
        </w:tc>
        <w:tc>
          <w:tcPr>
            <w:tcW w:type="dxa" w:w="1440"/>
            <w:vAlign w:val="center"/>
          </w:tcPr>
          <w:p>
            <w:pPr>
              <w:spacing w:line="240" w:lineRule="auto" w:after="0"/>
            </w:pPr>
            <w:r>
              <w:rPr>
                <w:rFonts w:ascii="Times New Roman" w:hAnsi="Times New Roman"/>
                <w:sz w:val="18"/>
              </w:rPr>
              <w:t>5,692</w:t>
            </w:r>
          </w:p>
        </w:tc>
        <w:tc>
          <w:tcPr>
            <w:tcW w:type="dxa" w:w="2016"/>
            <w:vAlign w:val="center"/>
          </w:tcPr>
          <w:p>
            <w:pPr>
              <w:spacing w:line="240" w:lineRule="auto" w:after="0"/>
            </w:pPr>
            <w:r>
              <w:rPr>
                <w:rFonts w:ascii="Times New Roman" w:hAnsi="Times New Roman"/>
                <w:sz w:val="18"/>
              </w:rPr>
              <w:t>3,995</w:t>
            </w:r>
          </w:p>
        </w:tc>
        <w:tc>
          <w:tcPr>
            <w:tcW w:type="dxa" w:w="1872"/>
            <w:vAlign w:val="center"/>
          </w:tcPr>
          <w:p>
            <w:pPr>
              <w:spacing w:line="240" w:lineRule="auto" w:after="0"/>
            </w:pPr>
            <w:r>
              <w:rPr>
                <w:rFonts w:ascii="Times New Roman" w:hAnsi="Times New Roman"/>
                <w:sz w:val="18"/>
              </w:rPr>
              <w:t>1,697</w:t>
            </w:r>
          </w:p>
        </w:tc>
        <w:tc>
          <w:tcPr>
            <w:tcW w:type="dxa" w:w="1008"/>
            <w:vAlign w:val="center"/>
          </w:tcPr>
          <w:p>
            <w:pPr>
              <w:spacing w:line="240" w:lineRule="auto" w:after="0"/>
            </w:pPr>
            <w:r>
              <w:rPr>
                <w:rFonts w:ascii="Times New Roman" w:hAnsi="Times New Roman"/>
                <w:sz w:val="18"/>
              </w:rPr>
              <w:t>233</w:t>
            </w:r>
          </w:p>
        </w:tc>
      </w:tr>
      <w:tr>
        <w:tc>
          <w:tcPr>
            <w:tcW w:type="dxa" w:w="1152"/>
            <w:vAlign w:val="center"/>
          </w:tcPr>
          <w:p>
            <w:pPr>
              <w:spacing w:line="240" w:lineRule="auto" w:after="0"/>
            </w:pPr>
            <w:r>
              <w:rPr>
                <w:rFonts w:ascii="Times New Roman" w:hAnsi="Times New Roman"/>
                <w:sz w:val="18"/>
              </w:rPr>
              <w:t>3-&gt;4</w:t>
            </w:r>
          </w:p>
        </w:tc>
        <w:tc>
          <w:tcPr>
            <w:tcW w:type="dxa" w:w="1872"/>
            <w:vAlign w:val="center"/>
          </w:tcPr>
          <w:p>
            <w:pPr>
              <w:spacing w:line="240" w:lineRule="auto" w:after="0"/>
            </w:pPr>
            <w:r>
              <w:rPr>
                <w:rFonts w:ascii="Times New Roman" w:hAnsi="Times New Roman"/>
                <w:sz w:val="18"/>
              </w:rPr>
              <w:t>9,845</w:t>
            </w:r>
          </w:p>
        </w:tc>
        <w:tc>
          <w:tcPr>
            <w:tcW w:type="dxa" w:w="1440"/>
            <w:vAlign w:val="center"/>
          </w:tcPr>
          <w:p>
            <w:pPr>
              <w:spacing w:line="240" w:lineRule="auto" w:after="0"/>
            </w:pPr>
            <w:r>
              <w:rPr>
                <w:rFonts w:ascii="Times New Roman" w:hAnsi="Times New Roman"/>
                <w:sz w:val="18"/>
              </w:rPr>
              <w:t>6,574</w:t>
            </w:r>
          </w:p>
        </w:tc>
        <w:tc>
          <w:tcPr>
            <w:tcW w:type="dxa" w:w="2016"/>
            <w:vAlign w:val="center"/>
          </w:tcPr>
          <w:p>
            <w:pPr>
              <w:spacing w:line="240" w:lineRule="auto" w:after="0"/>
            </w:pPr>
            <w:r>
              <w:rPr>
                <w:rFonts w:ascii="Times New Roman" w:hAnsi="Times New Roman"/>
                <w:sz w:val="18"/>
              </w:rPr>
              <w:t>5,175</w:t>
            </w:r>
          </w:p>
        </w:tc>
        <w:tc>
          <w:tcPr>
            <w:tcW w:type="dxa" w:w="1872"/>
            <w:vAlign w:val="center"/>
          </w:tcPr>
          <w:p>
            <w:pPr>
              <w:spacing w:line="240" w:lineRule="auto" w:after="0"/>
            </w:pPr>
            <w:r>
              <w:rPr>
                <w:rFonts w:ascii="Times New Roman" w:hAnsi="Times New Roman"/>
                <w:sz w:val="18"/>
              </w:rPr>
              <w:t>1,399</w:t>
            </w:r>
          </w:p>
        </w:tc>
        <w:tc>
          <w:tcPr>
            <w:tcW w:type="dxa" w:w="1008"/>
            <w:vAlign w:val="center"/>
          </w:tcPr>
          <w:p>
            <w:pPr>
              <w:spacing w:line="240" w:lineRule="auto" w:after="0"/>
            </w:pPr>
            <w:r>
              <w:rPr>
                <w:rFonts w:ascii="Times New Roman" w:hAnsi="Times New Roman"/>
                <w:sz w:val="18"/>
              </w:rPr>
              <w:t>389</w:t>
            </w:r>
          </w:p>
        </w:tc>
      </w:tr>
    </w:tbl>
    <w:p>
      <w:pPr>
        <w:pStyle w:val="Heading1"/>
        <w:widowControl/>
      </w:pPr>
      <w:r>
        <w:rPr>
          <w:rFonts w:ascii="Times New Roman" w:hAnsi="Times New Roman"/>
        </w:rPr>
        <w:t>Supplementary Table S2. Outcome and predictor definitions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trPr>
        <w:tc>
          <w:tcPr>
            <w:tcW w:type="dxa" w:w="1872"/>
            <w:vAlign w:val="center"/>
          </w:tcPr>
          <w:p>
            <w:r>
              <w:rPr>
                <w:b/>
                <w:sz w:val="18"/>
              </w:rPr>
              <w:t>Construct</w:t>
            </w:r>
          </w:p>
        </w:tc>
        <w:tc>
          <w:tcPr>
            <w:tcW w:type="dxa" w:w="6192"/>
            <w:vAlign w:val="center"/>
          </w:tcPr>
          <w:p>
            <w:r>
              <w:rPr>
                <w:b/>
                <w:sz w:val="18"/>
              </w:rPr>
              <w:t>Definition</w:t>
            </w:r>
          </w:p>
        </w:tc>
        <w:tc>
          <w:tcPr>
            <w:tcW w:type="dxa" w:w="2304"/>
            <w:vAlign w:val="center"/>
          </w:tcPr>
          <w:p>
            <w:r>
              <w:rPr>
                <w:b/>
                <w:sz w:val="18"/>
              </w:rPr>
              <w:t>Harmonized variables</w:t>
            </w:r>
          </w:p>
        </w:tc>
      </w:tr>
      <w:tr>
        <w:tc>
          <w:tcPr>
            <w:tcW w:type="dxa" w:w="1872"/>
            <w:vAlign w:val="center"/>
          </w:tcPr>
          <w:p>
            <w:pPr>
              <w:spacing w:line="240" w:lineRule="auto" w:after="0"/>
            </w:pPr>
            <w:r>
              <w:rPr>
                <w:rFonts w:ascii="Times New Roman" w:hAnsi="Times New Roman"/>
                <w:sz w:val="18"/>
              </w:rPr>
              <w:t>ADL difficulty</w:t>
            </w:r>
          </w:p>
        </w:tc>
        <w:tc>
          <w:tcPr>
            <w:tcW w:type="dxa" w:w="6192"/>
            <w:vAlign w:val="center"/>
          </w:tcPr>
          <w:p>
            <w:pPr>
              <w:spacing w:line="240" w:lineRule="auto" w:after="0"/>
            </w:pPr>
            <w:r>
              <w:rPr>
                <w:rFonts w:ascii="Times New Roman" w:hAnsi="Times New Roman"/>
                <w:sz w:val="18"/>
              </w:rPr>
              <w:t>Any difficulty in dressing, bathing, eating, transferring, toileting, or continence</w:t>
            </w:r>
          </w:p>
        </w:tc>
        <w:tc>
          <w:tcPr>
            <w:tcW w:type="dxa" w:w="2304"/>
            <w:vAlign w:val="center"/>
          </w:tcPr>
          <w:p>
            <w:pPr>
              <w:spacing w:line="240" w:lineRule="auto" w:after="0"/>
            </w:pPr>
            <w:r>
              <w:rPr>
                <w:rFonts w:ascii="Times New Roman" w:hAnsi="Times New Roman"/>
                <w:sz w:val="18"/>
              </w:rPr>
              <w:t>r#wave adlab_c</w:t>
            </w:r>
          </w:p>
        </w:tc>
      </w:tr>
      <w:tr>
        <w:tc>
          <w:tcPr>
            <w:tcW w:type="dxa" w:w="1872"/>
            <w:vAlign w:val="center"/>
          </w:tcPr>
          <w:p>
            <w:pPr>
              <w:spacing w:line="240" w:lineRule="auto" w:after="0"/>
            </w:pPr>
            <w:r>
              <w:rPr>
                <w:rFonts w:ascii="Times New Roman" w:hAnsi="Times New Roman"/>
                <w:sz w:val="18"/>
              </w:rPr>
              <w:t>Household OOP</w:t>
            </w:r>
          </w:p>
        </w:tc>
        <w:tc>
          <w:tcPr>
            <w:tcW w:type="dxa" w:w="6192"/>
            <w:vAlign w:val="center"/>
          </w:tcPr>
          <w:p>
            <w:pPr>
              <w:spacing w:line="240" w:lineRule="auto" w:after="0"/>
            </w:pPr>
            <w:r>
              <w:rPr>
                <w:rFonts w:ascii="Times New Roman" w:hAnsi="Times New Roman"/>
                <w:sz w:val="18"/>
              </w:rPr>
              <w:t>Respondent plus spouse inpatient OOP in past year plus 12 × outpatient OOP in past month</w:t>
            </w:r>
          </w:p>
        </w:tc>
        <w:tc>
          <w:tcPr>
            <w:tcW w:type="dxa" w:w="2304"/>
            <w:vAlign w:val="center"/>
          </w:tcPr>
          <w:p>
            <w:pPr>
              <w:spacing w:line="240" w:lineRule="auto" w:after="0"/>
            </w:pPr>
            <w:r>
              <w:rPr>
                <w:rFonts w:ascii="Times New Roman" w:hAnsi="Times New Roman"/>
                <w:sz w:val="18"/>
              </w:rPr>
              <w:t>r#/s# oophos1y, oopdoc1m</w:t>
            </w:r>
          </w:p>
        </w:tc>
      </w:tr>
      <w:tr>
        <w:tc>
          <w:tcPr>
            <w:tcW w:type="dxa" w:w="1872"/>
            <w:vAlign w:val="center"/>
          </w:tcPr>
          <w:p>
            <w:pPr>
              <w:spacing w:line="240" w:lineRule="auto" w:after="0"/>
            </w:pPr>
            <w:r>
              <w:rPr>
                <w:rFonts w:ascii="Times New Roman" w:hAnsi="Times New Roman"/>
                <w:sz w:val="18"/>
              </w:rPr>
              <w:t>Capacity to pay</w:t>
            </w:r>
          </w:p>
        </w:tc>
        <w:tc>
          <w:tcPr>
            <w:tcW w:type="dxa" w:w="6192"/>
            <w:vAlign w:val="center"/>
          </w:tcPr>
          <w:p>
            <w:pPr>
              <w:spacing w:line="240" w:lineRule="auto" w:after="0"/>
            </w:pPr>
            <w:r>
              <w:rPr>
                <w:rFonts w:ascii="Times New Roman" w:hAnsi="Times New Roman"/>
                <w:sz w:val="18"/>
              </w:rPr>
              <w:t>12 × monthly non-food consumption plus annual non-food consumption</w:t>
            </w:r>
          </w:p>
        </w:tc>
        <w:tc>
          <w:tcPr>
            <w:tcW w:type="dxa" w:w="2304"/>
            <w:vAlign w:val="center"/>
          </w:tcPr>
          <w:p>
            <w:pPr>
              <w:spacing w:line="240" w:lineRule="auto" w:after="0"/>
            </w:pPr>
            <w:r>
              <w:rPr>
                <w:rFonts w:ascii="Times New Roman" w:hAnsi="Times New Roman"/>
                <w:sz w:val="18"/>
              </w:rPr>
              <w:t>hh#cnf1m, hh#cnf1y</w:t>
            </w:r>
          </w:p>
        </w:tc>
      </w:tr>
      <w:tr>
        <w:tc>
          <w:tcPr>
            <w:tcW w:type="dxa" w:w="1872"/>
            <w:vAlign w:val="center"/>
          </w:tcPr>
          <w:p>
            <w:pPr>
              <w:spacing w:line="240" w:lineRule="auto" w:after="0"/>
            </w:pPr>
            <w:r>
              <w:rPr>
                <w:rFonts w:ascii="Times New Roman" w:hAnsi="Times New Roman"/>
                <w:sz w:val="18"/>
              </w:rPr>
              <w:t>CHE</w:t>
            </w:r>
          </w:p>
        </w:tc>
        <w:tc>
          <w:tcPr>
            <w:tcW w:type="dxa" w:w="6192"/>
            <w:vAlign w:val="center"/>
          </w:tcPr>
          <w:p>
            <w:pPr>
              <w:spacing w:line="240" w:lineRule="auto" w:after="0"/>
            </w:pPr>
            <w:r>
              <w:rPr>
                <w:rFonts w:ascii="Times New Roman" w:hAnsi="Times New Roman"/>
                <w:sz w:val="18"/>
              </w:rPr>
              <w:t>Household OOP ≥40% of capacity to pay</w:t>
            </w:r>
          </w:p>
        </w:tc>
        <w:tc>
          <w:tcPr>
            <w:tcW w:type="dxa" w:w="2304"/>
            <w:vAlign w:val="center"/>
          </w:tcPr>
          <w:p>
            <w:pPr>
              <w:spacing w:line="240" w:lineRule="auto" w:after="0"/>
            </w:pPr>
            <w:r>
              <w:rPr>
                <w:rFonts w:ascii="Times New Roman" w:hAnsi="Times New Roman"/>
                <w:sz w:val="18"/>
              </w:rPr>
              <w:t>Derived</w:t>
            </w:r>
          </w:p>
        </w:tc>
      </w:tr>
      <w:tr>
        <w:tc>
          <w:tcPr>
            <w:tcW w:type="dxa" w:w="1872"/>
            <w:vAlign w:val="center"/>
          </w:tcPr>
          <w:p>
            <w:pPr>
              <w:spacing w:line="240" w:lineRule="auto" w:after="0"/>
            </w:pPr>
            <w:r>
              <w:rPr>
                <w:rFonts w:ascii="Times New Roman" w:hAnsi="Times New Roman"/>
                <w:sz w:val="18"/>
              </w:rPr>
              <w:t>Death</w:t>
            </w:r>
          </w:p>
        </w:tc>
        <w:tc>
          <w:tcPr>
            <w:tcW w:type="dxa" w:w="6192"/>
            <w:vAlign w:val="center"/>
          </w:tcPr>
          <w:p>
            <w:pPr>
              <w:spacing w:line="240" w:lineRule="auto" w:after="0"/>
            </w:pPr>
            <w:r>
              <w:rPr>
                <w:rFonts w:ascii="Times New Roman" w:hAnsi="Times New Roman"/>
                <w:sz w:val="18"/>
              </w:rPr>
              <w:t>Destination-wave interview status recorded as died</w:t>
            </w:r>
          </w:p>
        </w:tc>
        <w:tc>
          <w:tcPr>
            <w:tcW w:type="dxa" w:w="2304"/>
            <w:vAlign w:val="center"/>
          </w:tcPr>
          <w:p>
            <w:pPr>
              <w:spacing w:line="240" w:lineRule="auto" w:after="0"/>
            </w:pPr>
            <w:r>
              <w:rPr>
                <w:rFonts w:ascii="Times New Roman" w:hAnsi="Times New Roman"/>
                <w:sz w:val="18"/>
              </w:rPr>
              <w:t>r#iwstat</w:t>
            </w:r>
          </w:p>
        </w:tc>
      </w:tr>
      <w:tr>
        <w:tc>
          <w:tcPr>
            <w:tcW w:type="dxa" w:w="1872"/>
            <w:vAlign w:val="center"/>
          </w:tcPr>
          <w:p>
            <w:pPr>
              <w:spacing w:line="240" w:lineRule="auto" w:after="0"/>
            </w:pPr>
            <w:r>
              <w:rPr>
                <w:rFonts w:ascii="Times New Roman" w:hAnsi="Times New Roman"/>
                <w:sz w:val="18"/>
              </w:rPr>
              <w:t>Cognition</w:t>
            </w:r>
          </w:p>
        </w:tc>
        <w:tc>
          <w:tcPr>
            <w:tcW w:type="dxa" w:w="6192"/>
            <w:vAlign w:val="center"/>
          </w:tcPr>
          <w:p>
            <w:pPr>
              <w:spacing w:line="240" w:lineRule="auto" w:after="0"/>
            </w:pPr>
            <w:r>
              <w:rPr>
                <w:rFonts w:ascii="Times New Roman" w:hAnsi="Times New Roman"/>
                <w:sz w:val="18"/>
              </w:rPr>
              <w:t>Sum of total recall, serial sevens, orientation, and figure drawing when ≥3 components observed</w:t>
            </w:r>
          </w:p>
        </w:tc>
        <w:tc>
          <w:tcPr>
            <w:tcW w:type="dxa" w:w="2304"/>
            <w:vAlign w:val="center"/>
          </w:tcPr>
          <w:p>
            <w:pPr>
              <w:spacing w:line="240" w:lineRule="auto" w:after="0"/>
            </w:pPr>
            <w:r>
              <w:rPr>
                <w:rFonts w:ascii="Times New Roman" w:hAnsi="Times New Roman"/>
                <w:sz w:val="18"/>
              </w:rPr>
              <w:t>r#tr20, ser7, orient, draw</w:t>
            </w:r>
          </w:p>
        </w:tc>
      </w:tr>
      <w:tr>
        <w:tc>
          <w:tcPr>
            <w:tcW w:type="dxa" w:w="1872"/>
            <w:vAlign w:val="center"/>
          </w:tcPr>
          <w:p>
            <w:pPr>
              <w:spacing w:line="240" w:lineRule="auto" w:after="0"/>
            </w:pPr>
            <w:r>
              <w:rPr>
                <w:rFonts w:ascii="Times New Roman" w:hAnsi="Times New Roman"/>
                <w:sz w:val="18"/>
              </w:rPr>
              <w:t>Chronic count</w:t>
            </w:r>
          </w:p>
        </w:tc>
        <w:tc>
          <w:tcPr>
            <w:tcW w:type="dxa" w:w="6192"/>
            <w:vAlign w:val="center"/>
          </w:tcPr>
          <w:p>
            <w:pPr>
              <w:spacing w:line="240" w:lineRule="auto" w:after="0"/>
            </w:pPr>
            <w:r>
              <w:rPr>
                <w:rFonts w:ascii="Times New Roman" w:hAnsi="Times New Roman"/>
                <w:sz w:val="18"/>
              </w:rPr>
              <w:t>Count of 12 self-reported physician-diagnosed conditions when ≥8 items observed</w:t>
            </w:r>
          </w:p>
        </w:tc>
        <w:tc>
          <w:tcPr>
            <w:tcW w:type="dxa" w:w="2304"/>
            <w:vAlign w:val="center"/>
          </w:tcPr>
          <w:p>
            <w:pPr>
              <w:spacing w:line="240" w:lineRule="auto" w:after="0"/>
            </w:pPr>
            <w:r>
              <w:rPr>
                <w:rFonts w:ascii="Times New Roman" w:hAnsi="Times New Roman"/>
                <w:sz w:val="18"/>
              </w:rPr>
              <w:t>r# disease indicators</w:t>
            </w:r>
          </w:p>
        </w:tc>
      </w:tr>
      <w:tr>
        <w:tc>
          <w:tcPr>
            <w:tcW w:type="dxa" w:w="1872"/>
            <w:vAlign w:val="center"/>
          </w:tcPr>
          <w:p>
            <w:pPr>
              <w:spacing w:line="240" w:lineRule="auto" w:after="0"/>
            </w:pPr>
            <w:r>
              <w:rPr>
                <w:rFonts w:ascii="Times New Roman" w:hAnsi="Times New Roman"/>
                <w:sz w:val="18"/>
              </w:rPr>
              <w:t>Depressive symptoms</w:t>
            </w:r>
          </w:p>
        </w:tc>
        <w:tc>
          <w:tcPr>
            <w:tcW w:type="dxa" w:w="6192"/>
            <w:vAlign w:val="center"/>
          </w:tcPr>
          <w:p>
            <w:pPr>
              <w:spacing w:line="240" w:lineRule="auto" w:after="0"/>
            </w:pPr>
            <w:r>
              <w:rPr>
                <w:rFonts w:ascii="Times New Roman" w:hAnsi="Times New Roman"/>
                <w:sz w:val="18"/>
              </w:rPr>
              <w:t>CESD-10 total, 0–30</w:t>
            </w:r>
          </w:p>
        </w:tc>
        <w:tc>
          <w:tcPr>
            <w:tcW w:type="dxa" w:w="2304"/>
            <w:vAlign w:val="center"/>
          </w:tcPr>
          <w:p>
            <w:pPr>
              <w:spacing w:line="240" w:lineRule="auto" w:after="0"/>
            </w:pPr>
            <w:r>
              <w:rPr>
                <w:rFonts w:ascii="Times New Roman" w:hAnsi="Times New Roman"/>
                <w:sz w:val="18"/>
              </w:rPr>
              <w:t>r#cesd10</w:t>
            </w:r>
          </w:p>
        </w:tc>
      </w:tr>
      <w:tr>
        <w:tc>
          <w:tcPr>
            <w:tcW w:type="dxa" w:w="1872"/>
            <w:vAlign w:val="center"/>
          </w:tcPr>
          <w:p>
            <w:pPr>
              <w:spacing w:line="240" w:lineRule="auto" w:after="0"/>
            </w:pPr>
            <w:r>
              <w:rPr>
                <w:rFonts w:ascii="Times New Roman" w:hAnsi="Times New Roman"/>
                <w:sz w:val="18"/>
              </w:rPr>
              <w:t>Origin state</w:t>
            </w:r>
          </w:p>
        </w:tc>
        <w:tc>
          <w:tcPr>
            <w:tcW w:type="dxa" w:w="6192"/>
            <w:vAlign w:val="center"/>
          </w:tcPr>
          <w:p>
            <w:pPr>
              <w:spacing w:line="240" w:lineRule="auto" w:after="0"/>
            </w:pPr>
            <w:r>
              <w:rPr>
                <w:rFonts w:ascii="Times New Roman" w:hAnsi="Times New Roman"/>
                <w:sz w:val="18"/>
              </w:rPr>
              <w:t>Four-category joint ADL/CHE state at the landmark</w:t>
            </w:r>
          </w:p>
        </w:tc>
        <w:tc>
          <w:tcPr>
            <w:tcW w:type="dxa" w:w="2304"/>
            <w:vAlign w:val="center"/>
          </w:tcPr>
          <w:p>
            <w:pPr>
              <w:spacing w:line="240" w:lineRule="auto" w:after="0"/>
            </w:pPr>
            <w:r>
              <w:rPr>
                <w:rFonts w:ascii="Times New Roman" w:hAnsi="Times New Roman"/>
                <w:sz w:val="18"/>
              </w:rPr>
              <w:t>Derived</w:t>
            </w:r>
          </w:p>
        </w:tc>
      </w:tr>
    </w:tbl>
    <w:p>
      <w:pPr>
        <w:pStyle w:val="Heading1"/>
        <w:widowControl/>
      </w:pPr>
      <w:r>
        <w:rPr>
          <w:rFonts w:ascii="Times New Roman" w:hAnsi="Times New Roman"/>
        </w:rPr>
        <w:t>Supplementary Table S3. Destination counts</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rPr>
          <w:tblHeader/>
        </w:trPr>
        <w:tc>
          <w:tcPr>
            <w:tcW w:type="dxa" w:w="1152"/>
            <w:vAlign w:val="center"/>
          </w:tcPr>
          <w:p>
            <w:r>
              <w:rPr>
                <w:b/>
                <w:sz w:val="18"/>
              </w:rPr>
              <w:t>Transition</w:t>
            </w:r>
          </w:p>
        </w:tc>
        <w:tc>
          <w:tcPr>
            <w:tcW w:type="dxa" w:w="1008"/>
            <w:vAlign w:val="center"/>
          </w:tcPr>
          <w:p>
            <w:r>
              <w:rPr>
                <w:b/>
                <w:sz w:val="18"/>
              </w:rPr>
              <w:t>N</w:t>
            </w:r>
          </w:p>
        </w:tc>
        <w:tc>
          <w:tcPr>
            <w:tcW w:type="dxa" w:w="1728"/>
            <w:vAlign w:val="center"/>
          </w:tcPr>
          <w:p>
            <w:r>
              <w:rPr>
                <w:b/>
                <w:sz w:val="18"/>
              </w:rPr>
              <w:t>No vulnerability</w:t>
            </w:r>
          </w:p>
        </w:tc>
        <w:tc>
          <w:tcPr>
            <w:tcW w:type="dxa" w:w="1296"/>
            <w:vAlign w:val="center"/>
          </w:tcPr>
          <w:p>
            <w:r>
              <w:rPr>
                <w:b/>
                <w:sz w:val="18"/>
              </w:rPr>
              <w:t>ADL only</w:t>
            </w:r>
          </w:p>
        </w:tc>
        <w:tc>
          <w:tcPr>
            <w:tcW w:type="dxa" w:w="1296"/>
            <w:vAlign w:val="center"/>
          </w:tcPr>
          <w:p>
            <w:r>
              <w:rPr>
                <w:b/>
                <w:sz w:val="18"/>
              </w:rPr>
              <w:t>CHE only</w:t>
            </w:r>
          </w:p>
        </w:tc>
        <w:tc>
          <w:tcPr>
            <w:tcW w:type="dxa" w:w="1008"/>
            <w:vAlign w:val="center"/>
          </w:tcPr>
          <w:p>
            <w:r>
              <w:rPr>
                <w:b/>
                <w:sz w:val="18"/>
              </w:rPr>
              <w:t>Dual</w:t>
            </w:r>
          </w:p>
        </w:tc>
        <w:tc>
          <w:tcPr>
            <w:tcW w:type="dxa" w:w="1008"/>
            <w:vAlign w:val="center"/>
          </w:tcPr>
          <w:p>
            <w:r>
              <w:rPr>
                <w:b/>
                <w:sz w:val="18"/>
              </w:rPr>
              <w:t>Death</w:t>
            </w:r>
          </w:p>
        </w:tc>
      </w:tr>
      <w:tr>
        <w:tc>
          <w:tcPr>
            <w:tcW w:type="dxa" w:w="1152"/>
            <w:vAlign w:val="center"/>
          </w:tcPr>
          <w:p>
            <w:pPr>
              <w:spacing w:line="240" w:lineRule="auto" w:after="0"/>
            </w:pPr>
            <w:r>
              <w:rPr>
                <w:rFonts w:ascii="Times New Roman" w:hAnsi="Times New Roman"/>
                <w:sz w:val="18"/>
              </w:rPr>
              <w:t>1-&gt;2</w:t>
            </w:r>
          </w:p>
        </w:tc>
        <w:tc>
          <w:tcPr>
            <w:tcW w:type="dxa" w:w="1008"/>
            <w:vAlign w:val="center"/>
          </w:tcPr>
          <w:p>
            <w:pPr>
              <w:spacing w:line="240" w:lineRule="auto" w:after="0"/>
            </w:pPr>
            <w:r>
              <w:rPr>
                <w:rFonts w:ascii="Times New Roman" w:hAnsi="Times New Roman"/>
                <w:sz w:val="18"/>
              </w:rPr>
              <w:t>3,696</w:t>
            </w:r>
          </w:p>
        </w:tc>
        <w:tc>
          <w:tcPr>
            <w:tcW w:type="dxa" w:w="1728"/>
            <w:vAlign w:val="center"/>
          </w:tcPr>
          <w:p>
            <w:pPr>
              <w:spacing w:line="240" w:lineRule="auto" w:after="0"/>
            </w:pPr>
            <w:r>
              <w:rPr>
                <w:rFonts w:ascii="Times New Roman" w:hAnsi="Times New Roman"/>
                <w:sz w:val="18"/>
              </w:rPr>
              <w:t>2,026</w:t>
            </w:r>
          </w:p>
        </w:tc>
        <w:tc>
          <w:tcPr>
            <w:tcW w:type="dxa" w:w="1296"/>
            <w:vAlign w:val="center"/>
          </w:tcPr>
          <w:p>
            <w:pPr>
              <w:spacing w:line="240" w:lineRule="auto" w:after="0"/>
            </w:pPr>
            <w:r>
              <w:rPr>
                <w:rFonts w:ascii="Times New Roman" w:hAnsi="Times New Roman"/>
                <w:sz w:val="18"/>
              </w:rPr>
              <w:t>602</w:t>
            </w:r>
          </w:p>
        </w:tc>
        <w:tc>
          <w:tcPr>
            <w:tcW w:type="dxa" w:w="1296"/>
            <w:vAlign w:val="center"/>
          </w:tcPr>
          <w:p>
            <w:pPr>
              <w:spacing w:line="240" w:lineRule="auto" w:after="0"/>
            </w:pPr>
            <w:r>
              <w:rPr>
                <w:rFonts w:ascii="Times New Roman" w:hAnsi="Times New Roman"/>
                <w:sz w:val="18"/>
              </w:rPr>
              <w:t>555</w:t>
            </w:r>
          </w:p>
        </w:tc>
        <w:tc>
          <w:tcPr>
            <w:tcW w:type="dxa" w:w="1008"/>
            <w:vAlign w:val="center"/>
          </w:tcPr>
          <w:p>
            <w:pPr>
              <w:spacing w:line="240" w:lineRule="auto" w:after="0"/>
            </w:pPr>
            <w:r>
              <w:rPr>
                <w:rFonts w:ascii="Times New Roman" w:hAnsi="Times New Roman"/>
                <w:sz w:val="18"/>
              </w:rPr>
              <w:t>247</w:t>
            </w:r>
          </w:p>
        </w:tc>
        <w:tc>
          <w:tcPr>
            <w:tcW w:type="dxa" w:w="1008"/>
            <w:vAlign w:val="center"/>
          </w:tcPr>
          <w:p>
            <w:pPr>
              <w:spacing w:line="240" w:lineRule="auto" w:after="0"/>
            </w:pPr>
            <w:r>
              <w:rPr>
                <w:rFonts w:ascii="Times New Roman" w:hAnsi="Times New Roman"/>
                <w:sz w:val="18"/>
              </w:rPr>
              <w:t>266</w:t>
            </w:r>
          </w:p>
        </w:tc>
      </w:tr>
      <w:tr>
        <w:tc>
          <w:tcPr>
            <w:tcW w:type="dxa" w:w="1152"/>
            <w:vAlign w:val="center"/>
          </w:tcPr>
          <w:p>
            <w:pPr>
              <w:spacing w:line="240" w:lineRule="auto" w:after="0"/>
            </w:pPr>
            <w:r>
              <w:rPr>
                <w:rFonts w:ascii="Times New Roman" w:hAnsi="Times New Roman"/>
                <w:sz w:val="18"/>
              </w:rPr>
              <w:t>2-&gt;3</w:t>
            </w:r>
          </w:p>
        </w:tc>
        <w:tc>
          <w:tcPr>
            <w:tcW w:type="dxa" w:w="1008"/>
            <w:vAlign w:val="center"/>
          </w:tcPr>
          <w:p>
            <w:pPr>
              <w:spacing w:line="240" w:lineRule="auto" w:after="0"/>
            </w:pPr>
            <w:r>
              <w:rPr>
                <w:rFonts w:ascii="Times New Roman" w:hAnsi="Times New Roman"/>
                <w:sz w:val="18"/>
              </w:rPr>
              <w:t>3,995</w:t>
            </w:r>
          </w:p>
        </w:tc>
        <w:tc>
          <w:tcPr>
            <w:tcW w:type="dxa" w:w="1728"/>
            <w:vAlign w:val="center"/>
          </w:tcPr>
          <w:p>
            <w:pPr>
              <w:spacing w:line="240" w:lineRule="auto" w:after="0"/>
            </w:pPr>
            <w:r>
              <w:rPr>
                <w:rFonts w:ascii="Times New Roman" w:hAnsi="Times New Roman"/>
                <w:sz w:val="18"/>
              </w:rPr>
              <w:t>2,129</w:t>
            </w:r>
          </w:p>
        </w:tc>
        <w:tc>
          <w:tcPr>
            <w:tcW w:type="dxa" w:w="1296"/>
            <w:vAlign w:val="center"/>
          </w:tcPr>
          <w:p>
            <w:pPr>
              <w:spacing w:line="240" w:lineRule="auto" w:after="0"/>
            </w:pPr>
            <w:r>
              <w:rPr>
                <w:rFonts w:ascii="Times New Roman" w:hAnsi="Times New Roman"/>
                <w:sz w:val="18"/>
              </w:rPr>
              <w:t>723</w:t>
            </w:r>
          </w:p>
        </w:tc>
        <w:tc>
          <w:tcPr>
            <w:tcW w:type="dxa" w:w="1296"/>
            <w:vAlign w:val="center"/>
          </w:tcPr>
          <w:p>
            <w:pPr>
              <w:spacing w:line="240" w:lineRule="auto" w:after="0"/>
            </w:pPr>
            <w:r>
              <w:rPr>
                <w:rFonts w:ascii="Times New Roman" w:hAnsi="Times New Roman"/>
                <w:sz w:val="18"/>
              </w:rPr>
              <w:t>620</w:t>
            </w:r>
          </w:p>
        </w:tc>
        <w:tc>
          <w:tcPr>
            <w:tcW w:type="dxa" w:w="1008"/>
            <w:vAlign w:val="center"/>
          </w:tcPr>
          <w:p>
            <w:pPr>
              <w:spacing w:line="240" w:lineRule="auto" w:after="0"/>
            </w:pPr>
            <w:r>
              <w:rPr>
                <w:rFonts w:ascii="Times New Roman" w:hAnsi="Times New Roman"/>
                <w:sz w:val="18"/>
              </w:rPr>
              <w:t>290</w:t>
            </w:r>
          </w:p>
        </w:tc>
        <w:tc>
          <w:tcPr>
            <w:tcW w:type="dxa" w:w="1008"/>
            <w:vAlign w:val="center"/>
          </w:tcPr>
          <w:p>
            <w:pPr>
              <w:spacing w:line="240" w:lineRule="auto" w:after="0"/>
            </w:pPr>
            <w:r>
              <w:rPr>
                <w:rFonts w:ascii="Times New Roman" w:hAnsi="Times New Roman"/>
                <w:sz w:val="18"/>
              </w:rPr>
              <w:t>233</w:t>
            </w:r>
          </w:p>
        </w:tc>
      </w:tr>
      <w:tr>
        <w:tc>
          <w:tcPr>
            <w:tcW w:type="dxa" w:w="1152"/>
            <w:vAlign w:val="center"/>
          </w:tcPr>
          <w:p>
            <w:pPr>
              <w:spacing w:line="240" w:lineRule="auto" w:after="0"/>
            </w:pPr>
            <w:r>
              <w:rPr>
                <w:rFonts w:ascii="Times New Roman" w:hAnsi="Times New Roman"/>
                <w:sz w:val="18"/>
              </w:rPr>
              <w:t>3-&gt;4</w:t>
            </w:r>
          </w:p>
        </w:tc>
        <w:tc>
          <w:tcPr>
            <w:tcW w:type="dxa" w:w="1008"/>
            <w:vAlign w:val="center"/>
          </w:tcPr>
          <w:p>
            <w:pPr>
              <w:spacing w:line="240" w:lineRule="auto" w:after="0"/>
            </w:pPr>
            <w:r>
              <w:rPr>
                <w:rFonts w:ascii="Times New Roman" w:hAnsi="Times New Roman"/>
                <w:sz w:val="18"/>
              </w:rPr>
              <w:t>5,175</w:t>
            </w:r>
          </w:p>
        </w:tc>
        <w:tc>
          <w:tcPr>
            <w:tcW w:type="dxa" w:w="1728"/>
            <w:vAlign w:val="center"/>
          </w:tcPr>
          <w:p>
            <w:pPr>
              <w:spacing w:line="240" w:lineRule="auto" w:after="0"/>
            </w:pPr>
            <w:r>
              <w:rPr>
                <w:rFonts w:ascii="Times New Roman" w:hAnsi="Times New Roman"/>
                <w:sz w:val="18"/>
              </w:rPr>
              <w:t>2,818</w:t>
            </w:r>
          </w:p>
        </w:tc>
        <w:tc>
          <w:tcPr>
            <w:tcW w:type="dxa" w:w="1296"/>
            <w:vAlign w:val="center"/>
          </w:tcPr>
          <w:p>
            <w:pPr>
              <w:spacing w:line="240" w:lineRule="auto" w:after="0"/>
            </w:pPr>
            <w:r>
              <w:rPr>
                <w:rFonts w:ascii="Times New Roman" w:hAnsi="Times New Roman"/>
                <w:sz w:val="18"/>
              </w:rPr>
              <w:t>887</w:t>
            </w:r>
          </w:p>
        </w:tc>
        <w:tc>
          <w:tcPr>
            <w:tcW w:type="dxa" w:w="1296"/>
            <w:vAlign w:val="center"/>
          </w:tcPr>
          <w:p>
            <w:pPr>
              <w:spacing w:line="240" w:lineRule="auto" w:after="0"/>
            </w:pPr>
            <w:r>
              <w:rPr>
                <w:rFonts w:ascii="Times New Roman" w:hAnsi="Times New Roman"/>
                <w:sz w:val="18"/>
              </w:rPr>
              <w:t>720</w:t>
            </w:r>
          </w:p>
        </w:tc>
        <w:tc>
          <w:tcPr>
            <w:tcW w:type="dxa" w:w="1008"/>
            <w:vAlign w:val="center"/>
          </w:tcPr>
          <w:p>
            <w:pPr>
              <w:spacing w:line="240" w:lineRule="auto" w:after="0"/>
            </w:pPr>
            <w:r>
              <w:rPr>
                <w:rFonts w:ascii="Times New Roman" w:hAnsi="Times New Roman"/>
                <w:sz w:val="18"/>
              </w:rPr>
              <w:t>361</w:t>
            </w:r>
          </w:p>
        </w:tc>
        <w:tc>
          <w:tcPr>
            <w:tcW w:type="dxa" w:w="1008"/>
            <w:vAlign w:val="center"/>
          </w:tcPr>
          <w:p>
            <w:pPr>
              <w:spacing w:line="240" w:lineRule="auto" w:after="0"/>
            </w:pPr>
            <w:r>
              <w:rPr>
                <w:rFonts w:ascii="Times New Roman" w:hAnsi="Times New Roman"/>
                <w:sz w:val="18"/>
              </w:rPr>
              <w:t>389</w:t>
            </w:r>
          </w:p>
        </w:tc>
      </w:tr>
    </w:tbl>
    <w:p>
      <w:pPr>
        <w:pStyle w:val="Heading1"/>
        <w:widowControl/>
      </w:pPr>
      <w:r>
        <w:rPr>
          <w:rFonts w:ascii="Times New Roman" w:hAnsi="Times New Roman"/>
        </w:rPr>
        <w:t>Supplementary Table S4. Predictor missingness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trPr>
        <w:tc>
          <w:tcPr>
            <w:tcW w:type="dxa" w:w="4608"/>
            <w:vAlign w:val="center"/>
          </w:tcPr>
          <w:p>
            <w:r>
              <w:rPr>
                <w:b/>
                <w:sz w:val="18"/>
              </w:rPr>
              <w:t>Predictor</w:t>
            </w:r>
          </w:p>
        </w:tc>
        <w:tc>
          <w:tcPr>
            <w:tcW w:type="dxa" w:w="1872"/>
            <w:vAlign w:val="center"/>
          </w:tcPr>
          <w:p>
            <w:r>
              <w:rPr>
                <w:b/>
                <w:sz w:val="18"/>
              </w:rPr>
              <w:t>Missing, n</w:t>
            </w:r>
          </w:p>
        </w:tc>
        <w:tc>
          <w:tcPr>
            <w:tcW w:type="dxa" w:w="1872"/>
            <w:vAlign w:val="center"/>
          </w:tcPr>
          <w:p>
            <w:r>
              <w:rPr>
                <w:b/>
                <w:sz w:val="18"/>
              </w:rPr>
              <w:t>Missing, %</w:t>
            </w:r>
          </w:p>
        </w:tc>
      </w:tr>
      <w:tr>
        <w:tc>
          <w:tcPr>
            <w:tcW w:type="dxa" w:w="4608"/>
            <w:vAlign w:val="center"/>
          </w:tcPr>
          <w:p>
            <w:pPr>
              <w:spacing w:line="240" w:lineRule="auto" w:after="0"/>
            </w:pPr>
            <w:r>
              <w:rPr>
                <w:rFonts w:ascii="Times New Roman" w:hAnsi="Times New Roman"/>
                <w:sz w:val="18"/>
              </w:rPr>
              <w:t>cognition</w:t>
            </w:r>
          </w:p>
        </w:tc>
        <w:tc>
          <w:tcPr>
            <w:tcW w:type="dxa" w:w="1872"/>
            <w:vAlign w:val="center"/>
          </w:tcPr>
          <w:p>
            <w:pPr>
              <w:spacing w:line="240" w:lineRule="auto" w:after="0"/>
            </w:pPr>
            <w:r>
              <w:rPr>
                <w:rFonts w:ascii="Times New Roman" w:hAnsi="Times New Roman"/>
                <w:sz w:val="18"/>
              </w:rPr>
              <w:t>1,353</w:t>
            </w:r>
          </w:p>
        </w:tc>
        <w:tc>
          <w:tcPr>
            <w:tcW w:type="dxa" w:w="1872"/>
            <w:vAlign w:val="center"/>
          </w:tcPr>
          <w:p>
            <w:pPr>
              <w:spacing w:line="240" w:lineRule="auto" w:after="0"/>
            </w:pPr>
            <w:r>
              <w:rPr>
                <w:rFonts w:ascii="Times New Roman" w:hAnsi="Times New Roman"/>
                <w:sz w:val="18"/>
              </w:rPr>
              <w:t>10.5</w:t>
            </w:r>
          </w:p>
        </w:tc>
      </w:tr>
      <w:tr>
        <w:tc>
          <w:tcPr>
            <w:tcW w:type="dxa" w:w="4608"/>
            <w:vAlign w:val="center"/>
          </w:tcPr>
          <w:p>
            <w:pPr>
              <w:spacing w:line="240" w:lineRule="auto" w:after="0"/>
            </w:pPr>
            <w:r>
              <w:rPr>
                <w:rFonts w:ascii="Times New Roman" w:hAnsi="Times New Roman"/>
                <w:sz w:val="18"/>
              </w:rPr>
              <w:t>smoking</w:t>
            </w:r>
          </w:p>
        </w:tc>
        <w:tc>
          <w:tcPr>
            <w:tcW w:type="dxa" w:w="1872"/>
            <w:vAlign w:val="center"/>
          </w:tcPr>
          <w:p>
            <w:pPr>
              <w:spacing w:line="240" w:lineRule="auto" w:after="0"/>
            </w:pPr>
            <w:r>
              <w:rPr>
                <w:rFonts w:ascii="Times New Roman" w:hAnsi="Times New Roman"/>
                <w:sz w:val="18"/>
              </w:rPr>
              <w:t>1,077</w:t>
            </w:r>
          </w:p>
        </w:tc>
        <w:tc>
          <w:tcPr>
            <w:tcW w:type="dxa" w:w="1872"/>
            <w:vAlign w:val="center"/>
          </w:tcPr>
          <w:p>
            <w:pPr>
              <w:spacing w:line="240" w:lineRule="auto" w:after="0"/>
            </w:pPr>
            <w:r>
              <w:rPr>
                <w:rFonts w:ascii="Times New Roman" w:hAnsi="Times New Roman"/>
                <w:sz w:val="18"/>
              </w:rPr>
              <w:t>8.4</w:t>
            </w:r>
          </w:p>
        </w:tc>
      </w:tr>
      <w:tr>
        <w:tc>
          <w:tcPr>
            <w:tcW w:type="dxa" w:w="4608"/>
            <w:vAlign w:val="center"/>
          </w:tcPr>
          <w:p>
            <w:pPr>
              <w:spacing w:line="240" w:lineRule="auto" w:after="0"/>
            </w:pPr>
            <w:r>
              <w:rPr>
                <w:rFonts w:ascii="Times New Roman" w:hAnsi="Times New Roman"/>
                <w:sz w:val="18"/>
              </w:rPr>
              <w:t>cesd10</w:t>
            </w:r>
          </w:p>
        </w:tc>
        <w:tc>
          <w:tcPr>
            <w:tcW w:type="dxa" w:w="1872"/>
            <w:vAlign w:val="center"/>
          </w:tcPr>
          <w:p>
            <w:pPr>
              <w:spacing w:line="240" w:lineRule="auto" w:after="0"/>
            </w:pPr>
            <w:r>
              <w:rPr>
                <w:rFonts w:ascii="Times New Roman" w:hAnsi="Times New Roman"/>
                <w:sz w:val="18"/>
              </w:rPr>
              <w:t>576</w:t>
            </w:r>
          </w:p>
        </w:tc>
        <w:tc>
          <w:tcPr>
            <w:tcW w:type="dxa" w:w="1872"/>
            <w:vAlign w:val="center"/>
          </w:tcPr>
          <w:p>
            <w:pPr>
              <w:spacing w:line="240" w:lineRule="auto" w:after="0"/>
            </w:pPr>
            <w:r>
              <w:rPr>
                <w:rFonts w:ascii="Times New Roman" w:hAnsi="Times New Roman"/>
                <w:sz w:val="18"/>
              </w:rPr>
              <w:t>4.5</w:t>
            </w:r>
          </w:p>
        </w:tc>
      </w:tr>
      <w:tr>
        <w:tc>
          <w:tcPr>
            <w:tcW w:type="dxa" w:w="4608"/>
            <w:vAlign w:val="center"/>
          </w:tcPr>
          <w:p>
            <w:pPr>
              <w:spacing w:line="240" w:lineRule="auto" w:after="0"/>
            </w:pPr>
            <w:r>
              <w:rPr>
                <w:rFonts w:ascii="Times New Roman" w:hAnsi="Times New Roman"/>
                <w:sz w:val="18"/>
              </w:rPr>
              <w:t>social_activity</w:t>
            </w:r>
          </w:p>
        </w:tc>
        <w:tc>
          <w:tcPr>
            <w:tcW w:type="dxa" w:w="1872"/>
            <w:vAlign w:val="center"/>
          </w:tcPr>
          <w:p>
            <w:pPr>
              <w:spacing w:line="240" w:lineRule="auto" w:after="0"/>
            </w:pPr>
            <w:r>
              <w:rPr>
                <w:rFonts w:ascii="Times New Roman" w:hAnsi="Times New Roman"/>
                <w:sz w:val="18"/>
              </w:rPr>
              <w:t>483</w:t>
            </w:r>
          </w:p>
        </w:tc>
        <w:tc>
          <w:tcPr>
            <w:tcW w:type="dxa" w:w="1872"/>
            <w:vAlign w:val="center"/>
          </w:tcPr>
          <w:p>
            <w:pPr>
              <w:spacing w:line="240" w:lineRule="auto" w:after="0"/>
            </w:pPr>
            <w:r>
              <w:rPr>
                <w:rFonts w:ascii="Times New Roman" w:hAnsi="Times New Roman"/>
                <w:sz w:val="18"/>
              </w:rPr>
              <w:t>3.8</w:t>
            </w:r>
          </w:p>
        </w:tc>
      </w:tr>
      <w:tr>
        <w:tc>
          <w:tcPr>
            <w:tcW w:type="dxa" w:w="4608"/>
            <w:vAlign w:val="center"/>
          </w:tcPr>
          <w:p>
            <w:pPr>
              <w:spacing w:line="240" w:lineRule="auto" w:after="0"/>
            </w:pPr>
            <w:r>
              <w:rPr>
                <w:rFonts w:ascii="Times New Roman" w:hAnsi="Times New Roman"/>
                <w:sz w:val="18"/>
              </w:rPr>
              <w:t>chronic_count</w:t>
            </w:r>
          </w:p>
        </w:tc>
        <w:tc>
          <w:tcPr>
            <w:tcW w:type="dxa" w:w="1872"/>
            <w:vAlign w:val="center"/>
          </w:tcPr>
          <w:p>
            <w:pPr>
              <w:spacing w:line="240" w:lineRule="auto" w:after="0"/>
            </w:pPr>
            <w:r>
              <w:rPr>
                <w:rFonts w:ascii="Times New Roman" w:hAnsi="Times New Roman"/>
                <w:sz w:val="18"/>
              </w:rPr>
              <w:t>392</w:t>
            </w:r>
          </w:p>
        </w:tc>
        <w:tc>
          <w:tcPr>
            <w:tcW w:type="dxa" w:w="1872"/>
            <w:vAlign w:val="center"/>
          </w:tcPr>
          <w:p>
            <w:pPr>
              <w:spacing w:line="240" w:lineRule="auto" w:after="0"/>
            </w:pPr>
            <w:r>
              <w:rPr>
                <w:rFonts w:ascii="Times New Roman" w:hAnsi="Times New Roman"/>
                <w:sz w:val="18"/>
              </w:rPr>
              <w:t>3.0</w:t>
            </w:r>
          </w:p>
        </w:tc>
      </w:tr>
      <w:tr>
        <w:tc>
          <w:tcPr>
            <w:tcW w:type="dxa" w:w="4608"/>
            <w:vAlign w:val="center"/>
          </w:tcPr>
          <w:p>
            <w:pPr>
              <w:spacing w:line="240" w:lineRule="auto" w:after="0"/>
            </w:pPr>
            <w:r>
              <w:rPr>
                <w:rFonts w:ascii="Times New Roman" w:hAnsi="Times New Roman"/>
                <w:sz w:val="18"/>
              </w:rPr>
              <w:t>public_insurance</w:t>
            </w:r>
          </w:p>
        </w:tc>
        <w:tc>
          <w:tcPr>
            <w:tcW w:type="dxa" w:w="1872"/>
            <w:vAlign w:val="center"/>
          </w:tcPr>
          <w:p>
            <w:pPr>
              <w:spacing w:line="240" w:lineRule="auto" w:after="0"/>
            </w:pPr>
            <w:r>
              <w:rPr>
                <w:rFonts w:ascii="Times New Roman" w:hAnsi="Times New Roman"/>
                <w:sz w:val="18"/>
              </w:rPr>
              <w:t>255</w:t>
            </w:r>
          </w:p>
        </w:tc>
        <w:tc>
          <w:tcPr>
            <w:tcW w:type="dxa" w:w="1872"/>
            <w:vAlign w:val="center"/>
          </w:tcPr>
          <w:p>
            <w:pPr>
              <w:spacing w:line="240" w:lineRule="auto" w:after="0"/>
            </w:pPr>
            <w:r>
              <w:rPr>
                <w:rFonts w:ascii="Times New Roman" w:hAnsi="Times New Roman"/>
                <w:sz w:val="18"/>
              </w:rPr>
              <w:t>2.0</w:t>
            </w:r>
          </w:p>
        </w:tc>
      </w:tr>
      <w:tr>
        <w:tc>
          <w:tcPr>
            <w:tcW w:type="dxa" w:w="4608"/>
            <w:vAlign w:val="center"/>
          </w:tcPr>
          <w:p>
            <w:pPr>
              <w:spacing w:line="240" w:lineRule="auto" w:after="0"/>
            </w:pPr>
            <w:r>
              <w:rPr>
                <w:rFonts w:ascii="Times New Roman" w:hAnsi="Times New Roman"/>
                <w:sz w:val="18"/>
              </w:rPr>
              <w:t>self_rated_health</w:t>
            </w:r>
          </w:p>
        </w:tc>
        <w:tc>
          <w:tcPr>
            <w:tcW w:type="dxa" w:w="1872"/>
            <w:vAlign w:val="center"/>
          </w:tcPr>
          <w:p>
            <w:pPr>
              <w:spacing w:line="240" w:lineRule="auto" w:after="0"/>
            </w:pPr>
            <w:r>
              <w:rPr>
                <w:rFonts w:ascii="Times New Roman" w:hAnsi="Times New Roman"/>
                <w:sz w:val="18"/>
              </w:rPr>
              <w:t>249</w:t>
            </w:r>
          </w:p>
        </w:tc>
        <w:tc>
          <w:tcPr>
            <w:tcW w:type="dxa" w:w="1872"/>
            <w:vAlign w:val="center"/>
          </w:tcPr>
          <w:p>
            <w:pPr>
              <w:spacing w:line="240" w:lineRule="auto" w:after="0"/>
            </w:pPr>
            <w:r>
              <w:rPr>
                <w:rFonts w:ascii="Times New Roman" w:hAnsi="Times New Roman"/>
                <w:sz w:val="18"/>
              </w:rPr>
              <w:t>1.9</w:t>
            </w:r>
          </w:p>
        </w:tc>
      </w:tr>
      <w:tr>
        <w:tc>
          <w:tcPr>
            <w:tcW w:type="dxa" w:w="4608"/>
            <w:vAlign w:val="center"/>
          </w:tcPr>
          <w:p>
            <w:pPr>
              <w:spacing w:line="240" w:lineRule="auto" w:after="0"/>
            </w:pPr>
            <w:r>
              <w:rPr>
                <w:rFonts w:ascii="Times New Roman" w:hAnsi="Times New Roman"/>
                <w:sz w:val="18"/>
              </w:rPr>
              <w:t>weekly_child_contact</w:t>
            </w:r>
          </w:p>
        </w:tc>
        <w:tc>
          <w:tcPr>
            <w:tcW w:type="dxa" w:w="1872"/>
            <w:vAlign w:val="center"/>
          </w:tcPr>
          <w:p>
            <w:pPr>
              <w:spacing w:line="240" w:lineRule="auto" w:after="0"/>
            </w:pPr>
            <w:r>
              <w:rPr>
                <w:rFonts w:ascii="Times New Roman" w:hAnsi="Times New Roman"/>
                <w:sz w:val="18"/>
              </w:rPr>
              <w:t>201</w:t>
            </w:r>
          </w:p>
        </w:tc>
        <w:tc>
          <w:tcPr>
            <w:tcW w:type="dxa" w:w="1872"/>
            <w:vAlign w:val="center"/>
          </w:tcPr>
          <w:p>
            <w:pPr>
              <w:spacing w:line="240" w:lineRule="auto" w:after="0"/>
            </w:pPr>
            <w:r>
              <w:rPr>
                <w:rFonts w:ascii="Times New Roman" w:hAnsi="Times New Roman"/>
                <w:sz w:val="18"/>
              </w:rPr>
              <w:t>1.6</w:t>
            </w:r>
          </w:p>
        </w:tc>
      </w:tr>
      <w:tr>
        <w:tc>
          <w:tcPr>
            <w:tcW w:type="dxa" w:w="4608"/>
            <w:vAlign w:val="center"/>
          </w:tcPr>
          <w:p>
            <w:pPr>
              <w:spacing w:line="240" w:lineRule="auto" w:after="0"/>
            </w:pPr>
            <w:r>
              <w:rPr>
                <w:rFonts w:ascii="Times New Roman" w:hAnsi="Times New Roman"/>
                <w:sz w:val="18"/>
              </w:rPr>
              <w:t>drinking</w:t>
            </w:r>
          </w:p>
        </w:tc>
        <w:tc>
          <w:tcPr>
            <w:tcW w:type="dxa" w:w="1872"/>
            <w:vAlign w:val="center"/>
          </w:tcPr>
          <w:p>
            <w:pPr>
              <w:spacing w:line="240" w:lineRule="auto" w:after="0"/>
            </w:pPr>
            <w:r>
              <w:rPr>
                <w:rFonts w:ascii="Times New Roman" w:hAnsi="Times New Roman"/>
                <w:sz w:val="18"/>
              </w:rPr>
              <w:t>7</w:t>
            </w:r>
          </w:p>
        </w:tc>
        <w:tc>
          <w:tcPr>
            <w:tcW w:type="dxa" w:w="1872"/>
            <w:vAlign w:val="center"/>
          </w:tcPr>
          <w:p>
            <w:pPr>
              <w:spacing w:line="240" w:lineRule="auto" w:after="0"/>
            </w:pPr>
            <w:r>
              <w:rPr>
                <w:rFonts w:ascii="Times New Roman" w:hAnsi="Times New Roman"/>
                <w:sz w:val="18"/>
              </w:rPr>
              <w:t>0.1</w:t>
            </w:r>
          </w:p>
        </w:tc>
      </w:tr>
      <w:tr>
        <w:tc>
          <w:tcPr>
            <w:tcW w:type="dxa" w:w="4608"/>
            <w:vAlign w:val="center"/>
          </w:tcPr>
          <w:p>
            <w:pPr>
              <w:spacing w:line="240" w:lineRule="auto" w:after="0"/>
            </w:pPr>
            <w:r>
              <w:rPr>
                <w:rFonts w:ascii="Times New Roman" w:hAnsi="Times New Roman"/>
                <w:sz w:val="18"/>
              </w:rPr>
              <w:t>outpatient_visit</w:t>
            </w:r>
          </w:p>
        </w:tc>
        <w:tc>
          <w:tcPr>
            <w:tcW w:type="dxa" w:w="1872"/>
            <w:vAlign w:val="center"/>
          </w:tcPr>
          <w:p>
            <w:pPr>
              <w:spacing w:line="240" w:lineRule="auto" w:after="0"/>
            </w:pPr>
            <w:r>
              <w:rPr>
                <w:rFonts w:ascii="Times New Roman" w:hAnsi="Times New Roman"/>
                <w:sz w:val="18"/>
              </w:rPr>
              <w:t>1</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education</w:t>
            </w:r>
          </w:p>
        </w:tc>
        <w:tc>
          <w:tcPr>
            <w:tcW w:type="dxa" w:w="1872"/>
            <w:vAlign w:val="center"/>
          </w:tcPr>
          <w:p>
            <w:pPr>
              <w:spacing w:line="240" w:lineRule="auto" w:after="0"/>
            </w:pPr>
            <w:r>
              <w:rPr>
                <w:rFonts w:ascii="Times New Roman" w:hAnsi="Times New Roman"/>
                <w:sz w:val="18"/>
              </w:rPr>
              <w:t>1</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adl_count</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age</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rural</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partnered</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living_children</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sex</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household_size</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log_ctp</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hospitalized</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r>
        <w:tc>
          <w:tcPr>
            <w:tcW w:type="dxa" w:w="4608"/>
            <w:vAlign w:val="center"/>
          </w:tcPr>
          <w:p>
            <w:pPr>
              <w:spacing w:line="240" w:lineRule="auto" w:after="0"/>
            </w:pPr>
            <w:r>
              <w:rPr>
                <w:rFonts w:ascii="Times New Roman" w:hAnsi="Times New Roman"/>
                <w:sz w:val="18"/>
              </w:rPr>
              <w:t>origin_state</w:t>
            </w:r>
          </w:p>
        </w:tc>
        <w:tc>
          <w:tcPr>
            <w:tcW w:type="dxa" w:w="1872"/>
            <w:vAlign w:val="center"/>
          </w:tcPr>
          <w:p>
            <w:pPr>
              <w:spacing w:line="240" w:lineRule="auto" w:after="0"/>
            </w:pPr>
            <w:r>
              <w:rPr>
                <w:rFonts w:ascii="Times New Roman" w:hAnsi="Times New Roman"/>
                <w:sz w:val="18"/>
              </w:rPr>
              <w:t>0</w:t>
            </w:r>
          </w:p>
        </w:tc>
        <w:tc>
          <w:tcPr>
            <w:tcW w:type="dxa" w:w="1872"/>
            <w:vAlign w:val="center"/>
          </w:tcPr>
          <w:p>
            <w:pPr>
              <w:spacing w:line="240" w:lineRule="auto" w:after="0"/>
            </w:pPr>
            <w:r>
              <w:rPr>
                <w:rFonts w:ascii="Times New Roman" w:hAnsi="Times New Roman"/>
                <w:sz w:val="18"/>
              </w:rPr>
              <w:t>0.0</w:t>
            </w:r>
          </w:p>
        </w:tc>
      </w:tr>
    </w:tbl>
    <w:p>
      <w:pPr>
        <w:pStyle w:val="Heading1"/>
        <w:widowControl/>
      </w:pPr>
      <w:r>
        <w:rPr>
          <w:rFonts w:ascii="Times New Roman" w:hAnsi="Times New Roman"/>
        </w:rPr>
        <w:t>Supplementary Table S5. Model settings</w:t>
      </w:r>
    </w:p>
    <w:tbl>
      <w:tblPr>
        <w:tblStyle w:val="TableGrid"/>
        <w:tblW w:type="auto" w:w="0"/>
        <w:jc w:val="center"/>
        <w:tblLayout w:type="fixed"/>
        <w:tblLook w:firstColumn="1" w:firstRow="1" w:lastColumn="0" w:lastRow="0" w:noHBand="0" w:noVBand="1" w:val="04A0"/>
      </w:tblPr>
      <w:tblGrid>
        <w:gridCol w:w="4680"/>
        <w:gridCol w:w="4680"/>
      </w:tblGrid>
      <w:tr>
        <w:trPr>
          <w:tblHeader/>
        </w:trPr>
        <w:tc>
          <w:tcPr>
            <w:tcW w:type="dxa" w:w="3168"/>
            <w:vAlign w:val="center"/>
          </w:tcPr>
          <w:p>
            <w:r>
              <w:rPr>
                <w:b/>
                <w:sz w:val="18"/>
              </w:rPr>
              <w:t>Model</w:t>
            </w:r>
          </w:p>
        </w:tc>
        <w:tc>
          <w:tcPr>
            <w:tcW w:type="dxa" w:w="7344"/>
            <w:vAlign w:val="center"/>
          </w:tcPr>
          <w:p>
            <w:r>
              <w:rPr>
                <w:b/>
                <w:sz w:val="18"/>
              </w:rPr>
              <w:t>Selected settings</w:t>
            </w:r>
          </w:p>
        </w:tc>
      </w:tr>
      <w:tr>
        <w:tc>
          <w:tcPr>
            <w:tcW w:type="dxa" w:w="3168"/>
            <w:vAlign w:val="center"/>
          </w:tcPr>
          <w:p>
            <w:pPr>
              <w:spacing w:line="240" w:lineRule="auto" w:after="0"/>
            </w:pPr>
            <w:r>
              <w:rPr>
                <w:rFonts w:ascii="Times New Roman" w:hAnsi="Times New Roman"/>
                <w:sz w:val="18"/>
              </w:rPr>
              <w:t>Penalized multinomial regression</w:t>
            </w:r>
          </w:p>
        </w:tc>
        <w:tc>
          <w:tcPr>
            <w:tcW w:type="dxa" w:w="7344"/>
            <w:vAlign w:val="center"/>
          </w:tcPr>
          <w:p>
            <w:pPr>
              <w:spacing w:line="240" w:lineRule="auto" w:after="0"/>
            </w:pPr>
            <w:r>
              <w:rPr>
                <w:rFonts w:ascii="Times New Roman" w:hAnsi="Times New Roman"/>
                <w:sz w:val="18"/>
              </w:rPr>
              <w:t>L2 penalty; C = 0.03; predictors standardized after median/mode imputation</w:t>
            </w:r>
          </w:p>
        </w:tc>
      </w:tr>
      <w:tr>
        <w:tc>
          <w:tcPr>
            <w:tcW w:type="dxa" w:w="3168"/>
            <w:vAlign w:val="center"/>
          </w:tcPr>
          <w:p>
            <w:pPr>
              <w:spacing w:line="240" w:lineRule="auto" w:after="0"/>
            </w:pPr>
            <w:r>
              <w:rPr>
                <w:rFonts w:ascii="Times New Roman" w:hAnsi="Times New Roman"/>
                <w:sz w:val="18"/>
              </w:rPr>
              <w:t>XGBoost</w:t>
            </w:r>
          </w:p>
        </w:tc>
        <w:tc>
          <w:tcPr>
            <w:tcW w:type="dxa" w:w="7344"/>
            <w:vAlign w:val="center"/>
          </w:tcPr>
          <w:p>
            <w:pPr>
              <w:spacing w:line="240" w:lineRule="auto" w:after="0"/>
            </w:pPr>
            <w:r>
              <w:rPr>
                <w:rFonts w:ascii="Times New Roman" w:hAnsi="Times New Roman"/>
                <w:sz w:val="18"/>
              </w:rPr>
              <w:t>450 trees; learning rate 0.03; maximum depth 2; minimum child weight 15; L2 regularization 5.0; subsample 0.85; feature subsample 0.85</w:t>
            </w:r>
          </w:p>
        </w:tc>
      </w:tr>
      <w:tr>
        <w:tc>
          <w:tcPr>
            <w:tcW w:type="dxa" w:w="3168"/>
            <w:vAlign w:val="center"/>
          </w:tcPr>
          <w:p>
            <w:pPr>
              <w:spacing w:line="240" w:lineRule="auto" w:after="0"/>
            </w:pPr>
            <w:r>
              <w:rPr>
                <w:rFonts w:ascii="Times New Roman" w:hAnsi="Times New Roman"/>
                <w:sz w:val="18"/>
              </w:rPr>
              <w:t>Tuning</w:t>
            </w:r>
          </w:p>
        </w:tc>
        <w:tc>
          <w:tcPr>
            <w:tcW w:type="dxa" w:w="7344"/>
            <w:vAlign w:val="center"/>
          </w:tcPr>
          <w:p>
            <w:pPr>
              <w:spacing w:line="240" w:lineRule="auto" w:after="0"/>
            </w:pPr>
            <w:r>
              <w:rPr>
                <w:rFonts w:ascii="Times New Roman" w:hAnsi="Times New Roman"/>
                <w:sz w:val="18"/>
              </w:rPr>
              <w:t>Five-fold GroupKFold by household; multinomial log loss</w:t>
            </w:r>
          </w:p>
        </w:tc>
      </w:tr>
      <w:tr>
        <w:tc>
          <w:tcPr>
            <w:tcW w:type="dxa" w:w="3168"/>
            <w:vAlign w:val="center"/>
          </w:tcPr>
          <w:p>
            <w:pPr>
              <w:spacing w:line="240" w:lineRule="auto" w:after="0"/>
            </w:pPr>
            <w:r>
              <w:rPr>
                <w:rFonts w:ascii="Times New Roman" w:hAnsi="Times New Roman"/>
                <w:sz w:val="18"/>
              </w:rPr>
              <w:t>Uncertainty</w:t>
            </w:r>
          </w:p>
        </w:tc>
        <w:tc>
          <w:tcPr>
            <w:tcW w:type="dxa" w:w="7344"/>
            <w:vAlign w:val="center"/>
          </w:tcPr>
          <w:p>
            <w:pPr>
              <w:spacing w:line="240" w:lineRule="auto" w:after="0"/>
            </w:pPr>
            <w:r>
              <w:rPr>
                <w:rFonts w:ascii="Times New Roman" w:hAnsi="Times New Roman"/>
                <w:sz w:val="18"/>
              </w:rPr>
              <w:t>300 household-cluster bootstrap samples in temporal evaluation</w:t>
            </w:r>
          </w:p>
        </w:tc>
      </w:tr>
    </w:tbl>
    <w:p>
      <w:pPr>
        <w:pStyle w:val="Heading1"/>
        <w:widowControl/>
      </w:pPr>
      <w:r>
        <w:rPr>
          <w:rFonts w:ascii="Times New Roman" w:hAnsi="Times New Roman"/>
        </w:rPr>
        <w:t>Supplementary Table S6. Temporal calibration</w:t>
      </w:r>
    </w:p>
    <w:tbl>
      <w:tblPr>
        <w:tblStyle w:val="TableGrid"/>
        <w:tblW w:type="auto" w:w="0"/>
        <w:jc w:val="center"/>
        <w:tblLayout w:type="autofit"/>
        <w:tblLook w:firstColumn="1" w:firstRow="1" w:lastColumn="0" w:lastRow="0" w:noHBand="0" w:noVBand="1" w:val="04A0"/>
      </w:tblPr>
      <w:tblGrid>
        <w:gridCol w:w="1560"/>
        <w:gridCol w:w="1560"/>
        <w:gridCol w:w="1560"/>
        <w:gridCol w:w="1560"/>
        <w:gridCol w:w="1560"/>
        <w:gridCol w:w="1560"/>
      </w:tblGrid>
      <w:tr>
        <w:trPr>
          <w:tblHeader/>
          <w:tblHeader w:val="true"/>
        </w:trPr>
        <w:tc>
          <w:tcPr>
            <w:tcW w:type="dxa" w:w="3312"/>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Observed</w:t>
            </w:r>
          </w:p>
        </w:tc>
        <w:tc>
          <w:tcPr>
            <w:tcW w:type="dxa" w:w="1584"/>
            <w:vAlign w:val="center"/>
            <w:tcMar>
              <w:top w:w="90" w:type="dxa"/>
              <w:start w:w="90" w:type="dxa"/>
              <w:bottom w:w="90" w:type="dxa"/>
              <w:end w:w="90" w:type="dxa"/>
            </w:tcMar>
          </w:tcPr>
          <w:p>
            <w:pPr>
              <w:spacing w:line="240" w:lineRule="auto" w:after="0"/>
            </w:pPr>
            <w:r>
              <w:rPr>
                <w:rFonts w:ascii="Times New Roman" w:hAnsi="Times New Roman"/>
                <w:b/>
                <w:sz w:val="17"/>
              </w:rPr>
              <w:t>Mean predicted</w:t>
            </w:r>
          </w:p>
        </w:tc>
        <w:tc>
          <w:tcPr>
            <w:tcW w:type="dxa" w:w="1008"/>
            <w:vAlign w:val="center"/>
            <w:tcMar>
              <w:top w:w="90" w:type="dxa"/>
              <w:start w:w="90" w:type="dxa"/>
              <w:bottom w:w="90" w:type="dxa"/>
              <w:end w:w="90" w:type="dxa"/>
            </w:tcMar>
          </w:tcPr>
          <w:p>
            <w:pPr>
              <w:spacing w:line="240" w:lineRule="auto" w:after="0"/>
            </w:pPr>
            <w:r>
              <w:rPr>
                <w:rFonts w:ascii="Times New Roman" w:hAnsi="Times New Roman"/>
                <w:b/>
                <w:sz w:val="17"/>
              </w:rPr>
              <w:t>O/E</w:t>
            </w:r>
          </w:p>
        </w:tc>
        <w:tc>
          <w:tcPr>
            <w:tcW w:type="dxa" w:w="1152"/>
            <w:vAlign w:val="center"/>
            <w:tcMar>
              <w:top w:w="90" w:type="dxa"/>
              <w:start w:w="90" w:type="dxa"/>
              <w:bottom w:w="90" w:type="dxa"/>
              <w:end w:w="90" w:type="dxa"/>
            </w:tcMar>
          </w:tcPr>
          <w:p>
            <w:pPr>
              <w:spacing w:line="240" w:lineRule="auto" w:after="0"/>
            </w:pPr>
            <w:r>
              <w:rPr>
                <w:rFonts w:ascii="Times New Roman" w:hAnsi="Times New Roman"/>
                <w:b/>
                <w:sz w:val="17"/>
              </w:rPr>
              <w:t>Intercept</w:t>
            </w:r>
          </w:p>
        </w:tc>
        <w:tc>
          <w:tcPr>
            <w:tcW w:type="dxa" w:w="1008"/>
            <w:vAlign w:val="center"/>
            <w:tcMar>
              <w:top w:w="90" w:type="dxa"/>
              <w:start w:w="90" w:type="dxa"/>
              <w:bottom w:w="90" w:type="dxa"/>
              <w:end w:w="90" w:type="dxa"/>
            </w:tcMar>
          </w:tcPr>
          <w:p>
            <w:pPr>
              <w:spacing w:line="240" w:lineRule="auto" w:after="0"/>
            </w:pPr>
            <w:r>
              <w:rPr>
                <w:rFonts w:ascii="Times New Roman" w:hAnsi="Times New Roman"/>
                <w:b/>
                <w:sz w:val="17"/>
              </w:rPr>
              <w:t>Slope</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No ADL difficulty and no CHE</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54.5%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51.7%</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1.052</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0.131</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1.035</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ADL difficulty only</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17.1%</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18.4%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0.930</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-0.098</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1.134</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CHE only</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13.9%</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15.8%</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0.881</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-0.153</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0.972</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7.0%</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8.0%</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0.867</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-0.166</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0.847</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7.5%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6.0%</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1.254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0.274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0.906</w:t>
            </w:r>
          </w:p>
        </w:tc>
      </w:tr>
    </w:tbl>
    <w:p>
      <w:pPr>
        <w:pStyle w:val="Heading1"/>
        <w:widowControl/>
      </w:pPr>
      <w:r>
        <w:rPr>
          <w:rFonts w:ascii="Times New Roman" w:hAnsi="Times New Roman"/>
        </w:rPr>
        <w:t>Supplementary Table S7. Previously unseen households</w:t>
      </w:r>
    </w:p>
    <w:tbl>
      <w:tblPr>
        <w:tblStyle w:val="TableGrid"/>
        <w:tblW w:type="auto" w:w="0"/>
        <w:jc w:val="center"/>
        <w:tblLayout w:type="autofit"/>
        <w:tblLook w:firstColumn="1" w:firstRow="1" w:lastColumn="0" w:lastRow="0" w:noHBand="0" w:noVBand="1" w:val="04A0"/>
      </w:tblPr>
      <w:tblGrid>
        <w:gridCol w:w="1872"/>
        <w:gridCol w:w="1872"/>
        <w:gridCol w:w="1872"/>
        <w:gridCol w:w="1872"/>
        <w:gridCol w:w="1872"/>
      </w:tblGrid>
      <w:tr>
        <w:trPr>
          <w:tblHeader/>
          <w:tblHeader w:val="true"/>
        </w:trPr>
        <w:tc>
          <w:tcPr>
            <w:tcW w:type="dxa" w:w="3888"/>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584"/>
            <w:vAlign w:val="center"/>
            <w:tcMar>
              <w:top w:w="90" w:type="dxa"/>
              <w:start w:w="90" w:type="dxa"/>
              <w:bottom w:w="90" w:type="dxa"/>
              <w:end w:w="90" w:type="dxa"/>
            </w:tcMar>
          </w:tcPr>
          <w:p>
            <w:pPr>
              <w:spacing w:line="240" w:lineRule="auto" w:after="0"/>
            </w:pPr>
            <w:r>
              <w:rPr>
                <w:rFonts w:ascii="Times New Roman" w:hAnsi="Times New Roman"/>
                <w:b/>
                <w:sz w:val="17"/>
              </w:rPr>
              <w:t>N/events</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AUROC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AUPRC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Brier</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1,882/1,882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0.723</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0.557</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No ADL difficulty and no CHE</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1,882/1,056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0.202</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ADL difficulty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1,882/318</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0.390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0.123</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CHE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1,882/239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0.610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0.169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0.110</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1,882/120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0.169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0.057</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1,882/149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0.771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0.301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0.065</w:t>
            </w:r>
          </w:p>
        </w:tc>
      </w:tr>
    </w:tbl>
    <w:p>
      <w:pPr>
        <w:pStyle w:val="Heading1"/>
        <w:widowControl/>
      </w:pPr>
      <w:r>
        <w:rPr>
          <w:rFonts w:ascii="Times New Roman" w:hAnsi="Times New Roman"/>
        </w:rPr>
        <w:t>Supplementary Table S8. Sampling-weighted temporal performance</w:t>
      </w:r>
    </w:p>
    <w:tbl>
      <w:tblPr>
        <w:tblStyle w:val="TableGrid"/>
        <w:tblW w:type="auto" w:w="0"/>
        <w:jc w:val="center"/>
        <w:tblLayout w:type="autofit"/>
        <w:tblLook w:firstColumn="1" w:firstRow="1" w:lastColumn="0" w:lastRow="0" w:noHBand="0" w:noVBand="1" w:val="04A0"/>
      </w:tblPr>
      <w:tblGrid>
        <w:gridCol w:w="1872"/>
        <w:gridCol w:w="1872"/>
        <w:gridCol w:w="1872"/>
        <w:gridCol w:w="1872"/>
        <w:gridCol w:w="1872"/>
      </w:tblGrid>
      <w:tr>
        <w:trPr>
          <w:tblHeader/>
          <w:tblHeader w:val="true"/>
        </w:trPr>
        <w:tc>
          <w:tcPr>
            <w:tcW w:type="dxa" w:w="3744"/>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prevalence</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AUROC</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AUPRC</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Brier</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100.0%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0.724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0.346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0.559</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No ADL difficulty and no CHE</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56.0%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0.202</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ADL difficulty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16.5%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0.369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0.121</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CHE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13.6%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0.621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0.192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0.116</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6.5%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0.149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0.059</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7.4%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0.265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0.062</w:t>
            </w:r>
          </w:p>
        </w:tc>
      </w:tr>
    </w:tbl>
    <w:p>
      <w:pPr>
        <w:pStyle w:val="Heading1"/>
        <w:widowControl/>
      </w:pPr>
      <w:r>
        <w:rPr>
          <w:rFonts w:ascii="Times New Roman" w:hAnsi="Times New Roman"/>
        </w:rPr>
        <w:t>Supplementary Table S9. Age 45+ temporal extension</w:t>
      </w:r>
    </w:p>
    <w:tbl>
      <w:tblPr>
        <w:tblStyle w:val="TableGrid"/>
        <w:tblW w:type="auto" w:w="0"/>
        <w:jc w:val="center"/>
        <w:tblLayout w:type="autofit"/>
        <w:tblLook w:firstColumn="1" w:firstRow="1" w:lastColumn="0" w:lastRow="0" w:noHBand="0" w:noVBand="1" w:val="04A0"/>
      </w:tblPr>
      <w:tblGrid>
        <w:gridCol w:w="1872"/>
        <w:gridCol w:w="1872"/>
        <w:gridCol w:w="1872"/>
        <w:gridCol w:w="1872"/>
        <w:gridCol w:w="1872"/>
      </w:tblGrid>
      <w:tr>
        <w:trPr>
          <w:tblHeader/>
          <w:tblHeader w:val="true"/>
        </w:trPr>
        <w:tc>
          <w:tcPr>
            <w:tcW w:type="dxa" w:w="4176"/>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Events</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AUROC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AUPRC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Brier</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10,817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0.482</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No ADL difficulty and no CHE</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6,967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0.817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0.188</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ADL difficulty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1,337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0.787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0.093</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CHE only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1,479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0.613</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0.186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0.117</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548</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0.783</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0.162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0.046</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486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0.802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0.234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0.039</w:t>
            </w:r>
          </w:p>
        </w:tc>
      </w:tr>
    </w:tbl>
    <w:p>
      <w:pPr>
        <w:widowControl/>
        <w:spacing w:line="480" w:lineRule="auto" w:after="0"/>
      </w:pPr>
      <w:r>
        <w:rPr>
          <w:rFonts w:ascii="Times New Roman" w:hAnsi="Times New Roman"/>
        </w:rPr>
        <w:t>The age 45+ analysis comprised 28,446 transitions from 15,148 participants; development n=17,629 and temporal evaluation n=10,817. The primary penalized-model setting was retained and the model was refitted in the age-extended development data.</w:t>
      </w:r>
    </w:p>
    <w:p>
      <w:pPr>
        <w:pStyle w:val="Heading1"/>
        <w:widowControl/>
      </w:pPr>
      <w:r>
        <w:rPr>
          <w:rFonts w:ascii="Times New Roman" w:hAnsi="Times New Roman"/>
        </w:rPr>
        <w:t>Supplementary Table S10. CHE-threshold event stability</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1584"/>
            <w:vAlign w:val="center"/>
          </w:tcPr>
          <w:p>
            <w:r>
              <w:rPr>
                <w:b/>
                <w:sz w:val="18"/>
              </w:rPr>
              <w:t>CHE threshold</w:t>
            </w:r>
          </w:p>
        </w:tc>
        <w:tc>
          <w:tcPr>
            <w:tcW w:type="dxa" w:w="1440"/>
            <w:vAlign w:val="center"/>
          </w:tcPr>
          <w:p>
            <w:r>
              <w:rPr>
                <w:b/>
                <w:sz w:val="18"/>
              </w:rPr>
              <w:t>Transition</w:t>
            </w:r>
          </w:p>
        </w:tc>
        <w:tc>
          <w:tcPr>
            <w:tcW w:type="dxa" w:w="1296"/>
            <w:vAlign w:val="center"/>
          </w:tcPr>
          <w:p>
            <w:r>
              <w:rPr>
                <w:b/>
                <w:sz w:val="18"/>
              </w:rPr>
              <w:t>N</w:t>
            </w:r>
          </w:p>
        </w:tc>
        <w:tc>
          <w:tcPr>
            <w:tcW w:type="dxa" w:w="1440"/>
            <w:vAlign w:val="center"/>
          </w:tcPr>
          <w:p>
            <w:r>
              <w:rPr>
                <w:b/>
                <w:sz w:val="18"/>
              </w:rPr>
              <w:t>CHE only</w:t>
            </w:r>
          </w:p>
        </w:tc>
        <w:tc>
          <w:tcPr>
            <w:tcW w:type="dxa" w:w="1296"/>
            <w:vAlign w:val="center"/>
          </w:tcPr>
          <w:p>
            <w:r>
              <w:rPr>
                <w:b/>
                <w:sz w:val="18"/>
              </w:rPr>
              <w:t>Dual</w:t>
            </w:r>
          </w:p>
        </w:tc>
        <w:tc>
          <w:tcPr>
            <w:tcW w:type="dxa" w:w="1296"/>
            <w:vAlign w:val="center"/>
          </w:tcPr>
          <w:p>
            <w:r>
              <w:rPr>
                <w:b/>
                <w:sz w:val="18"/>
              </w:rPr>
              <w:t>Death</w:t>
            </w:r>
          </w:p>
        </w:tc>
      </w:tr>
      <w:tr>
        <w:tc>
          <w:tcPr>
            <w:tcW w:type="dxa" w:w="1584"/>
            <w:vAlign w:val="center"/>
          </w:tcPr>
          <w:p>
            <w:pPr>
              <w:spacing w:line="240" w:lineRule="auto" w:after="0"/>
            </w:pPr>
            <w:r>
              <w:rPr>
                <w:rFonts w:ascii="Times New Roman" w:hAnsi="Times New Roman"/>
                <w:sz w:val="18"/>
              </w:rPr>
              <w:t>25%</w:t>
            </w:r>
          </w:p>
        </w:tc>
        <w:tc>
          <w:tcPr>
            <w:tcW w:type="dxa" w:w="1440"/>
            <w:vAlign w:val="center"/>
          </w:tcPr>
          <w:p>
            <w:pPr>
              <w:spacing w:line="240" w:lineRule="auto" w:after="0"/>
            </w:pPr>
            <w:r>
              <w:rPr>
                <w:rFonts w:ascii="Times New Roman" w:hAnsi="Times New Roman"/>
                <w:sz w:val="18"/>
              </w:rPr>
              <w:t>1-&gt;2</w:t>
            </w:r>
          </w:p>
        </w:tc>
        <w:tc>
          <w:tcPr>
            <w:tcW w:type="dxa" w:w="1296"/>
            <w:vAlign w:val="center"/>
          </w:tcPr>
          <w:p>
            <w:pPr>
              <w:spacing w:line="240" w:lineRule="auto" w:after="0"/>
            </w:pPr>
            <w:r>
              <w:rPr>
                <w:rFonts w:ascii="Times New Roman" w:hAnsi="Times New Roman"/>
                <w:sz w:val="18"/>
              </w:rPr>
              <w:t>3,696</w:t>
            </w:r>
          </w:p>
        </w:tc>
        <w:tc>
          <w:tcPr>
            <w:tcW w:type="dxa" w:w="1440"/>
            <w:vAlign w:val="center"/>
          </w:tcPr>
          <w:p>
            <w:pPr>
              <w:spacing w:line="240" w:lineRule="auto" w:after="0"/>
            </w:pPr>
            <w:r>
              <w:rPr>
                <w:rFonts w:ascii="Times New Roman" w:hAnsi="Times New Roman"/>
                <w:sz w:val="18"/>
              </w:rPr>
              <w:t>704</w:t>
            </w:r>
          </w:p>
        </w:tc>
        <w:tc>
          <w:tcPr>
            <w:tcW w:type="dxa" w:w="1296"/>
            <w:vAlign w:val="center"/>
          </w:tcPr>
          <w:p>
            <w:pPr>
              <w:spacing w:line="240" w:lineRule="auto" w:after="0"/>
            </w:pPr>
            <w:r>
              <w:rPr>
                <w:rFonts w:ascii="Times New Roman" w:hAnsi="Times New Roman"/>
                <w:sz w:val="18"/>
              </w:rPr>
              <w:t>307</w:t>
            </w:r>
          </w:p>
        </w:tc>
        <w:tc>
          <w:tcPr>
            <w:tcW w:type="dxa" w:w="1296"/>
            <w:vAlign w:val="center"/>
          </w:tcPr>
          <w:p>
            <w:pPr>
              <w:spacing w:line="240" w:lineRule="auto" w:after="0"/>
            </w:pPr>
            <w:r>
              <w:rPr>
                <w:rFonts w:ascii="Times New Roman" w:hAnsi="Times New Roman"/>
                <w:sz w:val="18"/>
              </w:rPr>
              <w:t>266</w:t>
            </w:r>
          </w:p>
        </w:tc>
      </w:tr>
      <w:tr>
        <w:tc>
          <w:tcPr>
            <w:tcW w:type="dxa" w:w="1584"/>
            <w:vAlign w:val="center"/>
          </w:tcPr>
          <w:p>
            <w:pPr>
              <w:spacing w:line="240" w:lineRule="auto" w:after="0"/>
            </w:pPr>
            <w:r>
              <w:rPr>
                <w:rFonts w:ascii="Times New Roman" w:hAnsi="Times New Roman"/>
                <w:sz w:val="18"/>
              </w:rPr>
              <w:t>25%</w:t>
            </w:r>
          </w:p>
        </w:tc>
        <w:tc>
          <w:tcPr>
            <w:tcW w:type="dxa" w:w="1440"/>
            <w:vAlign w:val="center"/>
          </w:tcPr>
          <w:p>
            <w:pPr>
              <w:spacing w:line="240" w:lineRule="auto" w:after="0"/>
            </w:pPr>
            <w:r>
              <w:rPr>
                <w:rFonts w:ascii="Times New Roman" w:hAnsi="Times New Roman"/>
                <w:sz w:val="18"/>
              </w:rPr>
              <w:t>2-&gt;3</w:t>
            </w:r>
          </w:p>
        </w:tc>
        <w:tc>
          <w:tcPr>
            <w:tcW w:type="dxa" w:w="1296"/>
            <w:vAlign w:val="center"/>
          </w:tcPr>
          <w:p>
            <w:pPr>
              <w:spacing w:line="240" w:lineRule="auto" w:after="0"/>
            </w:pPr>
            <w:r>
              <w:rPr>
                <w:rFonts w:ascii="Times New Roman" w:hAnsi="Times New Roman"/>
                <w:sz w:val="18"/>
              </w:rPr>
              <w:t>3,995</w:t>
            </w:r>
          </w:p>
        </w:tc>
        <w:tc>
          <w:tcPr>
            <w:tcW w:type="dxa" w:w="1440"/>
            <w:vAlign w:val="center"/>
          </w:tcPr>
          <w:p>
            <w:pPr>
              <w:spacing w:line="240" w:lineRule="auto" w:after="0"/>
            </w:pPr>
            <w:r>
              <w:rPr>
                <w:rFonts w:ascii="Times New Roman" w:hAnsi="Times New Roman"/>
                <w:sz w:val="18"/>
              </w:rPr>
              <w:t>760</w:t>
            </w:r>
          </w:p>
        </w:tc>
        <w:tc>
          <w:tcPr>
            <w:tcW w:type="dxa" w:w="1296"/>
            <w:vAlign w:val="center"/>
          </w:tcPr>
          <w:p>
            <w:pPr>
              <w:spacing w:line="240" w:lineRule="auto" w:after="0"/>
            </w:pPr>
            <w:r>
              <w:rPr>
                <w:rFonts w:ascii="Times New Roman" w:hAnsi="Times New Roman"/>
                <w:sz w:val="18"/>
              </w:rPr>
              <w:t>362</w:t>
            </w:r>
          </w:p>
        </w:tc>
        <w:tc>
          <w:tcPr>
            <w:tcW w:type="dxa" w:w="1296"/>
            <w:vAlign w:val="center"/>
          </w:tcPr>
          <w:p>
            <w:pPr>
              <w:spacing w:line="240" w:lineRule="auto" w:after="0"/>
            </w:pPr>
            <w:r>
              <w:rPr>
                <w:rFonts w:ascii="Times New Roman" w:hAnsi="Times New Roman"/>
                <w:sz w:val="18"/>
              </w:rPr>
              <w:t>233</w:t>
            </w:r>
          </w:p>
        </w:tc>
      </w:tr>
      <w:tr>
        <w:tc>
          <w:tcPr>
            <w:tcW w:type="dxa" w:w="1584"/>
            <w:vAlign w:val="center"/>
          </w:tcPr>
          <w:p>
            <w:pPr>
              <w:spacing w:line="240" w:lineRule="auto" w:after="0"/>
            </w:pPr>
            <w:r>
              <w:rPr>
                <w:rFonts w:ascii="Times New Roman" w:hAnsi="Times New Roman"/>
                <w:sz w:val="18"/>
              </w:rPr>
              <w:t>25%</w:t>
            </w:r>
          </w:p>
        </w:tc>
        <w:tc>
          <w:tcPr>
            <w:tcW w:type="dxa" w:w="1440"/>
            <w:vAlign w:val="center"/>
          </w:tcPr>
          <w:p>
            <w:pPr>
              <w:spacing w:line="240" w:lineRule="auto" w:after="0"/>
            </w:pPr>
            <w:r>
              <w:rPr>
                <w:rFonts w:ascii="Times New Roman" w:hAnsi="Times New Roman"/>
                <w:sz w:val="18"/>
              </w:rPr>
              <w:t>3-&gt;4</w:t>
            </w:r>
          </w:p>
        </w:tc>
        <w:tc>
          <w:tcPr>
            <w:tcW w:type="dxa" w:w="1296"/>
            <w:vAlign w:val="center"/>
          </w:tcPr>
          <w:p>
            <w:pPr>
              <w:spacing w:line="240" w:lineRule="auto" w:after="0"/>
            </w:pPr>
            <w:r>
              <w:rPr>
                <w:rFonts w:ascii="Times New Roman" w:hAnsi="Times New Roman"/>
                <w:sz w:val="18"/>
              </w:rPr>
              <w:t>5,175</w:t>
            </w:r>
          </w:p>
        </w:tc>
        <w:tc>
          <w:tcPr>
            <w:tcW w:type="dxa" w:w="1440"/>
            <w:vAlign w:val="center"/>
          </w:tcPr>
          <w:p>
            <w:pPr>
              <w:spacing w:line="240" w:lineRule="auto" w:after="0"/>
            </w:pPr>
            <w:r>
              <w:rPr>
                <w:rFonts w:ascii="Times New Roman" w:hAnsi="Times New Roman"/>
                <w:sz w:val="18"/>
              </w:rPr>
              <w:t>915</w:t>
            </w:r>
          </w:p>
        </w:tc>
        <w:tc>
          <w:tcPr>
            <w:tcW w:type="dxa" w:w="1296"/>
            <w:vAlign w:val="center"/>
          </w:tcPr>
          <w:p>
            <w:pPr>
              <w:spacing w:line="240" w:lineRule="auto" w:after="0"/>
            </w:pPr>
            <w:r>
              <w:rPr>
                <w:rFonts w:ascii="Times New Roman" w:hAnsi="Times New Roman"/>
                <w:sz w:val="18"/>
              </w:rPr>
              <w:t>448</w:t>
            </w:r>
          </w:p>
        </w:tc>
        <w:tc>
          <w:tcPr>
            <w:tcW w:type="dxa" w:w="1296"/>
            <w:vAlign w:val="center"/>
          </w:tcPr>
          <w:p>
            <w:pPr>
              <w:spacing w:line="240" w:lineRule="auto" w:after="0"/>
            </w:pPr>
            <w:r>
              <w:rPr>
                <w:rFonts w:ascii="Times New Roman" w:hAnsi="Times New Roman"/>
                <w:sz w:val="18"/>
              </w:rPr>
              <w:t>389</w:t>
            </w:r>
          </w:p>
        </w:tc>
      </w:tr>
      <w:tr>
        <w:tc>
          <w:tcPr>
            <w:tcW w:type="dxa" w:w="1584"/>
            <w:vAlign w:val="center"/>
          </w:tcPr>
          <w:p>
            <w:pPr>
              <w:spacing w:line="240" w:lineRule="auto" w:after="0"/>
            </w:pPr>
            <w:r>
              <w:rPr>
                <w:rFonts w:ascii="Times New Roman" w:hAnsi="Times New Roman"/>
                <w:sz w:val="18"/>
              </w:rPr>
              <w:t>30%</w:t>
            </w:r>
          </w:p>
        </w:tc>
        <w:tc>
          <w:tcPr>
            <w:tcW w:type="dxa" w:w="1440"/>
            <w:vAlign w:val="center"/>
          </w:tcPr>
          <w:p>
            <w:pPr>
              <w:spacing w:line="240" w:lineRule="auto" w:after="0"/>
            </w:pPr>
            <w:r>
              <w:rPr>
                <w:rFonts w:ascii="Times New Roman" w:hAnsi="Times New Roman"/>
                <w:sz w:val="18"/>
              </w:rPr>
              <w:t>1-&gt;2</w:t>
            </w:r>
          </w:p>
        </w:tc>
        <w:tc>
          <w:tcPr>
            <w:tcW w:type="dxa" w:w="1296"/>
            <w:vAlign w:val="center"/>
          </w:tcPr>
          <w:p>
            <w:pPr>
              <w:spacing w:line="240" w:lineRule="auto" w:after="0"/>
            </w:pPr>
            <w:r>
              <w:rPr>
                <w:rFonts w:ascii="Times New Roman" w:hAnsi="Times New Roman"/>
                <w:sz w:val="18"/>
              </w:rPr>
              <w:t>3,696</w:t>
            </w:r>
          </w:p>
        </w:tc>
        <w:tc>
          <w:tcPr>
            <w:tcW w:type="dxa" w:w="1440"/>
            <w:vAlign w:val="center"/>
          </w:tcPr>
          <w:p>
            <w:pPr>
              <w:spacing w:line="240" w:lineRule="auto" w:after="0"/>
            </w:pPr>
            <w:r>
              <w:rPr>
                <w:rFonts w:ascii="Times New Roman" w:hAnsi="Times New Roman"/>
                <w:sz w:val="18"/>
              </w:rPr>
              <w:t>648</w:t>
            </w:r>
          </w:p>
        </w:tc>
        <w:tc>
          <w:tcPr>
            <w:tcW w:type="dxa" w:w="1296"/>
            <w:vAlign w:val="center"/>
          </w:tcPr>
          <w:p>
            <w:pPr>
              <w:spacing w:line="240" w:lineRule="auto" w:after="0"/>
            </w:pPr>
            <w:r>
              <w:rPr>
                <w:rFonts w:ascii="Times New Roman" w:hAnsi="Times New Roman"/>
                <w:sz w:val="18"/>
              </w:rPr>
              <w:t>290</w:t>
            </w:r>
          </w:p>
        </w:tc>
        <w:tc>
          <w:tcPr>
            <w:tcW w:type="dxa" w:w="1296"/>
            <w:vAlign w:val="center"/>
          </w:tcPr>
          <w:p>
            <w:pPr>
              <w:spacing w:line="240" w:lineRule="auto" w:after="0"/>
            </w:pPr>
            <w:r>
              <w:rPr>
                <w:rFonts w:ascii="Times New Roman" w:hAnsi="Times New Roman"/>
                <w:sz w:val="18"/>
              </w:rPr>
              <w:t>266</w:t>
            </w:r>
          </w:p>
        </w:tc>
      </w:tr>
      <w:tr>
        <w:tc>
          <w:tcPr>
            <w:tcW w:type="dxa" w:w="1584"/>
            <w:vAlign w:val="center"/>
          </w:tcPr>
          <w:p>
            <w:pPr>
              <w:spacing w:line="240" w:lineRule="auto" w:after="0"/>
            </w:pPr>
            <w:r>
              <w:rPr>
                <w:rFonts w:ascii="Times New Roman" w:hAnsi="Times New Roman"/>
                <w:sz w:val="18"/>
              </w:rPr>
              <w:t>30%</w:t>
            </w:r>
          </w:p>
        </w:tc>
        <w:tc>
          <w:tcPr>
            <w:tcW w:type="dxa" w:w="1440"/>
            <w:vAlign w:val="center"/>
          </w:tcPr>
          <w:p>
            <w:pPr>
              <w:spacing w:line="240" w:lineRule="auto" w:after="0"/>
            </w:pPr>
            <w:r>
              <w:rPr>
                <w:rFonts w:ascii="Times New Roman" w:hAnsi="Times New Roman"/>
                <w:sz w:val="18"/>
              </w:rPr>
              <w:t>2-&gt;3</w:t>
            </w:r>
          </w:p>
        </w:tc>
        <w:tc>
          <w:tcPr>
            <w:tcW w:type="dxa" w:w="1296"/>
            <w:vAlign w:val="center"/>
          </w:tcPr>
          <w:p>
            <w:pPr>
              <w:spacing w:line="240" w:lineRule="auto" w:after="0"/>
            </w:pPr>
            <w:r>
              <w:rPr>
                <w:rFonts w:ascii="Times New Roman" w:hAnsi="Times New Roman"/>
                <w:sz w:val="18"/>
              </w:rPr>
              <w:t>3,995</w:t>
            </w:r>
          </w:p>
        </w:tc>
        <w:tc>
          <w:tcPr>
            <w:tcW w:type="dxa" w:w="1440"/>
            <w:vAlign w:val="center"/>
          </w:tcPr>
          <w:p>
            <w:pPr>
              <w:spacing w:line="240" w:lineRule="auto" w:after="0"/>
            </w:pPr>
            <w:r>
              <w:rPr>
                <w:rFonts w:ascii="Times New Roman" w:hAnsi="Times New Roman"/>
                <w:sz w:val="18"/>
              </w:rPr>
              <w:t>716</w:t>
            </w:r>
          </w:p>
        </w:tc>
        <w:tc>
          <w:tcPr>
            <w:tcW w:type="dxa" w:w="1296"/>
            <w:vAlign w:val="center"/>
          </w:tcPr>
          <w:p>
            <w:pPr>
              <w:spacing w:line="240" w:lineRule="auto" w:after="0"/>
            </w:pPr>
            <w:r>
              <w:rPr>
                <w:rFonts w:ascii="Times New Roman" w:hAnsi="Times New Roman"/>
                <w:sz w:val="18"/>
              </w:rPr>
              <w:t>336</w:t>
            </w:r>
          </w:p>
        </w:tc>
        <w:tc>
          <w:tcPr>
            <w:tcW w:type="dxa" w:w="1296"/>
            <w:vAlign w:val="center"/>
          </w:tcPr>
          <w:p>
            <w:pPr>
              <w:spacing w:line="240" w:lineRule="auto" w:after="0"/>
            </w:pPr>
            <w:r>
              <w:rPr>
                <w:rFonts w:ascii="Times New Roman" w:hAnsi="Times New Roman"/>
                <w:sz w:val="18"/>
              </w:rPr>
              <w:t>233</w:t>
            </w:r>
          </w:p>
        </w:tc>
      </w:tr>
      <w:tr>
        <w:tc>
          <w:tcPr>
            <w:tcW w:type="dxa" w:w="1584"/>
            <w:vAlign w:val="center"/>
          </w:tcPr>
          <w:p>
            <w:pPr>
              <w:spacing w:line="240" w:lineRule="auto" w:after="0"/>
            </w:pPr>
            <w:r>
              <w:rPr>
                <w:rFonts w:ascii="Times New Roman" w:hAnsi="Times New Roman"/>
                <w:sz w:val="18"/>
              </w:rPr>
              <w:t>30%</w:t>
            </w:r>
          </w:p>
        </w:tc>
        <w:tc>
          <w:tcPr>
            <w:tcW w:type="dxa" w:w="1440"/>
            <w:vAlign w:val="center"/>
          </w:tcPr>
          <w:p>
            <w:pPr>
              <w:spacing w:line="240" w:lineRule="auto" w:after="0"/>
            </w:pPr>
            <w:r>
              <w:rPr>
                <w:rFonts w:ascii="Times New Roman" w:hAnsi="Times New Roman"/>
                <w:sz w:val="18"/>
              </w:rPr>
              <w:t>3-&gt;4</w:t>
            </w:r>
          </w:p>
        </w:tc>
        <w:tc>
          <w:tcPr>
            <w:tcW w:type="dxa" w:w="1296"/>
            <w:vAlign w:val="center"/>
          </w:tcPr>
          <w:p>
            <w:pPr>
              <w:spacing w:line="240" w:lineRule="auto" w:after="0"/>
            </w:pPr>
            <w:r>
              <w:rPr>
                <w:rFonts w:ascii="Times New Roman" w:hAnsi="Times New Roman"/>
                <w:sz w:val="18"/>
              </w:rPr>
              <w:t>5,175</w:t>
            </w:r>
          </w:p>
        </w:tc>
        <w:tc>
          <w:tcPr>
            <w:tcW w:type="dxa" w:w="1440"/>
            <w:vAlign w:val="center"/>
          </w:tcPr>
          <w:p>
            <w:pPr>
              <w:spacing w:line="240" w:lineRule="auto" w:after="0"/>
            </w:pPr>
            <w:r>
              <w:rPr>
                <w:rFonts w:ascii="Times New Roman" w:hAnsi="Times New Roman"/>
                <w:sz w:val="18"/>
              </w:rPr>
              <w:t>825</w:t>
            </w:r>
          </w:p>
        </w:tc>
        <w:tc>
          <w:tcPr>
            <w:tcW w:type="dxa" w:w="1296"/>
            <w:vAlign w:val="center"/>
          </w:tcPr>
          <w:p>
            <w:pPr>
              <w:spacing w:line="240" w:lineRule="auto" w:after="0"/>
            </w:pPr>
            <w:r>
              <w:rPr>
                <w:rFonts w:ascii="Times New Roman" w:hAnsi="Times New Roman"/>
                <w:sz w:val="18"/>
              </w:rPr>
              <w:t>413</w:t>
            </w:r>
          </w:p>
        </w:tc>
        <w:tc>
          <w:tcPr>
            <w:tcW w:type="dxa" w:w="1296"/>
            <w:vAlign w:val="center"/>
          </w:tcPr>
          <w:p>
            <w:pPr>
              <w:spacing w:line="240" w:lineRule="auto" w:after="0"/>
            </w:pPr>
            <w:r>
              <w:rPr>
                <w:rFonts w:ascii="Times New Roman" w:hAnsi="Times New Roman"/>
                <w:sz w:val="18"/>
              </w:rPr>
              <w:t>389</w:t>
            </w:r>
          </w:p>
        </w:tc>
      </w:tr>
      <w:tr>
        <w:tc>
          <w:tcPr>
            <w:tcW w:type="dxa" w:w="1584"/>
            <w:vAlign w:val="center"/>
          </w:tcPr>
          <w:p>
            <w:pPr>
              <w:spacing w:line="240" w:lineRule="auto" w:after="0"/>
            </w:pPr>
            <w:r>
              <w:rPr>
                <w:rFonts w:ascii="Times New Roman" w:hAnsi="Times New Roman"/>
                <w:sz w:val="18"/>
              </w:rPr>
              <w:t>40%</w:t>
            </w:r>
          </w:p>
        </w:tc>
        <w:tc>
          <w:tcPr>
            <w:tcW w:type="dxa" w:w="1440"/>
            <w:vAlign w:val="center"/>
          </w:tcPr>
          <w:p>
            <w:pPr>
              <w:spacing w:line="240" w:lineRule="auto" w:after="0"/>
            </w:pPr>
            <w:r>
              <w:rPr>
                <w:rFonts w:ascii="Times New Roman" w:hAnsi="Times New Roman"/>
                <w:sz w:val="18"/>
              </w:rPr>
              <w:t>1-&gt;2</w:t>
            </w:r>
          </w:p>
        </w:tc>
        <w:tc>
          <w:tcPr>
            <w:tcW w:type="dxa" w:w="1296"/>
            <w:vAlign w:val="center"/>
          </w:tcPr>
          <w:p>
            <w:pPr>
              <w:spacing w:line="240" w:lineRule="auto" w:after="0"/>
            </w:pPr>
            <w:r>
              <w:rPr>
                <w:rFonts w:ascii="Times New Roman" w:hAnsi="Times New Roman"/>
                <w:sz w:val="18"/>
              </w:rPr>
              <w:t>3,696</w:t>
            </w:r>
          </w:p>
        </w:tc>
        <w:tc>
          <w:tcPr>
            <w:tcW w:type="dxa" w:w="1440"/>
            <w:vAlign w:val="center"/>
          </w:tcPr>
          <w:p>
            <w:pPr>
              <w:spacing w:line="240" w:lineRule="auto" w:after="0"/>
            </w:pPr>
            <w:r>
              <w:rPr>
                <w:rFonts w:ascii="Times New Roman" w:hAnsi="Times New Roman"/>
                <w:sz w:val="18"/>
              </w:rPr>
              <w:t>555</w:t>
            </w:r>
          </w:p>
        </w:tc>
        <w:tc>
          <w:tcPr>
            <w:tcW w:type="dxa" w:w="1296"/>
            <w:vAlign w:val="center"/>
          </w:tcPr>
          <w:p>
            <w:pPr>
              <w:spacing w:line="240" w:lineRule="auto" w:after="0"/>
            </w:pPr>
            <w:r>
              <w:rPr>
                <w:rFonts w:ascii="Times New Roman" w:hAnsi="Times New Roman"/>
                <w:sz w:val="18"/>
              </w:rPr>
              <w:t>247</w:t>
            </w:r>
          </w:p>
        </w:tc>
        <w:tc>
          <w:tcPr>
            <w:tcW w:type="dxa" w:w="1296"/>
            <w:vAlign w:val="center"/>
          </w:tcPr>
          <w:p>
            <w:pPr>
              <w:spacing w:line="240" w:lineRule="auto" w:after="0"/>
            </w:pPr>
            <w:r>
              <w:rPr>
                <w:rFonts w:ascii="Times New Roman" w:hAnsi="Times New Roman"/>
                <w:sz w:val="18"/>
              </w:rPr>
              <w:t>266</w:t>
            </w:r>
          </w:p>
        </w:tc>
      </w:tr>
      <w:tr>
        <w:tc>
          <w:tcPr>
            <w:tcW w:type="dxa" w:w="1584"/>
            <w:vAlign w:val="center"/>
          </w:tcPr>
          <w:p>
            <w:pPr>
              <w:spacing w:line="240" w:lineRule="auto" w:after="0"/>
            </w:pPr>
            <w:r>
              <w:rPr>
                <w:rFonts w:ascii="Times New Roman" w:hAnsi="Times New Roman"/>
                <w:sz w:val="18"/>
              </w:rPr>
              <w:t>40%</w:t>
            </w:r>
          </w:p>
        </w:tc>
        <w:tc>
          <w:tcPr>
            <w:tcW w:type="dxa" w:w="1440"/>
            <w:vAlign w:val="center"/>
          </w:tcPr>
          <w:p>
            <w:pPr>
              <w:spacing w:line="240" w:lineRule="auto" w:after="0"/>
            </w:pPr>
            <w:r>
              <w:rPr>
                <w:rFonts w:ascii="Times New Roman" w:hAnsi="Times New Roman"/>
                <w:sz w:val="18"/>
              </w:rPr>
              <w:t>2-&gt;3</w:t>
            </w:r>
          </w:p>
        </w:tc>
        <w:tc>
          <w:tcPr>
            <w:tcW w:type="dxa" w:w="1296"/>
            <w:vAlign w:val="center"/>
          </w:tcPr>
          <w:p>
            <w:pPr>
              <w:spacing w:line="240" w:lineRule="auto" w:after="0"/>
            </w:pPr>
            <w:r>
              <w:rPr>
                <w:rFonts w:ascii="Times New Roman" w:hAnsi="Times New Roman"/>
                <w:sz w:val="18"/>
              </w:rPr>
              <w:t>3,995</w:t>
            </w:r>
          </w:p>
        </w:tc>
        <w:tc>
          <w:tcPr>
            <w:tcW w:type="dxa" w:w="1440"/>
            <w:vAlign w:val="center"/>
          </w:tcPr>
          <w:p>
            <w:pPr>
              <w:spacing w:line="240" w:lineRule="auto" w:after="0"/>
            </w:pPr>
            <w:r>
              <w:rPr>
                <w:rFonts w:ascii="Times New Roman" w:hAnsi="Times New Roman"/>
                <w:sz w:val="18"/>
              </w:rPr>
              <w:t>620</w:t>
            </w:r>
          </w:p>
        </w:tc>
        <w:tc>
          <w:tcPr>
            <w:tcW w:type="dxa" w:w="1296"/>
            <w:vAlign w:val="center"/>
          </w:tcPr>
          <w:p>
            <w:pPr>
              <w:spacing w:line="240" w:lineRule="auto" w:after="0"/>
            </w:pPr>
            <w:r>
              <w:rPr>
                <w:rFonts w:ascii="Times New Roman" w:hAnsi="Times New Roman"/>
                <w:sz w:val="18"/>
              </w:rPr>
              <w:t>290</w:t>
            </w:r>
          </w:p>
        </w:tc>
        <w:tc>
          <w:tcPr>
            <w:tcW w:type="dxa" w:w="1296"/>
            <w:vAlign w:val="center"/>
          </w:tcPr>
          <w:p>
            <w:pPr>
              <w:spacing w:line="240" w:lineRule="auto" w:after="0"/>
            </w:pPr>
            <w:r>
              <w:rPr>
                <w:rFonts w:ascii="Times New Roman" w:hAnsi="Times New Roman"/>
                <w:sz w:val="18"/>
              </w:rPr>
              <w:t>233</w:t>
            </w:r>
          </w:p>
        </w:tc>
      </w:tr>
      <w:tr>
        <w:tc>
          <w:tcPr>
            <w:tcW w:type="dxa" w:w="1584"/>
            <w:vAlign w:val="center"/>
          </w:tcPr>
          <w:p>
            <w:pPr>
              <w:spacing w:line="240" w:lineRule="auto" w:after="0"/>
            </w:pPr>
            <w:r>
              <w:rPr>
                <w:rFonts w:ascii="Times New Roman" w:hAnsi="Times New Roman"/>
                <w:sz w:val="18"/>
              </w:rPr>
              <w:t>40%</w:t>
            </w:r>
          </w:p>
        </w:tc>
        <w:tc>
          <w:tcPr>
            <w:tcW w:type="dxa" w:w="1440"/>
            <w:vAlign w:val="center"/>
          </w:tcPr>
          <w:p>
            <w:pPr>
              <w:spacing w:line="240" w:lineRule="auto" w:after="0"/>
            </w:pPr>
            <w:r>
              <w:rPr>
                <w:rFonts w:ascii="Times New Roman" w:hAnsi="Times New Roman"/>
                <w:sz w:val="18"/>
              </w:rPr>
              <w:t>3-&gt;4</w:t>
            </w:r>
          </w:p>
        </w:tc>
        <w:tc>
          <w:tcPr>
            <w:tcW w:type="dxa" w:w="1296"/>
            <w:vAlign w:val="center"/>
          </w:tcPr>
          <w:p>
            <w:pPr>
              <w:spacing w:line="240" w:lineRule="auto" w:after="0"/>
            </w:pPr>
            <w:r>
              <w:rPr>
                <w:rFonts w:ascii="Times New Roman" w:hAnsi="Times New Roman"/>
                <w:sz w:val="18"/>
              </w:rPr>
              <w:t>5,175</w:t>
            </w:r>
          </w:p>
        </w:tc>
        <w:tc>
          <w:tcPr>
            <w:tcW w:type="dxa" w:w="1440"/>
            <w:vAlign w:val="center"/>
          </w:tcPr>
          <w:p>
            <w:pPr>
              <w:spacing w:line="240" w:lineRule="auto" w:after="0"/>
            </w:pPr>
            <w:r>
              <w:rPr>
                <w:rFonts w:ascii="Times New Roman" w:hAnsi="Times New Roman"/>
                <w:sz w:val="18"/>
              </w:rPr>
              <w:t>720</w:t>
            </w:r>
          </w:p>
        </w:tc>
        <w:tc>
          <w:tcPr>
            <w:tcW w:type="dxa" w:w="1296"/>
            <w:vAlign w:val="center"/>
          </w:tcPr>
          <w:p>
            <w:pPr>
              <w:spacing w:line="240" w:lineRule="auto" w:after="0"/>
            </w:pPr>
            <w:r>
              <w:rPr>
                <w:rFonts w:ascii="Times New Roman" w:hAnsi="Times New Roman"/>
                <w:sz w:val="18"/>
              </w:rPr>
              <w:t>361</w:t>
            </w:r>
          </w:p>
        </w:tc>
        <w:tc>
          <w:tcPr>
            <w:tcW w:type="dxa" w:w="1296"/>
            <w:vAlign w:val="center"/>
          </w:tcPr>
          <w:p>
            <w:pPr>
              <w:spacing w:line="240" w:lineRule="auto" w:after="0"/>
            </w:pPr>
            <w:r>
              <w:rPr>
                <w:rFonts w:ascii="Times New Roman" w:hAnsi="Times New Roman"/>
                <w:sz w:val="18"/>
              </w:rPr>
              <w:t>389</w:t>
            </w:r>
          </w:p>
        </w:tc>
      </w:tr>
      <w:tr>
        <w:tc>
          <w:tcPr>
            <w:tcW w:type="dxa" w:w="1584"/>
            <w:vAlign w:val="center"/>
          </w:tcPr>
          <w:p>
            <w:pPr>
              <w:spacing w:line="240" w:lineRule="auto" w:after="0"/>
            </w:pPr>
            <w:r>
              <w:rPr>
                <w:rFonts w:ascii="Times New Roman" w:hAnsi="Times New Roman"/>
                <w:sz w:val="18"/>
              </w:rPr>
              <w:t>50%</w:t>
            </w:r>
          </w:p>
        </w:tc>
        <w:tc>
          <w:tcPr>
            <w:tcW w:type="dxa" w:w="1440"/>
            <w:vAlign w:val="center"/>
          </w:tcPr>
          <w:p>
            <w:pPr>
              <w:spacing w:line="240" w:lineRule="auto" w:after="0"/>
            </w:pPr>
            <w:r>
              <w:rPr>
                <w:rFonts w:ascii="Times New Roman" w:hAnsi="Times New Roman"/>
                <w:sz w:val="18"/>
              </w:rPr>
              <w:t>1-&gt;2</w:t>
            </w:r>
          </w:p>
        </w:tc>
        <w:tc>
          <w:tcPr>
            <w:tcW w:type="dxa" w:w="1296"/>
            <w:vAlign w:val="center"/>
          </w:tcPr>
          <w:p>
            <w:pPr>
              <w:spacing w:line="240" w:lineRule="auto" w:after="0"/>
            </w:pPr>
            <w:r>
              <w:rPr>
                <w:rFonts w:ascii="Times New Roman" w:hAnsi="Times New Roman"/>
                <w:sz w:val="18"/>
              </w:rPr>
              <w:t>3,696</w:t>
            </w:r>
          </w:p>
        </w:tc>
        <w:tc>
          <w:tcPr>
            <w:tcW w:type="dxa" w:w="1440"/>
            <w:vAlign w:val="center"/>
          </w:tcPr>
          <w:p>
            <w:pPr>
              <w:spacing w:line="240" w:lineRule="auto" w:after="0"/>
            </w:pPr>
            <w:r>
              <w:rPr>
                <w:rFonts w:ascii="Times New Roman" w:hAnsi="Times New Roman"/>
                <w:sz w:val="18"/>
              </w:rPr>
              <w:t>500</w:t>
            </w:r>
          </w:p>
        </w:tc>
        <w:tc>
          <w:tcPr>
            <w:tcW w:type="dxa" w:w="1296"/>
            <w:vAlign w:val="center"/>
          </w:tcPr>
          <w:p>
            <w:pPr>
              <w:spacing w:line="240" w:lineRule="auto" w:after="0"/>
            </w:pPr>
            <w:r>
              <w:rPr>
                <w:rFonts w:ascii="Times New Roman" w:hAnsi="Times New Roman"/>
                <w:sz w:val="18"/>
              </w:rPr>
              <w:t>212</w:t>
            </w:r>
          </w:p>
        </w:tc>
        <w:tc>
          <w:tcPr>
            <w:tcW w:type="dxa" w:w="1296"/>
            <w:vAlign w:val="center"/>
          </w:tcPr>
          <w:p>
            <w:pPr>
              <w:spacing w:line="240" w:lineRule="auto" w:after="0"/>
            </w:pPr>
            <w:r>
              <w:rPr>
                <w:rFonts w:ascii="Times New Roman" w:hAnsi="Times New Roman"/>
                <w:sz w:val="18"/>
              </w:rPr>
              <w:t>266</w:t>
            </w:r>
          </w:p>
        </w:tc>
      </w:tr>
      <w:tr>
        <w:tc>
          <w:tcPr>
            <w:tcW w:type="dxa" w:w="1584"/>
            <w:vAlign w:val="center"/>
          </w:tcPr>
          <w:p>
            <w:pPr>
              <w:spacing w:line="240" w:lineRule="auto" w:after="0"/>
            </w:pPr>
            <w:r>
              <w:rPr>
                <w:rFonts w:ascii="Times New Roman" w:hAnsi="Times New Roman"/>
                <w:sz w:val="18"/>
              </w:rPr>
              <w:t>50%</w:t>
            </w:r>
          </w:p>
        </w:tc>
        <w:tc>
          <w:tcPr>
            <w:tcW w:type="dxa" w:w="1440"/>
            <w:vAlign w:val="center"/>
          </w:tcPr>
          <w:p>
            <w:pPr>
              <w:spacing w:line="240" w:lineRule="auto" w:after="0"/>
            </w:pPr>
            <w:r>
              <w:rPr>
                <w:rFonts w:ascii="Times New Roman" w:hAnsi="Times New Roman"/>
                <w:sz w:val="18"/>
              </w:rPr>
              <w:t>2-&gt;3</w:t>
            </w:r>
          </w:p>
        </w:tc>
        <w:tc>
          <w:tcPr>
            <w:tcW w:type="dxa" w:w="1296"/>
            <w:vAlign w:val="center"/>
          </w:tcPr>
          <w:p>
            <w:pPr>
              <w:spacing w:line="240" w:lineRule="auto" w:after="0"/>
            </w:pPr>
            <w:r>
              <w:rPr>
                <w:rFonts w:ascii="Times New Roman" w:hAnsi="Times New Roman"/>
                <w:sz w:val="18"/>
              </w:rPr>
              <w:t>3,995</w:t>
            </w:r>
          </w:p>
        </w:tc>
        <w:tc>
          <w:tcPr>
            <w:tcW w:type="dxa" w:w="1440"/>
            <w:vAlign w:val="center"/>
          </w:tcPr>
          <w:p>
            <w:pPr>
              <w:spacing w:line="240" w:lineRule="auto" w:after="0"/>
            </w:pPr>
            <w:r>
              <w:rPr>
                <w:rFonts w:ascii="Times New Roman" w:hAnsi="Times New Roman"/>
                <w:sz w:val="18"/>
              </w:rPr>
              <w:t>538</w:t>
            </w:r>
          </w:p>
        </w:tc>
        <w:tc>
          <w:tcPr>
            <w:tcW w:type="dxa" w:w="1296"/>
            <w:vAlign w:val="center"/>
          </w:tcPr>
          <w:p>
            <w:pPr>
              <w:spacing w:line="240" w:lineRule="auto" w:after="0"/>
            </w:pPr>
            <w:r>
              <w:rPr>
                <w:rFonts w:ascii="Times New Roman" w:hAnsi="Times New Roman"/>
                <w:sz w:val="18"/>
              </w:rPr>
              <w:t>262</w:t>
            </w:r>
          </w:p>
        </w:tc>
        <w:tc>
          <w:tcPr>
            <w:tcW w:type="dxa" w:w="1296"/>
            <w:vAlign w:val="center"/>
          </w:tcPr>
          <w:p>
            <w:pPr>
              <w:spacing w:line="240" w:lineRule="auto" w:after="0"/>
            </w:pPr>
            <w:r>
              <w:rPr>
                <w:rFonts w:ascii="Times New Roman" w:hAnsi="Times New Roman"/>
                <w:sz w:val="18"/>
              </w:rPr>
              <w:t>233</w:t>
            </w:r>
          </w:p>
        </w:tc>
      </w:tr>
      <w:tr>
        <w:tc>
          <w:tcPr>
            <w:tcW w:type="dxa" w:w="1584"/>
            <w:vAlign w:val="center"/>
          </w:tcPr>
          <w:p>
            <w:pPr>
              <w:spacing w:line="240" w:lineRule="auto" w:after="0"/>
            </w:pPr>
            <w:r>
              <w:rPr>
                <w:rFonts w:ascii="Times New Roman" w:hAnsi="Times New Roman"/>
                <w:sz w:val="18"/>
              </w:rPr>
              <w:t>50%</w:t>
            </w:r>
          </w:p>
        </w:tc>
        <w:tc>
          <w:tcPr>
            <w:tcW w:type="dxa" w:w="1440"/>
            <w:vAlign w:val="center"/>
          </w:tcPr>
          <w:p>
            <w:pPr>
              <w:spacing w:line="240" w:lineRule="auto" w:after="0"/>
            </w:pPr>
            <w:r>
              <w:rPr>
                <w:rFonts w:ascii="Times New Roman" w:hAnsi="Times New Roman"/>
                <w:sz w:val="18"/>
              </w:rPr>
              <w:t>3-&gt;4</w:t>
            </w:r>
          </w:p>
        </w:tc>
        <w:tc>
          <w:tcPr>
            <w:tcW w:type="dxa" w:w="1296"/>
            <w:vAlign w:val="center"/>
          </w:tcPr>
          <w:p>
            <w:pPr>
              <w:spacing w:line="240" w:lineRule="auto" w:after="0"/>
            </w:pPr>
            <w:r>
              <w:rPr>
                <w:rFonts w:ascii="Times New Roman" w:hAnsi="Times New Roman"/>
                <w:sz w:val="18"/>
              </w:rPr>
              <w:t>5,175</w:t>
            </w:r>
          </w:p>
        </w:tc>
        <w:tc>
          <w:tcPr>
            <w:tcW w:type="dxa" w:w="1440"/>
            <w:vAlign w:val="center"/>
          </w:tcPr>
          <w:p>
            <w:pPr>
              <w:spacing w:line="240" w:lineRule="auto" w:after="0"/>
            </w:pPr>
            <w:r>
              <w:rPr>
                <w:rFonts w:ascii="Times New Roman" w:hAnsi="Times New Roman"/>
                <w:sz w:val="18"/>
              </w:rPr>
              <w:t>635</w:t>
            </w:r>
          </w:p>
        </w:tc>
        <w:tc>
          <w:tcPr>
            <w:tcW w:type="dxa" w:w="1296"/>
            <w:vAlign w:val="center"/>
          </w:tcPr>
          <w:p>
            <w:pPr>
              <w:spacing w:line="240" w:lineRule="auto" w:after="0"/>
            </w:pPr>
            <w:r>
              <w:rPr>
                <w:rFonts w:ascii="Times New Roman" w:hAnsi="Times New Roman"/>
                <w:sz w:val="18"/>
              </w:rPr>
              <w:t>318</w:t>
            </w:r>
          </w:p>
        </w:tc>
        <w:tc>
          <w:tcPr>
            <w:tcW w:type="dxa" w:w="1296"/>
            <w:vAlign w:val="center"/>
          </w:tcPr>
          <w:p>
            <w:pPr>
              <w:spacing w:line="240" w:lineRule="auto" w:after="0"/>
            </w:pPr>
            <w:r>
              <w:rPr>
                <w:rFonts w:ascii="Times New Roman" w:hAnsi="Times New Roman"/>
                <w:sz w:val="18"/>
              </w:rPr>
              <w:t>389</w:t>
            </w:r>
          </w:p>
        </w:tc>
      </w:tr>
    </w:tbl>
    <w:p>
      <w:pPr>
        <w:pStyle w:val="Heading1"/>
        <w:widowControl/>
      </w:pPr>
      <w:r>
        <w:rPr>
          <w:rFonts w:ascii="Times New Roman" w:hAnsi="Times New Roman"/>
        </w:rPr>
        <w:t>Supplementary Table S11. Temporal subgroup audit</w:t>
      </w:r>
    </w:p>
    <w:tbl>
      <w:tblPr>
        <w:tblStyle w:val="TableGrid"/>
        <w:tblW w:type="auto" w:w="0"/>
        <w:jc w:val="center"/>
        <w:tblLayout w:type="autofit"/>
        <w:tblLook w:firstColumn="1" w:firstRow="1" w:lastColumn="0" w:lastRow="0" w:noHBand="0" w:noVBand="1" w:val="04A0"/>
      </w:tblPr>
      <w:tblGrid>
        <w:gridCol w:w="1872"/>
        <w:gridCol w:w="1872"/>
        <w:gridCol w:w="1872"/>
        <w:gridCol w:w="1872"/>
        <w:gridCol w:w="1872"/>
      </w:tblGrid>
      <w:tr>
        <w:trPr>
          <w:tblHeader/>
          <w:tblHeader w:val="true"/>
        </w:trPr>
        <w:tc>
          <w:tcPr>
            <w:tcW w:type="dxa" w:w="2592"/>
            <w:vAlign w:val="center"/>
            <w:tcMar>
              <w:top w:w="90" w:type="dxa"/>
              <w:start w:w="90" w:type="dxa"/>
              <w:bottom w:w="90" w:type="dxa"/>
              <w:end w:w="90" w:type="dxa"/>
            </w:tcMar>
          </w:tcPr>
          <w:p>
            <w:pPr>
              <w:spacing w:line="240" w:lineRule="auto" w:after="0"/>
            </w:pPr>
            <w:r>
              <w:rPr>
                <w:rFonts w:ascii="Times New Roman" w:hAnsi="Times New Roman"/>
                <w:b/>
                <w:sz w:val="17"/>
              </w:rPr>
              <w:t>Subgroup</w:t>
            </w:r>
          </w:p>
        </w:tc>
        <w:tc>
          <w:tcPr>
            <w:tcW w:type="dxa" w:w="3024"/>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584"/>
            <w:vAlign w:val="center"/>
            <w:tcMar>
              <w:top w:w="90" w:type="dxa"/>
              <w:start w:w="90" w:type="dxa"/>
              <w:bottom w:w="90" w:type="dxa"/>
              <w:end w:w="90" w:type="dxa"/>
            </w:tcMar>
          </w:tcPr>
          <w:p>
            <w:pPr>
              <w:spacing w:line="240" w:lineRule="auto" w:after="0"/>
            </w:pPr>
            <w:r>
              <w:rPr>
                <w:rFonts w:ascii="Times New Roman" w:hAnsi="Times New Roman"/>
                <w:b/>
                <w:sz w:val="17"/>
              </w:rPr>
              <w:t>N/events</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AUROC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AUPRC</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2,686/2,686</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0.722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0.350</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2,686/164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0.156</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2,686/264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0.731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0.304</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Women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2,489/2,489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0.719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0.341</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Women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2,489/197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0.695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0.154</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sex: Women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2,489/125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0.795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0.213</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Urban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1,794/1,794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0.735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0.356</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Urban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1,794/100</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0.757</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0.139</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Urban</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1,794/128</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0.782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0.330</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Rural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3,381/3,381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0.712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0.346</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Rural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3,381/261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0.711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0.159</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rural: Rural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3,381/261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0.741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0.246</w:t>
            </w:r>
          </w:p>
        </w:tc>
      </w:tr>
    </w:tbl>
    <w:p>
      <w:pPr>
        <w:pStyle w:val="Heading1"/>
        <w:widowControl/>
      </w:pPr>
      <w:r>
        <w:rPr>
          <w:rFonts w:ascii="Times New Roman" w:hAnsi="Times New Roman"/>
        </w:rPr>
        <w:t>Supplementary Table S12. Full permutation importance</w:t>
      </w:r>
    </w:p>
    <w:tbl>
      <w:tblPr>
        <w:tblStyle w:val="TableGrid"/>
        <w:tblW w:type="auto" w:w="0"/>
        <w:jc w:val="center"/>
        <w:tblLayout w:type="autofit"/>
        <w:tblLook w:firstColumn="1" w:firstRow="1" w:lastColumn="0" w:lastRow="0" w:noHBand="0" w:noVBand="1" w:val="04A0"/>
      </w:tblPr>
      <w:tblGrid>
        <w:gridCol w:w="3120"/>
        <w:gridCol w:w="3120"/>
        <w:gridCol w:w="3120"/>
      </w:tblGrid>
      <w:tr>
        <w:trPr>
          <w:tblHeader/>
          <w:tblHeader w:val="true"/>
        </w:trPr>
        <w:tc>
          <w:tcPr>
            <w:tcW w:type="dxa" w:w="4896"/>
            <w:vAlign w:val="center"/>
            <w:tcMar>
              <w:top w:w="90" w:type="dxa"/>
              <w:start w:w="90" w:type="dxa"/>
              <w:bottom w:w="90" w:type="dxa"/>
              <w:end w:w="90" w:type="dxa"/>
            </w:tcMar>
          </w:tcPr>
          <w:p>
            <w:pPr>
              <w:spacing w:line="240" w:lineRule="auto" w:after="0"/>
            </w:pPr>
            <w:r>
              <w:rPr>
                <w:rFonts w:ascii="Times New Roman" w:hAnsi="Times New Roman"/>
                <w:b/>
                <w:sz w:val="17"/>
              </w:rPr>
              <w:t>Predictor</w:t>
            </w:r>
          </w:p>
        </w:tc>
        <w:tc>
          <w:tcPr>
            <w:tcW w:type="dxa" w:w="2448"/>
            <w:vAlign w:val="center"/>
            <w:tcMar>
              <w:top w:w="90" w:type="dxa"/>
              <w:start w:w="90" w:type="dxa"/>
              <w:bottom w:w="90" w:type="dxa"/>
              <w:end w:w="90" w:type="dxa"/>
            </w:tcMar>
          </w:tcPr>
          <w:p>
            <w:pPr>
              <w:spacing w:line="240" w:lineRule="auto" w:after="0"/>
            </w:pPr>
            <w:r>
              <w:rPr>
                <w:rFonts w:ascii="Times New Roman" w:hAnsi="Times New Roman"/>
                <w:b/>
                <w:sz w:val="17"/>
              </w:rPr>
              <w:t>Mean AUROC decrease</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SD</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adl_count</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0.02319</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0.00168</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age</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0.02199</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0.00230</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origin_state</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0.02078</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0.00146</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chronic_count</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0.01589</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0.00201</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partnered</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0.00994</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0.00169</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cesd10</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0.00772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0.00094</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cognition</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0.00568</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0.00116</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self_rated_health</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0.00544</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0.00107</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sex</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0.00534</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0.00064</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rural</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0.00232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0.00074</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living_children</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0.00231</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0.00074</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hospitalized</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0.00222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0.00077</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education</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0.00184</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0.00058</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household_size</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0.00163</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0.00063</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smoking</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0.00056</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0.00037</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outpatient_visit</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0.00028</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0.00029</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public_insurance</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0.00022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0.00045</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social_activity</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0.00022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0.00024</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weekly_child_contact</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0.00014</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0.00033</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log_ctp</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0.00002</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0.00032</w:t>
            </w:r>
          </w:p>
        </w:tc>
      </w:tr>
      <w:tr>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drinking</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-0.00033</w:t>
            </w:r>
          </w:p>
        </w:tc>
        <w:tc>
          <w:tcPr>
            <w:tcW w:type="dxa" w:w="3120"/>
            <w:tcMar>
              <w:top w:w="90" w:type="dxa"/>
              <w:start w:w="90" w:type="dxa"/>
              <w:bottom w:w="90" w:type="dxa"/>
              <w:end w:w="90" w:type="dxa"/>
            </w:tcMar>
            <w:vAlign w:val="center"/>
          </w:tcPr>
          <w:p>
            <w:pPr>
              <w:spacing w:line="240" w:lineRule="auto" w:after="0"/>
            </w:pPr>
            <w:r>
              <w:rPr>
                <w:rFonts w:ascii="Times New Roman" w:hAnsi="Times New Roman"/>
                <w:sz w:val="17"/>
              </w:rPr>
              <w:t>0.00046</w:t>
            </w:r>
          </w:p>
        </w:tc>
      </w:tr>
    </w:tbl>
    <w:p>
      <w:pPr>
        <w:pStyle w:val="Heading1"/>
        <w:widowControl/>
      </w:pPr>
      <w:r>
        <w:rPr>
          <w:rFonts w:ascii="Times New Roman" w:hAnsi="Times New Roman"/>
        </w:rPr>
        <w:t>Supplementary note 2. Reproducibility and data provenance</w:t>
      </w:r>
    </w:p>
    <w:p>
      <w:pPr>
        <w:widowControl/>
        <w:spacing w:line="480" w:lineRule="auto" w:after="0"/>
      </w:pPr>
      <w:r>
        <w:rPr>
          <w:rFonts w:ascii="Times New Roman" w:hAnsi="Times New Roman"/>
          <w:i w:val="0"/>
        </w:rPr>
        <w:t>Source file SHA-256: cc92ceb68d94d19fa7fc1b9b04a5d2e23dcaea6ef381418ce38144debfa764ac</w:t>
      </w:r>
    </w:p>
    <w:p>
      <w:pPr>
        <w:widowControl/>
        <w:spacing w:line="480" w:lineRule="auto" w:after="0"/>
      </w:pPr>
      <w:r>
        <w:rPr>
          <w:rFonts w:ascii="Times New Roman" w:hAnsi="Times New Roman"/>
          <w:i w:val="0"/>
        </w:rPr>
        <w:t>Outcome construction, cohort selection, preprocessing, tuning, evaluation, bootstrapping, sensitivity analyses, and figures are contained in the accompanying Python scripts. Direct identifiers are not included in any shared analysis output. The transition-level parquet file in the local working analysis is deidentified but is not redistributed because the CHARLS user agreement governs derived respondent-level records.</w:t>
      </w:r>
    </w:p>
    <w:p>
      <w:pPr>
        <w:widowControl/>
        <w:spacing w:line="480" w:lineRule="auto" w:after="0"/>
      </w:pPr>
      <w:r>
        <w:rPr>
          <w:rFonts w:ascii="Times New Roman" w:hAnsi="Times New Roman"/>
          <w:i w:val="0"/>
        </w:rPr>
        <w:t>Software: python 3.12.13; pandas 2.3.3; numpy 2.3.5; scipy 1.18.0; scikit_learn 1.9.0; xgboost 3.4.0; shap 0.52.0.</w:t>
      </w:r>
    </w:p>
    <w:p>
      <w:pPr>
        <w:pStyle w:val="Heading1"/>
        <w:widowControl/>
      </w:pPr>
      <w:r>
        <w:rPr>
          <w:rFonts w:ascii="Times New Roman" w:hAnsi="Times New Roman"/>
        </w:rPr>
        <w:t>Supplementary methods: 2020 component validation and clinical extensions</w:t>
      </w:r>
    </w:p>
    <w:p>
      <w:pPr>
        <w:widowControl/>
        <w:spacing w:line="480" w:lineRule="auto" w:after="0"/>
      </w:pPr>
      <w:r>
        <w:rPr>
          <w:rFonts w:ascii="Times New Roman" w:hAnsi="Times New Roman"/>
        </w:rPr>
        <w:t>The five-state primary outcome was not reconstructed in 2020 because comparable respondent and spouse outpatient and inpatient out-of-pocket components were unavailable. The fitted primary penalized multinomial model was not updated. Death, ADL difficulty or death, and survivor-conditional ADL difficulty were evaluated by summing the relevant five-state probabilities. Objective physical performance measures were added in a separate 2011-2018 primary-model extension with in-pipeline imputation. Capacity-based risk strata used fixed top-risk fractions and were not optimized against outcomes. Inverse-probability-of-observation weights were estimated in five-fold household-grouped cross-validation among all valid 2015 origins.</w:t>
      </w:r>
    </w:p>
    <w:p>
      <w:pPr>
        <w:pStyle w:val="Heading1"/>
        <w:widowControl/>
      </w:pPr>
      <w:r>
        <w:rPr>
          <w:rFonts w:ascii="Times New Roman" w:hAnsi="Times New Roman"/>
        </w:rPr>
        <w:t>Supplementary Table S13. Linkage from 2018 origins to 2020 outcomes</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8352"/>
            <w:vAlign w:val="center"/>
          </w:tcPr>
          <w:p>
            <w:r>
              <w:rPr>
                <w:rFonts w:ascii="Times New Roman" w:hAnsi="Times New Roman"/>
                <w:b/>
                <w:sz w:val="17"/>
              </w:rPr>
              <w:t>Stage</w:t>
            </w:r>
          </w:p>
        </w:tc>
        <w:tc>
          <w:tcPr>
            <w:tcW w:type="dxa" w:w="1728"/>
            <w:vAlign w:val="center"/>
          </w:tcPr>
          <w:p>
            <w:r>
              <w:rPr>
                <w:rFonts w:ascii="Times New Roman" w:hAnsi="Times New Roman"/>
                <w:b/>
                <w:sz w:val="17"/>
              </w:rPr>
              <w:t>N</w:t>
            </w:r>
          </w:p>
        </w:tc>
      </w:tr>
      <w:tr>
        <w:tc>
          <w:tcPr>
            <w:tcW w:type="dxa" w:w="8352"/>
            <w:vAlign w:val="center"/>
          </w:tcPr>
          <w:p>
            <w:pPr>
              <w:spacing w:line="240" w:lineRule="auto" w:after="0"/>
            </w:pPr>
            <w:r>
              <w:rPr>
                <w:rFonts w:ascii="Times New Roman" w:hAnsi="Times New Roman"/>
                <w:sz w:val="17"/>
              </w:rPr>
              <w:t>2018 eligible origin states</w:t>
            </w:r>
          </w:p>
        </w:tc>
        <w:tc>
          <w:tcPr>
            <w:tcW w:type="dxa" w:w="1728"/>
            <w:vAlign w:val="center"/>
          </w:tcPr>
          <w:p>
            <w:pPr>
              <w:spacing w:line="240" w:lineRule="auto" w:after="0"/>
            </w:pPr>
            <w:r>
              <w:rPr>
                <w:rFonts w:ascii="Times New Roman" w:hAnsi="Times New Roman"/>
                <w:sz w:val="17"/>
              </w:rPr>
              <w:t>8,532</w:t>
            </w:r>
          </w:p>
        </w:tc>
      </w:tr>
      <w:tr>
        <w:tc>
          <w:tcPr>
            <w:tcW w:type="dxa" w:w="8352"/>
            <w:vAlign w:val="center"/>
          </w:tcPr>
          <w:p>
            <w:pPr>
              <w:spacing w:line="240" w:lineRule="auto" w:after="0"/>
            </w:pPr>
            <w:r>
              <w:rPr>
                <w:rFonts w:ascii="Times New Roman" w:hAnsi="Times New Roman"/>
                <w:sz w:val="17"/>
              </w:rPr>
              <w:t>Matched to 2020 survival status</w:t>
            </w:r>
          </w:p>
        </w:tc>
        <w:tc>
          <w:tcPr>
            <w:tcW w:type="dxa" w:w="1728"/>
            <w:vAlign w:val="center"/>
          </w:tcPr>
          <w:p>
            <w:pPr>
              <w:spacing w:line="240" w:lineRule="auto" w:after="0"/>
            </w:pPr>
            <w:r>
              <w:rPr>
                <w:rFonts w:ascii="Times New Roman" w:hAnsi="Times New Roman"/>
                <w:sz w:val="17"/>
              </w:rPr>
              <w:t>8,010</w:t>
            </w:r>
          </w:p>
        </w:tc>
      </w:tr>
      <w:tr>
        <w:tc>
          <w:tcPr>
            <w:tcW w:type="dxa" w:w="8352"/>
            <w:vAlign w:val="center"/>
          </w:tcPr>
          <w:p>
            <w:pPr>
              <w:spacing w:line="240" w:lineRule="auto" w:after="0"/>
            </w:pPr>
            <w:r>
              <w:rPr>
                <w:rFonts w:ascii="Times New Roman" w:hAnsi="Times New Roman"/>
                <w:sz w:val="17"/>
              </w:rPr>
              <w:t>Deaths by 2020</w:t>
            </w:r>
          </w:p>
        </w:tc>
        <w:tc>
          <w:tcPr>
            <w:tcW w:type="dxa" w:w="1728"/>
            <w:vAlign w:val="center"/>
          </w:tcPr>
          <w:p>
            <w:pPr>
              <w:spacing w:line="240" w:lineRule="auto" w:after="0"/>
            </w:pPr>
            <w:r>
              <w:rPr>
                <w:rFonts w:ascii="Times New Roman" w:hAnsi="Times New Roman"/>
                <w:sz w:val="17"/>
              </w:rPr>
              <w:t>409</w:t>
            </w:r>
          </w:p>
        </w:tc>
      </w:tr>
      <w:tr>
        <w:tc>
          <w:tcPr>
            <w:tcW w:type="dxa" w:w="8352"/>
            <w:vAlign w:val="center"/>
          </w:tcPr>
          <w:p>
            <w:pPr>
              <w:spacing w:line="240" w:lineRule="auto" w:after="0"/>
            </w:pPr>
            <w:r>
              <w:rPr>
                <w:rFonts w:ascii="Times New Roman" w:hAnsi="Times New Roman"/>
                <w:sz w:val="17"/>
              </w:rPr>
              <w:t>Survivors with complete 2020 ADL</w:t>
            </w:r>
          </w:p>
        </w:tc>
        <w:tc>
          <w:tcPr>
            <w:tcW w:type="dxa" w:w="1728"/>
            <w:vAlign w:val="center"/>
          </w:tcPr>
          <w:p>
            <w:pPr>
              <w:spacing w:line="240" w:lineRule="auto" w:after="0"/>
            </w:pPr>
            <w:r>
              <w:rPr>
                <w:rFonts w:ascii="Times New Roman" w:hAnsi="Times New Roman"/>
                <w:sz w:val="17"/>
              </w:rPr>
              <w:t>7,595</w:t>
            </w:r>
          </w:p>
        </w:tc>
      </w:tr>
      <w:tr>
        <w:tc>
          <w:tcPr>
            <w:tcW w:type="dxa" w:w="8352"/>
            <w:vAlign w:val="center"/>
          </w:tcPr>
          <w:p>
            <w:pPr>
              <w:spacing w:line="240" w:lineRule="auto" w:after="0"/>
            </w:pPr>
            <w:r>
              <w:rPr>
                <w:rFonts w:ascii="Times New Roman" w:hAnsi="Times New Roman"/>
                <w:sz w:val="17"/>
              </w:rPr>
              <w:t>Death or ADL outcome observed</w:t>
            </w:r>
          </w:p>
        </w:tc>
        <w:tc>
          <w:tcPr>
            <w:tcW w:type="dxa" w:w="1728"/>
            <w:vAlign w:val="center"/>
          </w:tcPr>
          <w:p>
            <w:pPr>
              <w:spacing w:line="240" w:lineRule="auto" w:after="0"/>
            </w:pPr>
            <w:r>
              <w:rPr>
                <w:rFonts w:ascii="Times New Roman" w:hAnsi="Times New Roman"/>
                <w:sz w:val="17"/>
              </w:rPr>
              <w:t>8,004</w:t>
            </w:r>
          </w:p>
        </w:tc>
      </w:tr>
    </w:tbl>
    <w:p>
      <w:pPr>
        <w:pStyle w:val="Heading1"/>
        <w:widowControl/>
      </w:pPr>
      <w:r>
        <w:rPr>
          <w:rFonts w:ascii="Times New Roman" w:hAnsi="Times New Roman"/>
        </w:rPr>
        <w:t>Supplementary Table S14. Late temporal component validation</w:t>
      </w:r>
    </w:p>
    <w:tbl>
      <w:tblPr>
        <w:tblStyle w:val="TableGrid"/>
        <w:tblW w:type="auto" w:w="0"/>
        <w:jc w:val="center"/>
        <w:tblLayout w:type="autofit"/>
        <w:tblLook w:firstColumn="1" w:firstRow="1" w:lastColumn="0" w:lastRow="0" w:noHBand="0" w:noVBand="1" w:val="04A0"/>
      </w:tblPr>
      <w:tblGrid>
        <w:gridCol w:w="1170"/>
        <w:gridCol w:w="1170"/>
        <w:gridCol w:w="1170"/>
        <w:gridCol w:w="1170"/>
        <w:gridCol w:w="1170"/>
        <w:gridCol w:w="1170"/>
        <w:gridCol w:w="1170"/>
        <w:gridCol w:w="1170"/>
      </w:tblGrid>
      <w:tr>
        <w:trPr>
          <w:tblHeader w:val="true"/>
          <w:tblHeader w:val="true"/>
        </w:trPr>
        <w:tc>
          <w:tcPr>
            <w:tcW w:type="dxa" w:w="2088"/>
            <w:vAlign w:val="center"/>
            <w:tcMar>
              <w:top w:w="90" w:type="dxa"/>
              <w:start w:w="90" w:type="dxa"/>
              <w:bottom w:w="90" w:type="dxa"/>
              <w:end w:w="90" w:type="dxa"/>
            </w:tcMar>
          </w:tcPr>
          <w:p>
            <w:pPr>
              <w:spacing w:line="240" w:lineRule="auto" w:after="0"/>
            </w:pPr>
            <w:r>
              <w:rPr>
                <w:rFonts w:ascii="Times New Roman" w:hAnsi="Times New Roman"/>
                <w:b/>
                <w:sz w:val="17"/>
              </w:rPr>
              <w:t>Outcome</w:t>
            </w:r>
          </w:p>
        </w:tc>
        <w:tc>
          <w:tcPr>
            <w:tcW w:type="dxa" w:w="1152"/>
            <w:vAlign w:val="center"/>
            <w:tcMar>
              <w:top w:w="90" w:type="dxa"/>
              <w:start w:w="90" w:type="dxa"/>
              <w:bottom w:w="90" w:type="dxa"/>
              <w:end w:w="90" w:type="dxa"/>
            </w:tcMar>
          </w:tcPr>
          <w:p>
            <w:pPr>
              <w:spacing w:line="240" w:lineRule="auto" w:after="0"/>
            </w:pPr>
            <w:r>
              <w:rPr>
                <w:rFonts w:ascii="Times New Roman" w:hAnsi="Times New Roman"/>
                <w:b/>
                <w:sz w:val="17"/>
              </w:rPr>
              <w:t>Events/N</w:t>
            </w:r>
          </w:p>
        </w:tc>
        <w:tc>
          <w:tcPr>
            <w:tcW w:type="dxa" w:w="1008"/>
            <w:vAlign w:val="center"/>
            <w:tcMar>
              <w:top w:w="90" w:type="dxa"/>
              <w:start w:w="90" w:type="dxa"/>
              <w:bottom w:w="90" w:type="dxa"/>
              <w:end w:w="90" w:type="dxa"/>
            </w:tcMar>
          </w:tcPr>
          <w:p>
            <w:pPr>
              <w:spacing w:line="240" w:lineRule="auto" w:after="0"/>
            </w:pPr>
            <w:r>
              <w:rPr>
                <w:rFonts w:ascii="Times New Roman" w:hAnsi="Times New Roman"/>
                <w:b/>
                <w:sz w:val="17"/>
              </w:rPr>
              <w:t>Observed</w:t>
            </w:r>
          </w:p>
        </w:tc>
        <w:tc>
          <w:tcPr>
            <w:tcW w:type="dxa" w:w="1008"/>
            <w:vAlign w:val="center"/>
            <w:tcMar>
              <w:top w:w="90" w:type="dxa"/>
              <w:start w:w="90" w:type="dxa"/>
              <w:bottom w:w="90" w:type="dxa"/>
              <w:end w:w="90" w:type="dxa"/>
            </w:tcMar>
          </w:tcPr>
          <w:p>
            <w:pPr>
              <w:spacing w:line="240" w:lineRule="auto" w:after="0"/>
            </w:pPr>
            <w:r>
              <w:rPr>
                <w:rFonts w:ascii="Times New Roman" w:hAnsi="Times New Roman"/>
                <w:b/>
                <w:sz w:val="17"/>
              </w:rPr>
              <w:t>Predicted</w:t>
            </w:r>
          </w:p>
        </w:tc>
        <w:tc>
          <w:tcPr>
            <w:tcW w:type="dxa" w:w="1944"/>
            <w:vAlign w:val="center"/>
            <w:tcMar>
              <w:top w:w="90" w:type="dxa"/>
              <w:start w:w="90" w:type="dxa"/>
              <w:bottom w:w="90" w:type="dxa"/>
              <w:end w:w="90" w:type="dxa"/>
            </w:tcMar>
          </w:tcPr>
          <w:p>
            <w:pPr>
              <w:spacing w:line="240" w:lineRule="auto" w:after="0"/>
            </w:pPr>
            <w:r>
              <w:rPr>
                <w:rFonts w:ascii="Times New Roman" w:hAnsi="Times New Roman"/>
                <w:b/>
                <w:sz w:val="17"/>
              </w:rPr>
              <w:t>AUROC (95% CI)</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AUPRC</w:t>
            </w:r>
          </w:p>
        </w:tc>
        <w:tc>
          <w:tcPr>
            <w:tcW w:type="dxa" w:w="864"/>
            <w:vAlign w:val="center"/>
            <w:tcMar>
              <w:top w:w="90" w:type="dxa"/>
              <w:start w:w="90" w:type="dxa"/>
              <w:bottom w:w="90" w:type="dxa"/>
              <w:end w:w="90" w:type="dxa"/>
            </w:tcMar>
          </w:tcPr>
          <w:p>
            <w:pPr>
              <w:spacing w:line="240" w:lineRule="auto" w:after="0"/>
            </w:pPr>
            <w:r>
              <w:rPr>
                <w:rFonts w:ascii="Times New Roman" w:hAnsi="Times New Roman"/>
                <w:b/>
                <w:sz w:val="17"/>
              </w:rPr>
              <w:t>Brier</w:t>
            </w:r>
          </w:p>
        </w:tc>
        <w:tc>
          <w:tcPr>
            <w:tcW w:type="dxa" w:w="864"/>
            <w:vAlign w:val="center"/>
            <w:tcMar>
              <w:top w:w="90" w:type="dxa"/>
              <w:start w:w="90" w:type="dxa"/>
              <w:bottom w:w="90" w:type="dxa"/>
              <w:end w:w="90" w:type="dxa"/>
            </w:tcMar>
          </w:tcPr>
          <w:p>
            <w:pPr>
              <w:spacing w:line="240" w:lineRule="auto" w:after="0"/>
            </w:pPr>
            <w:r>
              <w:rPr>
                <w:rFonts w:ascii="Times New Roman" w:hAnsi="Times New Roman"/>
                <w:b/>
                <w:sz w:val="17"/>
              </w:rPr>
              <w:t>Slope</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409/8,010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8.7%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0.813 (0.791-0.835)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0.272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0.045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0.978</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ADL difficulty or 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2,709/8,004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33.8%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36.4%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0.801 (0.792-0.813)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0.697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0.164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0.998</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ADL difficulty among survivors</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2,300/7,595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30.3%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0.795 (0.783-0.807)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0.648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0.159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1.016</w:t>
            </w:r>
          </w:p>
        </w:tc>
      </w:tr>
    </w:tbl>
    <w:p>
      <w:pPr>
        <w:pStyle w:val="Heading1"/>
        <w:widowControl/>
      </w:pPr>
      <w:r>
        <w:rPr>
          <w:rFonts w:ascii="Times New Roman" w:hAnsi="Times New Roman"/>
        </w:rPr>
        <w:t>Supplementary Table S15. Objective physical performance availability</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5760"/>
            <w:vAlign w:val="center"/>
          </w:tcPr>
          <w:p>
            <w:r>
              <w:rPr>
                <w:rFonts w:ascii="Times New Roman" w:hAnsi="Times New Roman"/>
                <w:b/>
                <w:sz w:val="17"/>
              </w:rPr>
              <w:t>Measure</w:t>
            </w:r>
          </w:p>
        </w:tc>
        <w:tc>
          <w:tcPr>
            <w:tcW w:type="dxa" w:w="2160"/>
            <w:vAlign w:val="center"/>
          </w:tcPr>
          <w:p>
            <w:r>
              <w:rPr>
                <w:rFonts w:ascii="Times New Roman" w:hAnsi="Times New Roman"/>
                <w:b/>
                <w:sz w:val="17"/>
              </w:rPr>
              <w:t>Development missing</w:t>
            </w:r>
          </w:p>
        </w:tc>
        <w:tc>
          <w:tcPr>
            <w:tcW w:type="dxa" w:w="2160"/>
            <w:vAlign w:val="center"/>
          </w:tcPr>
          <w:p>
            <w:r>
              <w:rPr>
                <w:rFonts w:ascii="Times New Roman" w:hAnsi="Times New Roman"/>
                <w:b/>
                <w:sz w:val="17"/>
              </w:rPr>
              <w:t>Temporal missing</w:t>
            </w:r>
          </w:p>
        </w:tc>
      </w:tr>
      <w:tr>
        <w:tc>
          <w:tcPr>
            <w:tcW w:type="dxa" w:w="5760"/>
            <w:vAlign w:val="center"/>
          </w:tcPr>
          <w:p>
            <w:pPr>
              <w:spacing w:line="240" w:lineRule="auto" w:after="0"/>
            </w:pPr>
            <w:r>
              <w:rPr>
                <w:rFonts w:ascii="Times New Roman" w:hAnsi="Times New Roman"/>
                <w:sz w:val="17"/>
              </w:rPr>
              <w:t>Dominant-hand grip strength</w:t>
            </w:r>
          </w:p>
        </w:tc>
        <w:tc>
          <w:tcPr>
            <w:tcW w:type="dxa" w:w="2160"/>
            <w:vAlign w:val="center"/>
          </w:tcPr>
          <w:p>
            <w:pPr>
              <w:spacing w:line="240" w:lineRule="auto" w:after="0"/>
            </w:pPr>
            <w:r>
              <w:rPr>
                <w:rFonts w:ascii="Times New Roman" w:hAnsi="Times New Roman"/>
                <w:sz w:val="17"/>
              </w:rPr>
              <w:t>20.9%</w:t>
            </w:r>
          </w:p>
        </w:tc>
        <w:tc>
          <w:tcPr>
            <w:tcW w:type="dxa" w:w="2160"/>
            <w:vAlign w:val="center"/>
          </w:tcPr>
          <w:p>
            <w:pPr>
              <w:spacing w:line="240" w:lineRule="auto" w:after="0"/>
            </w:pPr>
            <w:r>
              <w:rPr>
                <w:rFonts w:ascii="Times New Roman" w:hAnsi="Times New Roman"/>
                <w:sz w:val="17"/>
              </w:rPr>
              <w:t>15.8%</w:t>
            </w:r>
          </w:p>
        </w:tc>
      </w:tr>
      <w:tr>
        <w:tc>
          <w:tcPr>
            <w:tcW w:type="dxa" w:w="5760"/>
            <w:vAlign w:val="center"/>
          </w:tcPr>
          <w:p>
            <w:pPr>
              <w:spacing w:line="240" w:lineRule="auto" w:after="0"/>
            </w:pPr>
            <w:r>
              <w:rPr>
                <w:rFonts w:ascii="Times New Roman" w:hAnsi="Times New Roman"/>
                <w:sz w:val="17"/>
              </w:rPr>
              <w:t>Walking-test time</w:t>
            </w:r>
          </w:p>
        </w:tc>
        <w:tc>
          <w:tcPr>
            <w:tcW w:type="dxa" w:w="2160"/>
            <w:vAlign w:val="center"/>
          </w:tcPr>
          <w:p>
            <w:pPr>
              <w:spacing w:line="240" w:lineRule="auto" w:after="0"/>
            </w:pPr>
            <w:r>
              <w:rPr>
                <w:rFonts w:ascii="Times New Roman" w:hAnsi="Times New Roman"/>
                <w:sz w:val="17"/>
              </w:rPr>
              <w:t>23.5%</w:t>
            </w:r>
          </w:p>
        </w:tc>
        <w:tc>
          <w:tcPr>
            <w:tcW w:type="dxa" w:w="2160"/>
            <w:vAlign w:val="center"/>
          </w:tcPr>
          <w:p>
            <w:pPr>
              <w:spacing w:line="240" w:lineRule="auto" w:after="0"/>
            </w:pPr>
            <w:r>
              <w:rPr>
                <w:rFonts w:ascii="Times New Roman" w:hAnsi="Times New Roman"/>
                <w:sz w:val="17"/>
              </w:rPr>
              <w:t>17.3%</w:t>
            </w:r>
          </w:p>
        </w:tc>
      </w:tr>
      <w:tr>
        <w:tc>
          <w:tcPr>
            <w:tcW w:type="dxa" w:w="5760"/>
            <w:vAlign w:val="center"/>
          </w:tcPr>
          <w:p>
            <w:pPr>
              <w:spacing w:line="240" w:lineRule="auto" w:after="0"/>
            </w:pPr>
            <w:r>
              <w:rPr>
                <w:rFonts w:ascii="Times New Roman" w:hAnsi="Times New Roman"/>
                <w:sz w:val="17"/>
              </w:rPr>
              <w:t>Five-chair-stand time</w:t>
            </w:r>
          </w:p>
        </w:tc>
        <w:tc>
          <w:tcPr>
            <w:tcW w:type="dxa" w:w="2160"/>
            <w:vAlign w:val="center"/>
          </w:tcPr>
          <w:p>
            <w:pPr>
              <w:spacing w:line="240" w:lineRule="auto" w:after="0"/>
            </w:pPr>
            <w:r>
              <w:rPr>
                <w:rFonts w:ascii="Times New Roman" w:hAnsi="Times New Roman"/>
                <w:sz w:val="17"/>
              </w:rPr>
              <w:t>25.0%</w:t>
            </w:r>
          </w:p>
        </w:tc>
        <w:tc>
          <w:tcPr>
            <w:tcW w:type="dxa" w:w="2160"/>
            <w:vAlign w:val="center"/>
          </w:tcPr>
          <w:p>
            <w:pPr>
              <w:spacing w:line="240" w:lineRule="auto" w:after="0"/>
            </w:pPr>
            <w:r>
              <w:rPr>
                <w:rFonts w:ascii="Times New Roman" w:hAnsi="Times New Roman"/>
                <w:sz w:val="17"/>
              </w:rPr>
              <w:t>18.4%</w:t>
            </w:r>
          </w:p>
        </w:tc>
      </w:tr>
      <w:tr>
        <w:tc>
          <w:tcPr>
            <w:tcW w:type="dxa" w:w="5760"/>
            <w:vAlign w:val="center"/>
          </w:tcPr>
          <w:p>
            <w:pPr>
              <w:spacing w:line="240" w:lineRule="auto" w:after="0"/>
            </w:pPr>
            <w:r>
              <w:rPr>
                <w:rFonts w:ascii="Times New Roman" w:hAnsi="Times New Roman"/>
                <w:sz w:val="17"/>
              </w:rPr>
              <w:t>Measured body mass index</w:t>
            </w:r>
          </w:p>
        </w:tc>
        <w:tc>
          <w:tcPr>
            <w:tcW w:type="dxa" w:w="2160"/>
            <w:vAlign w:val="center"/>
          </w:tcPr>
          <w:p>
            <w:pPr>
              <w:spacing w:line="240" w:lineRule="auto" w:after="0"/>
            </w:pPr>
            <w:r>
              <w:rPr>
                <w:rFonts w:ascii="Times New Roman" w:hAnsi="Times New Roman"/>
                <w:sz w:val="17"/>
              </w:rPr>
              <w:t>19.4%</w:t>
            </w:r>
          </w:p>
        </w:tc>
        <w:tc>
          <w:tcPr>
            <w:tcW w:type="dxa" w:w="2160"/>
            <w:vAlign w:val="center"/>
          </w:tcPr>
          <w:p>
            <w:pPr>
              <w:spacing w:line="240" w:lineRule="auto" w:after="0"/>
            </w:pPr>
            <w:r>
              <w:rPr>
                <w:rFonts w:ascii="Times New Roman" w:hAnsi="Times New Roman"/>
                <w:sz w:val="17"/>
              </w:rPr>
              <w:t>14.4%</w:t>
            </w:r>
          </w:p>
        </w:tc>
      </w:tr>
    </w:tbl>
    <w:p>
      <w:pPr>
        <w:pStyle w:val="Heading1"/>
        <w:widowControl/>
      </w:pPr>
      <w:r>
        <w:rPr>
          <w:rFonts w:ascii="Times New Roman" w:hAnsi="Times New Roman"/>
        </w:rPr>
        <w:t>Supplementary Table S16. Objective physical performance extension</w:t>
      </w:r>
    </w:p>
    <w:tbl>
      <w:tblPr>
        <w:tblStyle w:val="TableGrid"/>
        <w:tblW w:type="auto" w:w="0"/>
        <w:jc w:val="center"/>
        <w:tblLayout w:type="autofit"/>
        <w:tblLook w:firstColumn="1" w:firstRow="1" w:lastColumn="0" w:lastRow="0" w:noHBand="0" w:noVBand="1" w:val="04A0"/>
      </w:tblPr>
      <w:tblGrid>
        <w:gridCol w:w="1872"/>
        <w:gridCol w:w="1872"/>
        <w:gridCol w:w="1872"/>
        <w:gridCol w:w="1872"/>
        <w:gridCol w:w="1872"/>
      </w:tblGrid>
      <w:tr>
        <w:trPr>
          <w:tblHeader w:val="true"/>
          <w:tblHeader w:val="true"/>
        </w:trPr>
        <w:tc>
          <w:tcPr>
            <w:tcW w:type="dxa" w:w="4320"/>
            <w:vAlign w:val="center"/>
            <w:tcMar>
              <w:top w:w="90" w:type="dxa"/>
              <w:start w:w="90" w:type="dxa"/>
              <w:bottom w:w="90" w:type="dxa"/>
              <w:end w:w="90" w:type="dxa"/>
            </w:tcMar>
          </w:tcPr>
          <w:p>
            <w:pPr>
              <w:spacing w:line="240" w:lineRule="auto" w:after="0"/>
            </w:pPr>
            <w:r>
              <w:rPr>
                <w:rFonts w:ascii="Times New Roman" w:hAnsi="Times New Roman"/>
                <w:b/>
                <w:sz w:val="17"/>
              </w:rPr>
              <w:t>Outcome</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Events</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AUROC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AUPRC</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Brier</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5,175</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0.724</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0.352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0.569</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361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0.728</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0.152</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0.063</w:t>
            </w:r>
          </w:p>
        </w:tc>
      </w:tr>
      <w:tr>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389</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0.761</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0.278</w:t>
            </w:r>
          </w:p>
        </w:tc>
        <w:tc>
          <w:tcPr>
            <w:tcW w:type="dxa" w:w="1872"/>
            <w:tcMar>
              <w:top w:w="90" w:type="dxa"/>
              <w:start w:w="90" w:type="dxa"/>
              <w:bottom w:w="90" w:type="dxa"/>
              <w:end w:w="90" w:type="dxa"/>
            </w:tcMar>
            <w:vAlign w:val="center"/>
          </w:tcPr>
          <w:p>
            <w:pPr>
              <w:spacing w:line="240" w:lineRule="auto" w:after="0"/>
            </w:pPr>
            <w:r>
              <w:rPr>
                <w:rFonts w:ascii="Times New Roman" w:hAnsi="Times New Roman"/>
                <w:sz w:val="17"/>
              </w:rPr>
              <w:t>0.062</w:t>
            </w:r>
          </w:p>
        </w:tc>
      </w:tr>
    </w:tbl>
    <w:p>
      <w:pPr>
        <w:widowControl/>
        <w:spacing w:line="480" w:lineRule="auto" w:after="0"/>
      </w:pPr>
      <w:r>
        <w:rPr>
          <w:rFonts w:ascii="Times New Roman" w:hAnsi="Times New Roman"/>
        </w:rPr>
        <w:t>The corresponding core-model estimates were macro-AUROC 0.722, dual-vulnerability AUROC 0.728, and death AUROC 0.755.</w:t>
      </w:r>
    </w:p>
    <w:p>
      <w:pPr>
        <w:pStyle w:val="Heading1"/>
        <w:widowControl/>
      </w:pPr>
      <w:r>
        <w:rPr>
          <w:rFonts w:ascii="Times New Roman" w:hAnsi="Times New Roman"/>
        </w:rPr>
        <w:t>Supplementary Table S17. Standardized model risk profiles</w:t>
      </w:r>
    </w:p>
    <w:tbl>
      <w:tblPr>
        <w:tblStyle w:val="TableGrid"/>
        <w:tblW w:type="auto" w:w="0"/>
        <w:jc w:val="center"/>
        <w:tblLayout w:type="autofit"/>
        <w:tblLook w:firstColumn="1" w:firstRow="1" w:lastColumn="0" w:lastRow="0" w:noHBand="0" w:noVBand="1" w:val="04A0"/>
      </w:tblPr>
      <w:tblGrid>
        <w:gridCol w:w="1170"/>
        <w:gridCol w:w="1170"/>
        <w:gridCol w:w="1170"/>
        <w:gridCol w:w="1170"/>
        <w:gridCol w:w="1170"/>
        <w:gridCol w:w="1170"/>
        <w:gridCol w:w="1170"/>
        <w:gridCol w:w="1170"/>
      </w:tblGrid>
      <w:tr>
        <w:trPr>
          <w:tblHeader w:val="true"/>
          <w:tblHeader w:val="true"/>
        </w:trPr>
        <w:tc>
          <w:tcPr>
            <w:tcW w:type="dxa" w:w="1584"/>
            <w:vAlign w:val="center"/>
            <w:tcMar>
              <w:top w:w="90" w:type="dxa"/>
              <w:start w:w="90" w:type="dxa"/>
              <w:bottom w:w="90" w:type="dxa"/>
              <w:end w:w="90" w:type="dxa"/>
            </w:tcMar>
          </w:tcPr>
          <w:p>
            <w:pPr>
              <w:spacing w:line="240" w:lineRule="auto" w:after="0"/>
            </w:pPr>
            <w:r>
              <w:rPr>
                <w:rFonts w:ascii="Times New Roman" w:hAnsi="Times New Roman"/>
                <w:b/>
                <w:sz w:val="17"/>
              </w:rPr>
              <w:t>Feature</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Set value</w:t>
            </w:r>
          </w:p>
        </w:tc>
        <w:tc>
          <w:tcPr>
            <w:tcW w:type="dxa" w:w="1440"/>
            <w:vAlign w:val="center"/>
            <w:tcMar>
              <w:top w:w="90" w:type="dxa"/>
              <w:start w:w="90" w:type="dxa"/>
              <w:bottom w:w="90" w:type="dxa"/>
              <w:end w:w="90" w:type="dxa"/>
            </w:tcMar>
          </w:tcPr>
          <w:p>
            <w:pPr>
              <w:spacing w:line="240" w:lineRule="auto" w:after="0"/>
            </w:pPr>
            <w:r>
              <w:rPr>
                <w:rFonts w:ascii="Times New Roman" w:hAnsi="Times New Roman"/>
                <w:b/>
                <w:sz w:val="17"/>
              </w:rPr>
              <w:t>No vulnerability</w:t>
            </w:r>
          </w:p>
        </w:tc>
        <w:tc>
          <w:tcPr>
            <w:tcW w:type="dxa" w:w="1152"/>
            <w:vAlign w:val="center"/>
            <w:tcMar>
              <w:top w:w="90" w:type="dxa"/>
              <w:start w:w="90" w:type="dxa"/>
              <w:bottom w:w="90" w:type="dxa"/>
              <w:end w:w="90" w:type="dxa"/>
            </w:tcMar>
          </w:tcPr>
          <w:p>
            <w:pPr>
              <w:spacing w:line="240" w:lineRule="auto" w:after="0"/>
            </w:pPr>
            <w:r>
              <w:rPr>
                <w:rFonts w:ascii="Times New Roman" w:hAnsi="Times New Roman"/>
                <w:b/>
                <w:sz w:val="17"/>
              </w:rPr>
              <w:t>ADL only</w:t>
            </w:r>
          </w:p>
        </w:tc>
        <w:tc>
          <w:tcPr>
            <w:tcW w:type="dxa" w:w="1152"/>
            <w:vAlign w:val="center"/>
            <w:tcMar>
              <w:top w:w="90" w:type="dxa"/>
              <w:start w:w="90" w:type="dxa"/>
              <w:bottom w:w="90" w:type="dxa"/>
              <w:end w:w="90" w:type="dxa"/>
            </w:tcMar>
          </w:tcPr>
          <w:p>
            <w:pPr>
              <w:spacing w:line="240" w:lineRule="auto" w:after="0"/>
            </w:pPr>
            <w:r>
              <w:rPr>
                <w:rFonts w:ascii="Times New Roman" w:hAnsi="Times New Roman"/>
                <w:b/>
                <w:sz w:val="17"/>
              </w:rPr>
              <w:t>CHE only</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Dual</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Death</w:t>
            </w:r>
          </w:p>
        </w:tc>
        <w:tc>
          <w:tcPr>
            <w:tcW w:type="dxa" w:w="1368"/>
            <w:vAlign w:val="center"/>
            <w:tcMar>
              <w:top w:w="90" w:type="dxa"/>
              <w:start w:w="90" w:type="dxa"/>
              <w:bottom w:w="90" w:type="dxa"/>
              <w:end w:w="90" w:type="dxa"/>
            </w:tcMar>
          </w:tcPr>
          <w:p>
            <w:pPr>
              <w:spacing w:line="240" w:lineRule="auto" w:after="0"/>
            </w:pPr>
            <w:r>
              <w:rPr>
                <w:rFonts w:ascii="Times New Roman" w:hAnsi="Times New Roman"/>
                <w:b/>
                <w:sz w:val="17"/>
              </w:rPr>
              <w:t>ADL or death</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age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55.5%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27.5%</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age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50.5%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19.7%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8.4%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34.0%</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age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44.3%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22.4%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13.6%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8.6%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42.1%</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adl_count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54.5%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28.7%</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adl_count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49.4%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19.9%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8.6%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35.0%</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adl_count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38.2%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26.7%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12.6%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11.5%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49.2%</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chronic_count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60.2%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24.5%</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chronic_count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52.1%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18.3%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31.8%</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chronic_count</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43.3%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21.3%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12.0%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40.5%</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origin_state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55.6%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7.0%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28.9%</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origin_state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44.1%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26.6%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14.5%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9.2%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41.5%</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origin_state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48.4%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19.9%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8.5%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6.2%</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31.7%</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origin_state</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47.9%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14.9%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37.2%</w:t>
            </w:r>
          </w:p>
        </w:tc>
      </w:tr>
    </w:tbl>
    <w:p>
      <w:pPr>
        <w:widowControl/>
        <w:spacing w:line="480" w:lineRule="auto" w:after="0"/>
      </w:pPr>
      <w:r>
        <w:rPr>
          <w:rFonts w:ascii="Times New Roman" w:hAnsi="Times New Roman"/>
        </w:rPr>
        <w:t>Each profile set one predictor to the listed value in all temporal observations while retaining all other observed predictors. Values describe model behavior and are not causal contrasts.</w:t>
      </w:r>
    </w:p>
    <w:p>
      <w:pPr>
        <w:pStyle w:val="Heading1"/>
        <w:widowControl/>
      </w:pPr>
      <w:r>
        <w:rPr>
          <w:rFonts w:ascii="Times New Roman" w:hAnsi="Times New Roman"/>
        </w:rPr>
        <w:t>Supplementary Table S18. Capacity-based risk strata</w:t>
      </w:r>
    </w:p>
    <w:tbl>
      <w:tblPr>
        <w:tblStyle w:val="TableGrid"/>
        <w:tblW w:type="auto" w:w="0"/>
        <w:jc w:val="center"/>
        <w:tblLayout w:type="autofit"/>
        <w:tblLook w:firstColumn="1" w:firstRow="1" w:lastColumn="0" w:lastRow="0" w:noHBand="0" w:noVBand="1" w:val="04A0"/>
      </w:tblPr>
      <w:tblGrid>
        <w:gridCol w:w="1170"/>
        <w:gridCol w:w="1170"/>
        <w:gridCol w:w="1170"/>
        <w:gridCol w:w="1170"/>
        <w:gridCol w:w="1170"/>
        <w:gridCol w:w="1170"/>
        <w:gridCol w:w="1170"/>
        <w:gridCol w:w="1170"/>
      </w:tblGrid>
      <w:tr>
        <w:trPr>
          <w:tblHeader w:val="true"/>
          <w:tblHeader w:val="true"/>
        </w:trPr>
        <w:tc>
          <w:tcPr>
            <w:tcW w:type="dxa" w:w="2232"/>
            <w:vAlign w:val="center"/>
            <w:tcMar>
              <w:top w:w="90" w:type="dxa"/>
              <w:start w:w="90" w:type="dxa"/>
              <w:bottom w:w="90" w:type="dxa"/>
              <w:end w:w="90" w:type="dxa"/>
            </w:tcMar>
          </w:tcPr>
          <w:p>
            <w:pPr>
              <w:spacing w:line="240" w:lineRule="auto" w:after="0"/>
            </w:pPr>
            <w:r>
              <w:rPr>
                <w:rFonts w:ascii="Times New Roman" w:hAnsi="Times New Roman"/>
                <w:b/>
                <w:sz w:val="17"/>
              </w:rPr>
              <w:t>Outcome</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Top risk</w:t>
            </w:r>
          </w:p>
        </w:tc>
        <w:tc>
          <w:tcPr>
            <w:tcW w:type="dxa" w:w="1080"/>
            <w:vAlign w:val="center"/>
            <w:tcMar>
              <w:top w:w="90" w:type="dxa"/>
              <w:start w:w="90" w:type="dxa"/>
              <w:bottom w:w="90" w:type="dxa"/>
              <w:end w:w="90" w:type="dxa"/>
            </w:tcMar>
          </w:tcPr>
          <w:p>
            <w:pPr>
              <w:spacing w:line="240" w:lineRule="auto" w:after="0"/>
            </w:pPr>
            <w:r>
              <w:rPr>
                <w:rFonts w:ascii="Times New Roman" w:hAnsi="Times New Roman"/>
                <w:b/>
                <w:sz w:val="17"/>
              </w:rPr>
              <w:t>Threshold</w:t>
            </w:r>
          </w:p>
        </w:tc>
        <w:tc>
          <w:tcPr>
            <w:tcW w:type="dxa" w:w="1080"/>
            <w:vAlign w:val="center"/>
            <w:tcMar>
              <w:top w:w="90" w:type="dxa"/>
              <w:start w:w="90" w:type="dxa"/>
              <w:bottom w:w="90" w:type="dxa"/>
              <w:end w:w="90" w:type="dxa"/>
            </w:tcMar>
          </w:tcPr>
          <w:p>
            <w:pPr>
              <w:spacing w:line="240" w:lineRule="auto" w:after="0"/>
            </w:pPr>
            <w:r>
              <w:rPr>
                <w:rFonts w:ascii="Times New Roman" w:hAnsi="Times New Roman"/>
                <w:b/>
                <w:sz w:val="17"/>
              </w:rPr>
              <w:t>Flagged N</w:t>
            </w:r>
          </w:p>
        </w:tc>
        <w:tc>
          <w:tcPr>
            <w:tcW w:type="dxa" w:w="1296"/>
            <w:vAlign w:val="center"/>
            <w:tcMar>
              <w:top w:w="90" w:type="dxa"/>
              <w:start w:w="90" w:type="dxa"/>
              <w:bottom w:w="90" w:type="dxa"/>
              <w:end w:w="90" w:type="dxa"/>
            </w:tcMar>
          </w:tcPr>
          <w:p>
            <w:pPr>
              <w:spacing w:line="240" w:lineRule="auto" w:after="0"/>
            </w:pPr>
            <w:r>
              <w:rPr>
                <w:rFonts w:ascii="Times New Roman" w:hAnsi="Times New Roman"/>
                <w:b/>
                <w:sz w:val="17"/>
              </w:rPr>
              <w:t>Events captured</w:t>
            </w:r>
          </w:p>
        </w:tc>
        <w:tc>
          <w:tcPr>
            <w:tcW w:type="dxa" w:w="1152"/>
            <w:vAlign w:val="center"/>
            <w:tcMar>
              <w:top w:w="90" w:type="dxa"/>
              <w:start w:w="90" w:type="dxa"/>
              <w:bottom w:w="90" w:type="dxa"/>
              <w:end w:w="90" w:type="dxa"/>
            </w:tcMar>
          </w:tcPr>
          <w:p>
            <w:pPr>
              <w:spacing w:line="240" w:lineRule="auto" w:after="0"/>
            </w:pPr>
            <w:r>
              <w:rPr>
                <w:rFonts w:ascii="Times New Roman" w:hAnsi="Times New Roman"/>
                <w:b/>
                <w:sz w:val="17"/>
              </w:rPr>
              <w:t>Sensitivity</w:t>
            </w:r>
          </w:p>
        </w:tc>
        <w:tc>
          <w:tcPr>
            <w:tcW w:type="dxa" w:w="936"/>
            <w:vAlign w:val="center"/>
            <w:tcMar>
              <w:top w:w="90" w:type="dxa"/>
              <w:start w:w="90" w:type="dxa"/>
              <w:bottom w:w="90" w:type="dxa"/>
              <w:end w:w="90" w:type="dxa"/>
            </w:tcMar>
          </w:tcPr>
          <w:p>
            <w:pPr>
              <w:spacing w:line="240" w:lineRule="auto" w:after="0"/>
            </w:pPr>
            <w:r>
              <w:rPr>
                <w:rFonts w:ascii="Times New Roman" w:hAnsi="Times New Roman"/>
                <w:b/>
                <w:sz w:val="17"/>
              </w:rPr>
              <w:t>PPV</w:t>
            </w:r>
          </w:p>
        </w:tc>
        <w:tc>
          <w:tcPr>
            <w:tcW w:type="dxa" w:w="1080"/>
            <w:vAlign w:val="center"/>
            <w:tcMar>
              <w:top w:w="90" w:type="dxa"/>
              <w:start w:w="90" w:type="dxa"/>
              <w:bottom w:w="90" w:type="dxa"/>
              <w:end w:w="90" w:type="dxa"/>
            </w:tcMar>
          </w:tcPr>
          <w:p>
            <w:pPr>
              <w:spacing w:line="240" w:lineRule="auto" w:after="0"/>
            </w:pPr>
            <w:r>
              <w:rPr>
                <w:rFonts w:ascii="Times New Roman" w:hAnsi="Times New Roman"/>
                <w:b/>
                <w:sz w:val="17"/>
              </w:rPr>
              <w:t>Risk ratio</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0.177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518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93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25.8%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18.0%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3.12</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0.121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44.3%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3.18</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0.091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1,553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216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59.8%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13.9%</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3.47</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518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148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38.0%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28.6%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5.52</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0.083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4.60</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0.058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1,553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254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65.3%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16.4%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4.39</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 or 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0.310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518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27.5%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39.8%</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3.40</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 or 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0.215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1,035</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346</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46.1%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33.4%</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3.43</w:t>
            </w:r>
          </w:p>
        </w:tc>
      </w:tr>
      <w:tr>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Dual vulnerability or death</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30%</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0.161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1,553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437</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58.3%</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28.1%</w:t>
            </w:r>
          </w:p>
        </w:tc>
        <w:tc>
          <w:tcPr>
            <w:tcW w:type="dxa" w:w="1170"/>
            <w:tcMar>
              <w:top w:w="90" w:type="dxa"/>
              <w:start w:w="90" w:type="dxa"/>
              <w:bottom w:w="90" w:type="dxa"/>
              <w:end w:w="90" w:type="dxa"/>
            </w:tcMar>
            <w:vAlign w:val="center"/>
          </w:tcPr>
          <w:p>
            <w:pPr>
              <w:spacing w:line="240" w:lineRule="auto" w:after="0"/>
            </w:pPr>
            <w:r>
              <w:rPr>
                <w:rFonts w:ascii="Times New Roman" w:hAnsi="Times New Roman"/>
                <w:sz w:val="17"/>
              </w:rPr>
              <w:t>3.26</w:t>
            </w:r>
          </w:p>
        </w:tc>
      </w:tr>
    </w:tbl>
    <w:p>
      <w:pPr>
        <w:pStyle w:val="Heading1"/>
        <w:widowControl/>
      </w:pPr>
      <w:r>
        <w:rPr>
          <w:rFonts w:ascii="Times New Roman" w:hAnsi="Times New Roman"/>
        </w:rPr>
        <w:t>Supplementary Table S19. Inverse-probability-of-observation-weighted performance</w:t>
      </w:r>
    </w:p>
    <w:tbl>
      <w:tblPr>
        <w:tblStyle w:val="TableGrid"/>
        <w:tblW w:type="auto" w:w="0"/>
        <w:jc w:val="center"/>
        <w:tblLayout w:type="autofit"/>
        <w:tblLook w:firstColumn="1" w:firstRow="1" w:lastColumn="0" w:lastRow="0" w:noHBand="0" w:noVBand="1" w:val="04A0"/>
      </w:tblPr>
      <w:tblGrid>
        <w:gridCol w:w="2340"/>
        <w:gridCol w:w="2340"/>
        <w:gridCol w:w="2340"/>
        <w:gridCol w:w="2340"/>
      </w:tblGrid>
      <w:tr>
        <w:trPr>
          <w:tblHeader w:val="true"/>
          <w:tblHeader w:val="true"/>
        </w:trPr>
        <w:tc>
          <w:tcPr>
            <w:tcW w:type="dxa" w:w="4896"/>
            <w:vAlign w:val="center"/>
            <w:tcMar>
              <w:top w:w="90" w:type="dxa"/>
              <w:start w:w="90" w:type="dxa"/>
              <w:bottom w:w="90" w:type="dxa"/>
              <w:end w:w="90" w:type="dxa"/>
            </w:tcMar>
          </w:tcPr>
          <w:p>
            <w:pPr>
              <w:spacing w:line="240" w:lineRule="auto" w:after="0"/>
            </w:pPr>
            <w:r>
              <w:rPr>
                <w:rFonts w:ascii="Times New Roman" w:hAnsi="Times New Roman"/>
                <w:b/>
                <w:sz w:val="17"/>
              </w:rPr>
              <w:t>State</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AUROC</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AUPRC</w:t>
            </w:r>
          </w:p>
        </w:tc>
        <w:tc>
          <w:tcPr>
            <w:tcW w:type="dxa" w:w="1728"/>
            <w:vAlign w:val="center"/>
            <w:tcMar>
              <w:top w:w="90" w:type="dxa"/>
              <w:start w:w="90" w:type="dxa"/>
              <w:bottom w:w="90" w:type="dxa"/>
              <w:end w:w="90" w:type="dxa"/>
            </w:tcMar>
          </w:tcPr>
          <w:p>
            <w:pPr>
              <w:spacing w:line="240" w:lineRule="auto" w:after="0"/>
            </w:pPr>
            <w:r>
              <w:rPr>
                <w:rFonts w:ascii="Times New Roman" w:hAnsi="Times New Roman"/>
                <w:b/>
                <w:sz w:val="17"/>
              </w:rPr>
              <w:t>Weighted Brier</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No ADL difficulty and no CHE</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0.746</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0.749</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0.203</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ADL difficulty only</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0.753</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0.381</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0.124</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CHE only</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0.629</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0.198</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0.116</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Dual vulnerability</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0.728</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0.152</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0.062</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Death</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0.758</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0.274</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0.064</w:t>
            </w:r>
          </w:p>
        </w:tc>
      </w:tr>
      <w:tr>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Overall</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0.723</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0.351</w:t>
            </w:r>
          </w:p>
        </w:tc>
        <w:tc>
          <w:tcPr>
            <w:tcW w:type="dxa" w:w="2340"/>
            <w:tcMar>
              <w:top w:w="90" w:type="dxa"/>
              <w:start w:w="90" w:type="dxa"/>
              <w:bottom w:w="90" w:type="dxa"/>
              <w:end w:w="90" w:type="dxa"/>
            </w:tcMar>
            <w:vAlign w:val="center"/>
          </w:tcPr>
          <w:p>
            <w:pPr>
              <w:spacing w:line="240" w:lineRule="auto" w:after="0"/>
            </w:pPr>
            <w:r>
              <w:rPr>
                <w:rFonts w:ascii="Times New Roman" w:hAnsi="Times New Roman"/>
                <w:sz w:val="17"/>
              </w:rPr>
              <w:t>0.568</w:t>
            </w:r>
          </w:p>
        </w:tc>
      </w:tr>
    </w:tbl>
    <w:p>
      <w:pPr>
        <w:pStyle w:val="Heading1"/>
        <w:widowControl/>
      </w:pPr>
      <w:r>
        <w:rPr>
          <w:rFonts w:ascii="Times New Roman" w:hAnsi="Times New Roman"/>
        </w:rPr>
        <w:t>Supplementary Table S20. Retention profile among valid origin states</w:t>
      </w:r>
    </w:p>
    <w:p>
      <w:pPr>
        <w:widowControl/>
        <w:spacing w:line="480" w:lineRule="auto" w:after="0"/>
      </w:pPr>
      <w:r>
        <w:rPr>
          <w:rFonts w:ascii="Times New Roman" w:hAnsi="Times New Roman"/>
        </w:rPr>
        <w:t>Groups are defined by whether the next-wave living state or death was observed. These descriptive comparisons do not remove bias from unmeasured determinants of attrition.</w:t>
      </w:r>
    </w:p>
    <w:tbl>
      <w:tblPr>
        <w:tblW w:type="auto" w:w="0"/>
        <w:jc w:val="center"/>
        <w:tblLayout w:type="autofit"/>
        <w:tblLook w:firstColumn="1" w:firstRow="1" w:lastColumn="0" w:lastRow="0" w:noHBand="0" w:noVBand="1" w:val="04A0"/>
      </w:tblPr>
      <w:tblGrid>
        <w:gridCol w:w="1560"/>
        <w:gridCol w:w="1560"/>
        <w:gridCol w:w="1560"/>
        <w:gridCol w:w="1560"/>
        <w:gridCol w:w="1560"/>
        <w:gridCol w:w="1560"/>
      </w:tblGrid>
      <w:tr>
        <w:trPr>
          <w:tblHeader w:val="true"/>
        </w:trPr>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Transition</w:t>
            </w:r>
          </w:p>
        </w:tc>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Group</w:t>
            </w:r>
          </w:p>
        </w:tc>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N</w:t>
            </w:r>
          </w:p>
        </w:tc>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Age, mean</w:t>
            </w:r>
          </w:p>
        </w:tc>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Women</w:t>
            </w:r>
          </w:p>
        </w:tc>
        <w:tc>
          <w:tcPr>
            <w:tcW w:type="dxa" w:w="1560"/>
            <w:tcMar>
              <w:top w:w="90" w:type="dxa"/>
              <w:start w:w="90" w:type="dxa"/>
              <w:bottom w:w="90" w:type="dxa"/>
              <w:end w:w="90" w:type="dxa"/>
            </w:tcMar>
            <w:vAlign w:val="center"/>
          </w:tcPr>
          <w:p>
            <w:pPr>
              <w:spacing w:line="240" w:lineRule="auto" w:after="0"/>
            </w:pPr>
            <w:r>
              <w:rPr>
                <w:rFonts w:ascii="Times New Roman" w:hAnsi="Times New Roman"/>
                <w:b/>
                <w:sz w:val="17"/>
              </w:rPr>
              <w:t>ADL difficulty</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1-&gt;2</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Retained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3,696</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67.5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47.5%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25.5%</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1-&gt;2</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Destination unobserved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2,064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69.2</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53.2%</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25.4%</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2-&gt;3</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Retained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3,995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67.1</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46.6%</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22.6%</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2-&gt;3</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Destination unobserved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1,697</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68.8</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51.9%</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24.2%</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3-&gt;4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Retained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5,175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67.5</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48.1%</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26.2%</w:t>
            </w:r>
          </w:p>
        </w:tc>
      </w:tr>
      <w:tr>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3-&gt;4</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Destination unobserved</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1,399</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67.8</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50.3%</w:t>
            </w:r>
          </w:p>
        </w:tc>
        <w:tc>
          <w:tcPr>
            <w:tcW w:type="dxa" w:w="1560"/>
            <w:tcMar>
              <w:top w:w="90" w:type="dxa"/>
              <w:start w:w="90" w:type="dxa"/>
              <w:bottom w:w="90" w:type="dxa"/>
              <w:end w:w="90" w:type="dxa"/>
            </w:tcMar>
            <w:vAlign w:val="center"/>
          </w:tcPr>
          <w:p>
            <w:pPr>
              <w:spacing w:line="240" w:lineRule="auto" w:after="0"/>
            </w:pPr>
            <w:r>
              <w:rPr>
                <w:rFonts w:ascii="Times New Roman" w:hAnsi="Times New Roman"/>
                <w:sz w:val="17"/>
              </w:rPr>
              <w:t>24.6%</w:t>
            </w:r>
          </w:p>
        </w:tc>
      </w:tr>
    </w:tbl>
    <w:p>
      <w:pPr>
        <w:widowControl/>
        <w:spacing w:line="480" w:lineRule="auto" w:after="0"/>
      </w:pPr>
      <w:r>
        <w:rPr>
          <w:rFonts w:ascii="Times New Roman" w:hAnsi="Times New Roman"/>
        </w:rPr>
        <w:t>In 2015, 5,175 of 6,574 valid origins (78.7%) had an observed 2018 destination. The observation model had a median predicted observation probability of 0.797; stabilized weights were at most 1.858, and the effective weighted validation size was 5,140.</w:t>
      </w:r>
    </w:p>
    <w:sectPr w:rsidR="00FC693F" w:rsidRPr="0006063C" w:rsidSect="00034616">
      <w:footerReference w:type="default" r:id="rId9"/>
      <w:pgSz w:w="12240" w:h="15840"/>
      <w:pgMar w:top="1440" w:right="1440" w:bottom="1440" w:left="1440" w:header="720" w:footer="720" w:gutter="0"/>
      <w:cols w:space="720"/>
      <w:docGrid w:linePitch="360"/>
      <w:lnNumType w:countBy="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Times New Roman" w:hAnsi="Times New Roman" w:eastAsia="Arial"/>
      <w:b/>
      <w:bCs/>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Times New Roman" w:hAnsi="Times New Roman" w:eastAsia="Arial"/>
      <w:b/>
      <w:bCs/>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Times New Roman" w:hAnsi="Times New Roman" w:eastAsia="Arial"/>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60"/>
      <w:contextualSpacing/>
    </w:pPr>
    <w:rPr>
      <w:rFonts w:asciiTheme="majorHAnsi" w:eastAsiaTheme="majorEastAsia" w:hAnsiTheme="majorHAnsi" w:cstheme="majorBidi" w:ascii="Arial" w:hAnsi="Arial" w:eastAsia="Arial"/>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0" w:line="480" w:lineRule="auto"/>
    </w:pPr>
    <w:rPr>
      <w:rFonts w:ascii="Times New Roman" w:hAnsi="Times New Roman"/>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