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rPr>
          <w:rFonts w:ascii="Times New Roman" w:hAnsi="Times New Roman"/>
        </w:rPr>
        <w:t>Additional file 2: TRIPOD+AI reporting checklist</w:t>
      </w:r>
    </w:p>
    <w:p>
      <w:pPr>
        <w:widowControl/>
        <w:spacing w:line="480" w:lineRule="auto" w:after="0"/>
      </w:pPr>
      <w:r>
        <w:rPr>
          <w:rFonts w:ascii="Times New Roman" w:hAnsi="Times New Roman"/>
          <w:i/>
        </w:rPr>
        <w:t>Predicting transitions between functional and financial vulnerability states and death in older Chinese adults: a longitudinal CHARLS study with temporal evaluation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1440"/>
            <w:vAlign w:val="center"/>
          </w:tcPr>
          <w:p>
            <w:r>
              <w:rPr>
                <w:b/>
                <w:sz w:val="18"/>
              </w:rPr>
              <w:t>TRIPOD+AI item</w:t>
            </w:r>
          </w:p>
        </w:tc>
        <w:tc>
          <w:tcPr>
            <w:tcW w:type="dxa" w:w="6192"/>
            <w:vAlign w:val="center"/>
          </w:tcPr>
          <w:p>
            <w:r>
              <w:rPr>
                <w:b/>
                <w:sz w:val="18"/>
              </w:rPr>
              <w:t>Reporting element</w:t>
            </w:r>
          </w:p>
        </w:tc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Location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Identify study as prediction model development/evaluation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Title; Abstract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Structured abstract including objectives, data, participants, outcome, predictors, sample size, missing data, analysis, and performance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Abstract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3–4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Medical context, rationale, objectives, and intended use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Background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Data source and study design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Study design and data source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Setting, dates, and eligibility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Landmark cohort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Outcome definition and assessment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Outcome states; Supplement S2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Predictor definition and availability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Predictors; Supplement S2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Sample size and events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Results: Cohort; Figure 1; Supplement S1/S3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Missing data handling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Model development; Results; Supplement S4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Data preparation and transformations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Model development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Model type, fitting, and hyperparameters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Model development; Supplement S5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Internal and temporal evaluation</w:t>
            </w:r>
          </w:p>
        </w:tc>
        <w:tc>
          <w:tcPr>
            <w:tcW w:type="dxa" w:w="3168"/>
            <w:vAlign w:val="center"/>
          </w:tcPr>
          <w:p>
            <w:r>
              <w:t>Methods: primary and late component temporal evaluation; Supplement S13–S14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Performance measures and confidence intervals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Performance and interpretation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Subgroup and fairness evaluation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Sensitivity analyses; Results; Supplement S11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Model interpretation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Performance and interpretation; Figure 4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Software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Methods: Software; Supplement note 2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Open science: protocol, data, and code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Declarations: Availability; Supplement note 2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Patient and public involvement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No patient/public involvement in this secondary analysis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Participant flow and characteristics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Figure 1; Table 1; Supplement S1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21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Outcome frequencies and missingness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Results; Supplement S3/S4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22–23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Model performance with uncertainty and calibration</w:t>
            </w:r>
          </w:p>
        </w:tc>
        <w:tc>
          <w:tcPr>
            <w:tcW w:type="dxa" w:w="3168"/>
            <w:vAlign w:val="center"/>
          </w:tcPr>
          <w:p>
            <w:r>
              <w:t>Tables 2-4; Figures 3, 5, and 6; Supplement S6-S20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Model specification and availability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Supplement S5; code bundle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25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Limitations and bias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Discussion: Strengths and limitations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26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Interpretation and comparison with literature</w:t>
            </w:r>
          </w:p>
        </w:tc>
        <w:tc>
          <w:tcPr>
            <w:tcW w:type="dxa" w:w="3168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Discussion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27</w:t>
            </w:r>
          </w:p>
        </w:tc>
        <w:tc>
          <w:tcPr>
            <w:tcW w:type="dxa" w:w="619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Implications, usability, and next steps</w:t>
            </w:r>
          </w:p>
        </w:tc>
        <w:tc>
          <w:tcPr>
            <w:tcW w:type="dxa" w:w="3168"/>
            <w:vAlign w:val="center"/>
          </w:tcPr>
          <w:p>
            <w:r>
              <w:t>Discussion: clinical pathway and capacity-based risk strata; Conclusions</w:t>
            </w:r>
          </w:p>
        </w:tc>
      </w:tr>
    </w:tbl>
    <w:p>
      <w:pPr>
        <w:widowControl/>
        <w:spacing w:line="480" w:lineRule="auto" w:after="0"/>
      </w:pPr>
      <w:r>
        <w:rPr>
          <w:rFonts w:ascii="Times New Roman" w:hAnsi="Times New Roman"/>
          <w:i w:val="0"/>
        </w:rPr>
        <w:t>Reference: Collins GS, Moons KGM, Dhiman P, et al. BMJ. 2024;385:e078378.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  <w:lnNumType w:countBy="1" w:restart="continuous" w:distance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480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Times New Roman" w:hAnsi="Times New Roman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Times New Roman" w:hAnsi="Times New Roman" w:eastAsia="Arial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Times New Roman" w:hAnsi="Times New Roman" w:eastAsia="Arial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0" w:line="480" w:lineRule="auto"/>
    </w:pPr>
    <w:rPr>
      <w:rFonts w:ascii="Times New Roman" w:hAnsi="Times New Roman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