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165" w:tblpY="0"/>
        <w:tblW w:w="9105.0" w:type="dxa"/>
        <w:jc w:val="left"/>
        <w:tblInd w:w="-103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00"/>
        <w:gridCol w:w="2520"/>
        <w:gridCol w:w="1710"/>
        <w:gridCol w:w="1905"/>
        <w:gridCol w:w="1770"/>
        <w:tblGridChange w:id="0">
          <w:tblGrid>
            <w:gridCol w:w="1200"/>
            <w:gridCol w:w="2520"/>
            <w:gridCol w:w="1710"/>
            <w:gridCol w:w="1905"/>
            <w:gridCol w:w="1770"/>
          </w:tblGrid>
        </w:tblGridChange>
      </w:tblGrid>
      <w:tr>
        <w:trPr>
          <w:cantSplit w:val="0"/>
          <w:trHeight w:val="395.92529296875" w:hRule="atLeast"/>
          <w:tblHeader w:val="0"/>
        </w:trPr>
        <w:tc>
          <w:tcPr>
            <w:gridSpan w:val="5"/>
            <w:tcBorders>
              <w:bottom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Table S1.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Predictive Mean Matching Imputation Detail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.373046875" w:hRule="atLeast"/>
          <w:tblHeader w:val="0"/>
        </w:trPr>
        <w:tc>
          <w:tcPr>
            <w:tcBorders>
              <w:top w:color="000000" w:space="0" w:sz="6" w:val="single"/>
              <w:bottom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Recipient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Target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Donor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Donor Value</w:t>
            </w:r>
          </w:p>
        </w:tc>
        <w:tc>
          <w:tcPr>
            <w:tcBorders>
              <w:top w:color="000000" w:space="0" w:sz="6" w:val="single"/>
              <w:bottom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Imputed Value</w:t>
            </w:r>
          </w:p>
        </w:tc>
      </w:tr>
      <w:tr>
        <w:trPr>
          <w:cantSplit w:val="0"/>
          <w:trHeight w:val="407.17529296875" w:hRule="atLeast"/>
          <w:tblHeader w:val="0"/>
        </w:trPr>
        <w:tc>
          <w:tcPr>
            <w:tcBorders>
              <w:top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P04</w:t>
            </w:r>
          </w:p>
        </w:tc>
        <w:tc>
          <w:tcPr>
            <w:tcBorders>
              <w:top w:color="d0d0d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Task 1 (Affected)</w:t>
            </w:r>
          </w:p>
        </w:tc>
        <w:tc>
          <w:tcPr>
            <w:tcBorders>
              <w:top w:color="d0d0d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P53</w:t>
            </w:r>
          </w:p>
        </w:tc>
        <w:tc>
          <w:tcPr>
            <w:tcBorders>
              <w:top w:color="d0d0d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36,51</w:t>
            </w:r>
          </w:p>
        </w:tc>
        <w:tc>
          <w:tcPr>
            <w:tcBorders>
              <w:top w:color="d0d0d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36,51</w:t>
            </w:r>
          </w:p>
        </w:tc>
      </w:tr>
      <w:tr>
        <w:trPr>
          <w:cantSplit w:val="0"/>
          <w:trHeight w:val="407.17529296875" w:hRule="atLeast"/>
          <w:tblHeader w:val="0"/>
        </w:trPr>
        <w:tc>
          <w:tcPr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P17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Task 1 (Affected)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P54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57,99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57,99</w:t>
            </w:r>
          </w:p>
        </w:tc>
      </w:tr>
      <w:tr>
        <w:trPr>
          <w:cantSplit w:val="0"/>
          <w:trHeight w:val="407.17529296875" w:hRule="atLeast"/>
          <w:tblHeader w:val="0"/>
        </w:trPr>
        <w:tc>
          <w:tcPr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P21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Task 1 (Affected)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P05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41,73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41,73</w:t>
            </w:r>
          </w:p>
        </w:tc>
      </w:tr>
      <w:tr>
        <w:trPr>
          <w:cantSplit w:val="0"/>
          <w:trHeight w:val="407.17529296875" w:hRule="atLeast"/>
          <w:tblHeader w:val="0"/>
        </w:trPr>
        <w:tc>
          <w:tcPr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P37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Task 1 (Affected)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P55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67,7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67,7</w:t>
            </w:r>
          </w:p>
        </w:tc>
      </w:tr>
      <w:tr>
        <w:trPr>
          <w:cantSplit w:val="0"/>
          <w:trHeight w:val="407.17529296875" w:hRule="atLeast"/>
          <w:tblHeader w:val="0"/>
        </w:trPr>
        <w:tc>
          <w:tcPr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P41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Task 1 (Affected)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P05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41,73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41,73</w:t>
            </w:r>
          </w:p>
        </w:tc>
      </w:tr>
      <w:tr>
        <w:trPr>
          <w:cantSplit w:val="0"/>
          <w:trHeight w:val="407.17529296875" w:hRule="atLeast"/>
          <w:tblHeader w:val="0"/>
        </w:trPr>
        <w:tc>
          <w:tcPr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5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P59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Task 1 (Affected)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P25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20,88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20,88</w:t>
            </w:r>
          </w:p>
        </w:tc>
      </w:tr>
      <w:tr>
        <w:trPr>
          <w:cantSplit w:val="0"/>
          <w:trHeight w:val="407.17529296875" w:hRule="atLeast"/>
          <w:tblHeader w:val="0"/>
        </w:trPr>
        <w:tc>
          <w:tcPr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P13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Task 7 (Affected)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P53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47,99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47,99</w:t>
            </w:r>
          </w:p>
        </w:tc>
      </w:tr>
      <w:tr>
        <w:trPr>
          <w:cantSplit w:val="0"/>
          <w:trHeight w:val="407.17529296875" w:hRule="atLeast"/>
          <w:tblHeader w:val="0"/>
        </w:trPr>
        <w:tc>
          <w:tcPr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P04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Task 1 (Non-Affected)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P08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20,27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20,27</w:t>
            </w:r>
          </w:p>
        </w:tc>
      </w:tr>
      <w:tr>
        <w:trPr>
          <w:cantSplit w:val="0"/>
          <w:trHeight w:val="407.17529296875" w:hRule="atLeast"/>
          <w:tblHeader w:val="0"/>
        </w:trPr>
        <w:tc>
          <w:tcPr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P17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Task 1 (Non-Affected)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P18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81,19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81,19</w:t>
            </w:r>
          </w:p>
        </w:tc>
      </w:tr>
      <w:tr>
        <w:trPr>
          <w:cantSplit w:val="0"/>
          <w:trHeight w:val="407.17529296875" w:hRule="atLeast"/>
          <w:tblHeader w:val="0"/>
        </w:trPr>
        <w:tc>
          <w:tcPr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P21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Task 1 (Non-Affected)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P34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48,77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48,77</w:t>
            </w:r>
          </w:p>
        </w:tc>
      </w:tr>
      <w:tr>
        <w:trPr>
          <w:cantSplit w:val="0"/>
          <w:trHeight w:val="407.17529296875" w:hRule="atLeast"/>
          <w:tblHeader w:val="0"/>
        </w:trPr>
        <w:tc>
          <w:tcPr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P37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Task 1 (Non-Affected)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P56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10,14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10,14</w:t>
            </w:r>
          </w:p>
        </w:tc>
      </w:tr>
      <w:tr>
        <w:trPr>
          <w:cantSplit w:val="0"/>
          <w:trHeight w:val="407.17529296875" w:hRule="atLeast"/>
          <w:tblHeader w:val="0"/>
        </w:trPr>
        <w:tc>
          <w:tcPr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P41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Task 1 (Non-Affected)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P34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48,77</w:t>
            </w:r>
          </w:p>
        </w:tc>
        <w:tc>
          <w:tcPr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48,77</w:t>
            </w:r>
          </w:p>
        </w:tc>
      </w:tr>
      <w:tr>
        <w:trPr>
          <w:cantSplit w:val="0"/>
          <w:trHeight w:val="407.17529296875" w:hRule="atLeast"/>
          <w:tblHeader w:val="0"/>
        </w:trPr>
        <w:tc>
          <w:tcPr>
            <w:tcBorders>
              <w:bottom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P59</w:t>
            </w:r>
          </w:p>
        </w:tc>
        <w:tc>
          <w:tcPr>
            <w:tcBorders>
              <w:bottom w:color="d0d0d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Task 1 (Non-Affected)</w:t>
            </w:r>
          </w:p>
        </w:tc>
        <w:tc>
          <w:tcPr>
            <w:tcBorders>
              <w:bottom w:color="d0d0d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P57</w:t>
            </w:r>
          </w:p>
        </w:tc>
        <w:tc>
          <w:tcPr>
            <w:tcBorders>
              <w:bottom w:color="d0d0d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16,32</w:t>
            </w:r>
          </w:p>
        </w:tc>
        <w:tc>
          <w:tcPr>
            <w:tcBorders>
              <w:bottom w:color="d0d0d0" w:space="0" w:sz="6" w:val="single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16,32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5"/>
            <w:tcBorders>
              <w:top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</w:tcPr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Note.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Imputation performed via Predictive Mean Matching, with donors matched by closeness of regression-predicted values (K = 1); each recipient received the single nearest donor's observed value.</w:t>
            </w:r>
          </w:p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0"/>
        <w:gridCol w:w="3015"/>
        <w:gridCol w:w="3000"/>
        <w:tblGridChange w:id="0">
          <w:tblGrid>
            <w:gridCol w:w="3000"/>
            <w:gridCol w:w="3015"/>
            <w:gridCol w:w="300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Table S2.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Shapiro-Wilk test of Normality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JTHFT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Affected Hand 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W (p)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Non-Affected Hand 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W (p)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Task 1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0.881 (p&lt;0.001)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0.936 (p.004)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Task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0.462 (p&lt;0.001)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0.690 (p&lt;0.001)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Task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0.768 (p&lt;0.001)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0.821 (p&lt;0.001)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Task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0.735 (p&lt;0.001)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0.970 (p.147)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Task 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0.651 (p&lt;0.001)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0.851 (p&lt;0.001)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Task 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0.521 (p&lt;0.001)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0.608 (p&lt;0.001)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Task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0.505 (p&lt;0.001)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0.673 (p&lt;0.001)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Total Score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0.783 (p&lt;0.001)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0" w:val="nil"/>
            </w:tcBorders>
            <w:tcMar>
              <w:top w:w="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0.937 (p.004)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Note.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JTHFT - Jebsen Taylor Hand Function Test; Shapiro-Wilk test of normality, based on the final imputed dataset. W = Shapiro-Wilk statistic.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35"/>
        <w:gridCol w:w="1770"/>
        <w:gridCol w:w="1995"/>
        <w:gridCol w:w="1830"/>
        <w:tblGridChange w:id="0">
          <w:tblGrid>
            <w:gridCol w:w="3435"/>
            <w:gridCol w:w="1770"/>
            <w:gridCol w:w="1995"/>
            <w:gridCol w:w="183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Table S3.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Sensitivity Analysis comparing the imputed dataset vs. complete-case dataset.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Imputed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Complete-Case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Δ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Affected Hand  - Task 1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(n=60)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(n=54)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Loading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0.632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0.597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0.035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Communality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0.043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Cronbach's α (item removed)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Affected Hand - Task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(n=60)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(n=59)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Loading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Communality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0.794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0.009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Cronbach's α (item removed)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0.821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0.012</w:t>
            </w:r>
          </w:p>
        </w:tc>
      </w:tr>
      <w:tr>
        <w:trPr>
          <w:cantSplit w:val="0"/>
          <w:trHeight w:val="545.9765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Non-Affected Hand  - Task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(n=60)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(n=54)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Loading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0.583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Gungsuh" w:cs="Gungsuh" w:eastAsia="Gungsuh" w:hAnsi="Gungsuh"/>
                <w:sz w:val="24"/>
                <w:szCs w:val="24"/>
                <w:rtl w:val="0"/>
              </w:rPr>
              <w:t xml:space="preserve">−0.064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Communality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0.270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0.340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Gungsuh" w:cs="Gungsuh" w:eastAsia="Gungsuh" w:hAnsi="Gungsuh"/>
                <w:sz w:val="24"/>
                <w:szCs w:val="24"/>
                <w:rtl w:val="0"/>
              </w:rPr>
              <w:t xml:space="preserve">−0.070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Cronbach's α (item removed)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0.863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0.024</w:t>
            </w:r>
          </w:p>
        </w:tc>
      </w:tr>
      <w:tr>
        <w:trPr>
          <w:cantSplit w:val="0"/>
          <w:trHeight w:val="470.976562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Note.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sz w:val="24"/>
                <w:szCs w:val="24"/>
                <w:rtl w:val="0"/>
              </w:rPr>
              <w:t xml:space="preserve">Complete-case analysis excluded participants with task-abandonment cases for the respective task. Δ = imputed − complete-case.</w:t>
            </w:r>
          </w:p>
        </w:tc>
      </w:tr>
    </w:tbl>
    <w:p w:rsidR="00000000" w:rsidDel="00000000" w:rsidP="00000000" w:rsidRDefault="00000000" w:rsidRPr="00000000" w14:paraId="000000D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9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35"/>
        <w:gridCol w:w="2865"/>
        <w:gridCol w:w="2895"/>
        <w:gridCol w:w="945"/>
        <w:tblGridChange w:id="0">
          <w:tblGrid>
            <w:gridCol w:w="2235"/>
            <w:gridCol w:w="2865"/>
            <w:gridCol w:w="2895"/>
            <w:gridCol w:w="94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Table S4.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Sensitivity Analysis: Testing Order (Affected Hand Tested First vs. Second)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Affected hand tested first (non-dominant, n=24)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Affected hand tested second (dominant, n=36)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Affected hand total (Mdn)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108.24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64.74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&lt; .001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Non-affected hand total (Mdn)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61.52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95.76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&lt; .001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4"/>
            <w:tcBorders>
              <w:left w:color="000000" w:space="0" w:sz="0" w:val="nil"/>
              <w:bottom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Note.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 Mann-Whitney U test. In both groups, the hand tested second showed shorter completion times, regardless of affected/non-affected status.</w:t>
            </w:r>
          </w:p>
        </w:tc>
      </w:tr>
    </w:tbl>
    <w:p w:rsidR="00000000" w:rsidDel="00000000" w:rsidP="00000000" w:rsidRDefault="00000000" w:rsidRPr="00000000" w14:paraId="000000F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Table S5.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Measure of Sampling Adequacy (MSA).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JTHFT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Affected Hand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Non-Affected Hand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Task 1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0.938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0.834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Task 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0.942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0.945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Task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0.905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0.923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Task 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0.860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Task 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0.832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Task 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0.765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Task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0.896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0.783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Determinant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0.00370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Note.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JTHFT - Jebsen Taylor Hand Function Test.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S1.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Inter-Item Correlation Matrix for Affected Hand</w:t>
      </w:r>
    </w:p>
    <w:p w:rsidR="00000000" w:rsidDel="00000000" w:rsidP="00000000" w:rsidRDefault="00000000" w:rsidRPr="00000000" w14:paraId="0000015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637168" cy="4926174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8741" l="24086" r="20598" t="5506"/>
                    <a:stretch>
                      <a:fillRect/>
                    </a:stretch>
                  </pic:blipFill>
                  <pic:spPr>
                    <a:xfrm>
                      <a:off x="0" y="0"/>
                      <a:ext cx="5637168" cy="492617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Figure S2.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Inter-Item Correlation Matrix for Non-Affected Hand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  <w:drawing>
          <wp:inline distB="114300" distT="114300" distL="114300" distR="114300">
            <wp:extent cx="5786438" cy="525831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19025" r="19061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86438" cy="52583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440" w:top="1842.5196850393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ungsuh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4">
    <w:pPr>
      <w:jc w:val="both"/>
      <w:rPr>
        <w:rFonts w:ascii="Times New Roman" w:cs="Times New Roman" w:eastAsia="Times New Roman" w:hAnsi="Times New Roman"/>
        <w:i w:val="1"/>
        <w:i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5">
    <w:pPr>
      <w:jc w:val="both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6">
    <w:pPr>
      <w:jc w:val="both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7">
    <w:pPr>
      <w:jc w:val="both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8">
    <w:pPr>
      <w:jc w:val="both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This supplementary material is part of the analyses reported in the article entitled: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i w:val="1"/>
        <w:iCs w:val="1"/>
        <w:sz w:val="24"/>
        <w:szCs w:val="24"/>
        <w:rtl w:val="0"/>
      </w:rPr>
      <w:t xml:space="preserve">Dimensionality and internal consistency of the Jebsen-Taylor Hand Function Test (JTHFT) across affected and non-affected hands: an exploratory cross-sectional study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.</w:t>
    </w:r>
  </w:p>
  <w:p w:rsidR="00000000" w:rsidDel="00000000" w:rsidP="00000000" w:rsidRDefault="00000000" w:rsidRPr="00000000" w14:paraId="0000016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