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</w:rPr>
        <w:t>纳入研究质量评价（Table 2）</w:t>
      </w:r>
    </w:p>
    <w:p>
      <w:r>
        <w:rPr>
          <w:i/>
          <w:sz w:val="20"/>
        </w:rPr>
        <w:t>工具：</w:t>
      </w:r>
      <w:r>
        <w:rPr>
          <w:b/>
          <w:i/>
          <w:sz w:val="20"/>
        </w:rPr>
        <w:t>JBI Critical Appraisal Checklist for Case Series</w:t>
      </w:r>
      <w:r>
        <w:rPr>
          <w:i/>
          <w:sz w:val="20"/>
        </w:rPr>
        <w:t>（单臂病例系列/单臂队列，满分 10）；</w:t>
      </w:r>
      <w:r>
        <w:rPr>
          <w:b/>
          <w:i/>
          <w:sz w:val="20"/>
        </w:rPr>
        <w:t>NOS（Newcastle-Ottawa Scale）</w:t>
      </w:r>
      <w:r>
        <w:rPr>
          <w:i/>
          <w:sz w:val="20"/>
        </w:rPr>
        <w:t>（含对照的队列/病例对照，满分 9）。</w:t>
      </w:r>
    </w:p>
    <w:p>
      <w:r>
        <w:rPr>
          <w:i/>
          <w:sz w:val="20"/>
        </w:rPr>
        <w:t>评价依据：全文方法学部分逐篇核读（订阅全文 41 篇 + PMC 全文）。</w:t>
      </w:r>
    </w:p>
    <w:p>
      <w:r>
        <w:rPr>
          <w:i/>
          <w:sz w:val="20"/>
        </w:rPr>
        <w:t>分级：JBI ≥7 / NOS ≥7 为较高质量；5–6 为中等；≤4 为低。</w:t>
      </w:r>
    </w:p>
    <w:p>
      <w:r>
        <w:rPr>
          <w:b/>
          <w:sz w:val="24"/>
        </w:rPr>
        <w:t>一、单臂研究（JBI 病例系列清单，/10）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18"/>
              </w:rPr>
              <w:t>研究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设计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样本(透析)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JBI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主要优点 / 主要局限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Otsuka 2019 (31322818)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52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连续纳入、愈合原始计数清晰；单中心、回顾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Japan BTK 2026 (41877610)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96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DCB/POBA 分组明确、随访规范；KM 反算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Ates 2013 (23311725)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回顾性病例系列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标准评分(Bates-Jensen)；样本小、非完全愈合定义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Rasool 2022 (36001702)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病例系列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结局(治疗成功)明确；样本小、单中心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Rheopheresis 2024 (39105437)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前瞻多中心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前瞻、多中心、纳排明确；样本小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Georgopoulos 2005 (15627791)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39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保肢/生存清晰；回顾、单中心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Georgopoulos 2006 (16535964)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97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样本较大；回顾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Sanchez 1995 (7674471)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53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结局指标全；年代早、回顾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Ramdev(Leers) 1998 (9845648)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足部旁路亚组清晰；样本小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Harrington 1990 (2218887)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早期血管外科；样本小、技术陈旧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Nakano(Orimoto) 2013 (23810259)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234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大样本、KM 规范；单中心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Meloni 2018 (29686969)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44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分层(R-IF/HR-IF)；样本小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Ohtake(Graziani) 2007 (17267538)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前瞻性队列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107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前瞻、连续、随访完整；单中心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Fujihara(Nakano) 2015 (25256632)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449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大样本、按组织缺损分层；回顾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Lee(Hsu) 2026 (41071275)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联合重建方案新；样本小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Aotearoa NZ 2025 (40448415)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国家登记队列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136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登记数据、代表性好；ECOG 编码间接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Otsuka(Serizawa) 2016 (27189770)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108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大截肢生存/步行能力清晰；回顾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Matsuzaki 2012 (23095148)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回顾性病例系列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透析DM足PTA+小截肢2年随访完整、逐例报告(Table 1)；选择性纳入已愈合者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Baele 1995 (7878539)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44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透析旁路专组、保肢明确；年代早</w:t>
            </w:r>
          </w:p>
        </w:tc>
      </w:tr>
    </w:tbl>
    <w:p/>
    <w:p>
      <w:r>
        <w:rPr>
          <w:b/>
          <w:sz w:val="24"/>
        </w:rPr>
        <w:t>二、含对照研究（NOS，/9）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18"/>
              </w:rPr>
              <w:t>研究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设计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对比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NOS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主要优点 / 主要局限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Aiello(Meloni) 2016 (27321326)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队列(透析99 vs 非透析500)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透析状态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大样本、多因素校正、结局全；非随机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Trischitta(Boufi) 2006 (16703196)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病例对照(ESRD16 vs 无ESRD24)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肾功能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年龄/性别/糖尿病匹配；样本小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Behme 2025 (40296677)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回顾性队列(HD33 vs CKD49)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透析状态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同期CKD对照、DFU专病队列、≥2年随访；单中心、年龄/BMI未校正</w:t>
            </w:r>
          </w:p>
        </w:tc>
      </w:tr>
    </w:tbl>
    <w:p/>
    <w:p>
      <w:r>
        <w:rPr>
          <w:b/>
          <w:sz w:val="24"/>
        </w:rPr>
        <w:t>三、汇总</w:t>
      </w:r>
    </w:p>
    <w:p>
      <w:pPr>
        <w:pStyle w:val="ListBullet"/>
      </w:pPr>
      <w:r>
        <w:t xml:space="preserve">纳入研究合计 </w:t>
      </w:r>
      <w:r>
        <w:rPr>
          <w:b/>
        </w:rPr>
        <w:t>23 项</w:t>
      </w:r>
      <w:r>
        <w:t>（JBI 20 + NOS 3）。</w:t>
      </w:r>
    </w:p>
    <w:p>
      <w:pPr>
        <w:pStyle w:val="ListBullet"/>
      </w:pPr>
      <w:r>
        <w:t>JBI 评分范围 5–7（中位 6）；NOS 范围 6–8。</w:t>
      </w:r>
    </w:p>
    <w:p>
      <w:pPr>
        <w:pStyle w:val="ListBullet"/>
      </w:pPr>
      <w:r>
        <w:rPr>
          <w:b/>
        </w:rPr>
        <w:t>整体质量中等</w:t>
      </w:r>
      <w:r>
        <w:t>：以回顾性单臂队列为主，主要局限为回顾性设计、单中心、部分样本量小（n&lt;50 的 8 项）及愈合定义不统一。</w:t>
      </w:r>
    </w:p>
    <w:p>
      <w:pPr>
        <w:pStyle w:val="ListBullet"/>
      </w:pPr>
      <w:r>
        <w:t>敏感性分析将按方案剔除 JBI&lt;5 / NOS&lt;6 研究（本批无 JBI&lt;5；Harrington 1990 JBI=5、Trischitta NOS=6 临界，纳入敏感性剔除验证）。</w:t>
      </w:r>
    </w:p>
    <w:p>
      <w:pPr>
        <w:pStyle w:val="ListBullet"/>
      </w:pPr>
      <w:r>
        <w:t>说明：Baele 1995 为自全文新补入；Matsuzaki 2012（原误标"Otsuka 2012"）与 Behme 2025 为 2026-08-08 自全文新纳入。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imS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