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A5A8C" w14:textId="77777777" w:rsidR="007D641B" w:rsidRDefault="007D641B" w:rsidP="007D641B">
      <w:pPr>
        <w:keepNext/>
      </w:pPr>
      <w:r>
        <w:rPr>
          <w:noProof/>
        </w:rPr>
        <w:drawing>
          <wp:inline distT="0" distB="0" distL="0" distR="0" wp14:anchorId="6F6BC4BE" wp14:editId="45B4BC5F">
            <wp:extent cx="5725160" cy="8094345"/>
            <wp:effectExtent l="0" t="0" r="8890" b="1905"/>
            <wp:docPr id="252862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5160" cy="8094345"/>
                    </a:xfrm>
                    <a:prstGeom prst="rect">
                      <a:avLst/>
                    </a:prstGeom>
                    <a:noFill/>
                    <a:ln>
                      <a:noFill/>
                    </a:ln>
                  </pic:spPr>
                </pic:pic>
              </a:graphicData>
            </a:graphic>
          </wp:inline>
        </w:drawing>
      </w:r>
    </w:p>
    <w:p w14:paraId="090B00D5" w14:textId="045E8FB1" w:rsidR="007D641B" w:rsidRPr="005A4A3B" w:rsidRDefault="007D641B" w:rsidP="007D641B">
      <w:pPr>
        <w:pStyle w:val="EndNoteBibliography"/>
        <w:rPr>
          <w:rFonts w:asciiTheme="minorHAnsi" w:hAnsiTheme="minorHAnsi" w:cs="Calibri"/>
          <w:i/>
          <w:iCs/>
          <w:noProof w:val="0"/>
          <w:sz w:val="18"/>
          <w:szCs w:val="18"/>
          <w:lang w:val="en-GB"/>
        </w:rPr>
      </w:pPr>
      <w:r w:rsidRPr="005A4A3B">
        <w:rPr>
          <w:rFonts w:asciiTheme="minorHAnsi" w:hAnsiTheme="minorHAnsi" w:cstheme="majorBidi"/>
          <w:i/>
          <w:iCs/>
          <w:sz w:val="18"/>
          <w:szCs w:val="18"/>
        </w:rPr>
        <w:t>Fig</w:t>
      </w:r>
      <w:r w:rsidRPr="005A4A3B">
        <w:rPr>
          <w:rFonts w:asciiTheme="minorHAnsi" w:hAnsiTheme="minorHAnsi" w:cstheme="majorBidi"/>
          <w:i/>
          <w:iCs/>
          <w:noProof w:val="0"/>
          <w:sz w:val="18"/>
          <w:szCs w:val="18"/>
          <w:lang w:val="en-GB"/>
        </w:rPr>
        <w:t>. A</w:t>
      </w:r>
      <w:r w:rsidRPr="005A4A3B">
        <w:rPr>
          <w:rFonts w:asciiTheme="minorHAnsi" w:hAnsiTheme="minorHAnsi" w:cstheme="majorBidi"/>
          <w:i/>
          <w:iCs/>
          <w:noProof w:val="0"/>
          <w:sz w:val="18"/>
          <w:szCs w:val="18"/>
          <w:lang w:val="en-GB"/>
        </w:rPr>
        <w:t>1</w:t>
      </w:r>
      <w:r w:rsidRPr="005A4A3B">
        <w:rPr>
          <w:rFonts w:asciiTheme="minorHAnsi" w:hAnsiTheme="minorHAnsi" w:cstheme="majorBidi"/>
          <w:i/>
          <w:iCs/>
          <w:noProof w:val="0"/>
          <w:sz w:val="18"/>
          <w:szCs w:val="18"/>
          <w:lang w:val="en-GB"/>
        </w:rPr>
        <w:t xml:space="preserve">. Al compositional maps of white mica overlaying a mineralogical map. </w:t>
      </w:r>
      <w:r w:rsidRPr="005A4A3B">
        <w:rPr>
          <w:rFonts w:asciiTheme="minorHAnsi" w:hAnsiTheme="minorHAnsi" w:cstheme="majorBidi"/>
          <w:i/>
          <w:iCs/>
          <w:noProof w:val="0"/>
          <w:sz w:val="18"/>
          <w:szCs w:val="18"/>
          <w:vertAlign w:val="superscript"/>
          <w:lang w:val="en-GB"/>
        </w:rPr>
        <w:t>40</w:t>
      </w:r>
      <w:r w:rsidRPr="005A4A3B">
        <w:rPr>
          <w:rFonts w:asciiTheme="minorHAnsi" w:hAnsiTheme="minorHAnsi" w:cstheme="majorBidi"/>
          <w:i/>
          <w:iCs/>
          <w:noProof w:val="0"/>
          <w:sz w:val="18"/>
          <w:szCs w:val="18"/>
          <w:lang w:val="en-GB"/>
        </w:rPr>
        <w:t>Ar/</w:t>
      </w:r>
      <w:r w:rsidRPr="005A4A3B">
        <w:rPr>
          <w:rFonts w:asciiTheme="minorHAnsi" w:hAnsiTheme="minorHAnsi" w:cstheme="majorBidi"/>
          <w:i/>
          <w:iCs/>
          <w:noProof w:val="0"/>
          <w:sz w:val="18"/>
          <w:szCs w:val="18"/>
          <w:vertAlign w:val="superscript"/>
          <w:lang w:val="en-GB"/>
        </w:rPr>
        <w:t>39</w:t>
      </w:r>
      <w:r w:rsidRPr="005A4A3B">
        <w:rPr>
          <w:rFonts w:asciiTheme="minorHAnsi" w:hAnsiTheme="minorHAnsi" w:cstheme="majorBidi"/>
          <w:i/>
          <w:iCs/>
          <w:noProof w:val="0"/>
          <w:sz w:val="18"/>
          <w:szCs w:val="18"/>
          <w:lang w:val="en-GB"/>
        </w:rPr>
        <w:t xml:space="preserve">Ar raster ablation are plotted on top with the colour indicating the date and the number referring to the analysis in Table </w:t>
      </w:r>
      <w:r w:rsidRPr="005A4A3B">
        <w:rPr>
          <w:rFonts w:asciiTheme="minorHAnsi" w:hAnsiTheme="minorHAnsi" w:cstheme="majorBidi"/>
          <w:i/>
          <w:iCs/>
          <w:noProof w:val="0"/>
          <w:sz w:val="18"/>
          <w:szCs w:val="18"/>
          <w:lang w:val="en-GB"/>
        </w:rPr>
        <w:t>S</w:t>
      </w:r>
      <w:r w:rsidRPr="005A4A3B">
        <w:rPr>
          <w:rFonts w:asciiTheme="minorHAnsi" w:hAnsiTheme="minorHAnsi" w:cstheme="majorBidi"/>
          <w:i/>
          <w:iCs/>
          <w:noProof w:val="0"/>
          <w:sz w:val="18"/>
          <w:szCs w:val="18"/>
          <w:lang w:val="en-GB"/>
        </w:rPr>
        <w:t>3</w:t>
      </w:r>
      <w:r w:rsidRPr="005A4A3B">
        <w:rPr>
          <w:rFonts w:asciiTheme="minorHAnsi" w:hAnsiTheme="minorHAnsi" w:cs="Calibri"/>
          <w:i/>
          <w:iCs/>
          <w:noProof w:val="0"/>
          <w:sz w:val="18"/>
          <w:szCs w:val="18"/>
          <w:lang w:val="en-GB"/>
        </w:rPr>
        <w:t xml:space="preserve">. </w:t>
      </w:r>
    </w:p>
    <w:p w14:paraId="6EB07610" w14:textId="062BA41A" w:rsidR="007D641B" w:rsidRDefault="007D641B" w:rsidP="007D641B">
      <w:pPr>
        <w:pStyle w:val="Caption"/>
      </w:pPr>
    </w:p>
    <w:p w14:paraId="68D015CD" w14:textId="77777777" w:rsidR="007D641B" w:rsidRDefault="007D641B" w:rsidP="007D641B">
      <w:pPr>
        <w:keepNext/>
      </w:pPr>
      <w:r>
        <w:rPr>
          <w:noProof/>
        </w:rPr>
        <w:lastRenderedPageBreak/>
        <w:drawing>
          <wp:inline distT="0" distB="0" distL="0" distR="0" wp14:anchorId="03FE2349" wp14:editId="798A3233">
            <wp:extent cx="5725160" cy="4842510"/>
            <wp:effectExtent l="0" t="0" r="8890" b="0"/>
            <wp:docPr id="17779411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5160" cy="4842510"/>
                    </a:xfrm>
                    <a:prstGeom prst="rect">
                      <a:avLst/>
                    </a:prstGeom>
                    <a:noFill/>
                    <a:ln>
                      <a:noFill/>
                    </a:ln>
                  </pic:spPr>
                </pic:pic>
              </a:graphicData>
            </a:graphic>
          </wp:inline>
        </w:drawing>
      </w:r>
    </w:p>
    <w:p w14:paraId="61A44B86" w14:textId="6127A2D9" w:rsidR="007D641B" w:rsidRPr="007D641B" w:rsidRDefault="007D641B" w:rsidP="007D641B">
      <w:pPr>
        <w:rPr>
          <w:i/>
          <w:iCs/>
          <w:color w:val="0E2841" w:themeColor="text2"/>
          <w:sz w:val="18"/>
          <w:szCs w:val="18"/>
        </w:rPr>
      </w:pPr>
      <w:r w:rsidRPr="007D641B">
        <w:rPr>
          <w:i/>
          <w:iCs/>
          <w:color w:val="0E2841" w:themeColor="text2"/>
          <w:sz w:val="18"/>
          <w:szCs w:val="18"/>
        </w:rPr>
        <w:t xml:space="preserve">Fig. A2. Single spot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Sr date locations of the  ultra-mylonite (VJ1-VP)</w:t>
      </w:r>
      <w:r>
        <w:rPr>
          <w:i/>
          <w:iCs/>
          <w:color w:val="0E2841" w:themeColor="text2"/>
          <w:sz w:val="18"/>
          <w:szCs w:val="18"/>
        </w:rPr>
        <w:t xml:space="preserve">, and compositional Al (EPMA) and microstructural (EBSD) </w:t>
      </w:r>
      <w:r w:rsidRPr="007D641B">
        <w:rPr>
          <w:i/>
          <w:iCs/>
          <w:color w:val="0E2841" w:themeColor="text2"/>
          <w:sz w:val="18"/>
          <w:szCs w:val="18"/>
        </w:rPr>
        <w:t xml:space="preserve"> maps of the same region acquired after the ablation pits  was polished down. </w:t>
      </w:r>
    </w:p>
    <w:p w14:paraId="01FACD11" w14:textId="77777777" w:rsidR="007D641B" w:rsidRDefault="007D641B" w:rsidP="007D641B">
      <w:pPr>
        <w:keepNext/>
      </w:pPr>
      <w:r>
        <w:rPr>
          <w:noProof/>
        </w:rPr>
        <w:drawing>
          <wp:inline distT="0" distB="0" distL="0" distR="0" wp14:anchorId="276BE4C0" wp14:editId="45B2DB0C">
            <wp:extent cx="5725160" cy="1828800"/>
            <wp:effectExtent l="0" t="0" r="8890" b="0"/>
            <wp:docPr id="1398759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5160" cy="1828800"/>
                    </a:xfrm>
                    <a:prstGeom prst="rect">
                      <a:avLst/>
                    </a:prstGeom>
                    <a:noFill/>
                    <a:ln>
                      <a:noFill/>
                    </a:ln>
                  </pic:spPr>
                </pic:pic>
              </a:graphicData>
            </a:graphic>
          </wp:inline>
        </w:drawing>
      </w:r>
    </w:p>
    <w:p w14:paraId="56171D53" w14:textId="5B08911E" w:rsidR="007D641B" w:rsidRPr="007D641B" w:rsidRDefault="007D641B" w:rsidP="007D641B">
      <w:pPr>
        <w:rPr>
          <w:i/>
          <w:iCs/>
          <w:color w:val="0E2841" w:themeColor="text2"/>
          <w:sz w:val="18"/>
          <w:szCs w:val="18"/>
        </w:rPr>
      </w:pPr>
      <w:r w:rsidRPr="007D641B">
        <w:rPr>
          <w:i/>
          <w:iCs/>
          <w:color w:val="0E2841" w:themeColor="text2"/>
          <w:sz w:val="18"/>
          <w:szCs w:val="18"/>
        </w:rPr>
        <w:t xml:space="preserve">Fig. A3. Geochronology for </w:t>
      </w:r>
      <w:r>
        <w:rPr>
          <w:i/>
          <w:iCs/>
          <w:color w:val="0E2841" w:themeColor="text2"/>
          <w:sz w:val="18"/>
          <w:szCs w:val="18"/>
        </w:rPr>
        <w:t xml:space="preserve">lightly deformed </w:t>
      </w:r>
      <w:r w:rsidRPr="007D641B">
        <w:rPr>
          <w:i/>
          <w:iCs/>
          <w:color w:val="0E2841" w:themeColor="text2"/>
          <w:sz w:val="18"/>
          <w:szCs w:val="18"/>
        </w:rPr>
        <w:t xml:space="preserve">mica-fish sample VP2-1. A-B) </w:t>
      </w:r>
      <w:r w:rsidRPr="007D641B">
        <w:rPr>
          <w:i/>
          <w:iCs/>
          <w:color w:val="0E2841" w:themeColor="text2"/>
          <w:sz w:val="18"/>
          <w:szCs w:val="18"/>
          <w:vertAlign w:val="superscript"/>
        </w:rPr>
        <w:t>40</w:t>
      </w:r>
      <w:r w:rsidRPr="007D641B">
        <w:rPr>
          <w:i/>
          <w:iCs/>
          <w:color w:val="0E2841" w:themeColor="text2"/>
          <w:sz w:val="18"/>
          <w:szCs w:val="18"/>
        </w:rPr>
        <w:t>Ar/</w:t>
      </w:r>
      <w:r w:rsidRPr="007D641B">
        <w:rPr>
          <w:i/>
          <w:iCs/>
          <w:color w:val="0E2841" w:themeColor="text2"/>
          <w:sz w:val="18"/>
          <w:szCs w:val="18"/>
          <w:vertAlign w:val="superscript"/>
        </w:rPr>
        <w:t>39</w:t>
      </w:r>
      <w:r w:rsidRPr="007D641B">
        <w:rPr>
          <w:i/>
          <w:iCs/>
          <w:color w:val="0E2841" w:themeColor="text2"/>
          <w:sz w:val="18"/>
          <w:szCs w:val="18"/>
        </w:rPr>
        <w:t xml:space="preserve">Ar date populations for white mica generation 2 and 3 . C) An inverse isochron diagram displaying the maximum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 xml:space="preserve">Sr date estimated for the mica-fish. </w:t>
      </w:r>
    </w:p>
    <w:p w14:paraId="2F6772C6" w14:textId="77777777" w:rsidR="007D641B" w:rsidRDefault="007D641B" w:rsidP="007D641B">
      <w:pPr>
        <w:keepNext/>
      </w:pPr>
      <w:r>
        <w:rPr>
          <w:noProof/>
        </w:rPr>
        <w:lastRenderedPageBreak/>
        <w:drawing>
          <wp:inline distT="0" distB="0" distL="0" distR="0" wp14:anchorId="6A371CAC" wp14:editId="58CCD922">
            <wp:extent cx="5732780" cy="3617595"/>
            <wp:effectExtent l="0" t="0" r="1270" b="1905"/>
            <wp:docPr id="19671111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780" cy="3617595"/>
                    </a:xfrm>
                    <a:prstGeom prst="rect">
                      <a:avLst/>
                    </a:prstGeom>
                    <a:noFill/>
                    <a:ln>
                      <a:noFill/>
                    </a:ln>
                  </pic:spPr>
                </pic:pic>
              </a:graphicData>
            </a:graphic>
          </wp:inline>
        </w:drawing>
      </w:r>
    </w:p>
    <w:p w14:paraId="269D02FC" w14:textId="55B12D46" w:rsidR="007D641B" w:rsidRPr="007D641B" w:rsidRDefault="007D641B" w:rsidP="007D641B">
      <w:pPr>
        <w:rPr>
          <w:i/>
          <w:iCs/>
          <w:color w:val="0E2841" w:themeColor="text2"/>
          <w:sz w:val="18"/>
          <w:szCs w:val="18"/>
        </w:rPr>
      </w:pPr>
      <w:r w:rsidRPr="007D641B">
        <w:rPr>
          <w:i/>
          <w:iCs/>
          <w:color w:val="0E2841" w:themeColor="text2"/>
          <w:sz w:val="18"/>
          <w:szCs w:val="18"/>
        </w:rPr>
        <w:t xml:space="preserve">Fig. A4. Geochronology for the moderately deformed meta-granite (EN-28). A-C) </w:t>
      </w:r>
      <w:r w:rsidRPr="007D641B">
        <w:rPr>
          <w:i/>
          <w:iCs/>
          <w:color w:val="0E2841" w:themeColor="text2"/>
          <w:sz w:val="18"/>
          <w:szCs w:val="18"/>
          <w:vertAlign w:val="superscript"/>
        </w:rPr>
        <w:t>40</w:t>
      </w:r>
      <w:r w:rsidRPr="007D641B">
        <w:rPr>
          <w:i/>
          <w:iCs/>
          <w:color w:val="0E2841" w:themeColor="text2"/>
          <w:sz w:val="18"/>
          <w:szCs w:val="18"/>
        </w:rPr>
        <w:t>Ar/</w:t>
      </w:r>
      <w:r w:rsidRPr="007D641B">
        <w:rPr>
          <w:i/>
          <w:iCs/>
          <w:color w:val="0E2841" w:themeColor="text2"/>
          <w:sz w:val="18"/>
          <w:szCs w:val="18"/>
          <w:vertAlign w:val="superscript"/>
        </w:rPr>
        <w:t>39</w:t>
      </w:r>
      <w:r w:rsidRPr="007D641B">
        <w:rPr>
          <w:i/>
          <w:iCs/>
          <w:color w:val="0E2841" w:themeColor="text2"/>
          <w:sz w:val="18"/>
          <w:szCs w:val="18"/>
        </w:rPr>
        <w:t>Ar date populations for white mica generation P-</w:t>
      </w:r>
      <w:r>
        <w:rPr>
          <w:i/>
          <w:iCs/>
          <w:color w:val="0E2841" w:themeColor="text2"/>
          <w:sz w:val="18"/>
          <w:szCs w:val="18"/>
        </w:rPr>
        <w:t>Wm</w:t>
      </w:r>
      <w:r w:rsidRPr="007D641B">
        <w:rPr>
          <w:i/>
          <w:iCs/>
          <w:color w:val="0E2841" w:themeColor="text2"/>
          <w:sz w:val="18"/>
          <w:szCs w:val="18"/>
        </w:rPr>
        <w:t>2, S-</w:t>
      </w:r>
      <w:r>
        <w:rPr>
          <w:i/>
          <w:iCs/>
          <w:color w:val="0E2841" w:themeColor="text2"/>
          <w:sz w:val="18"/>
          <w:szCs w:val="18"/>
        </w:rPr>
        <w:t>Wm</w:t>
      </w:r>
      <w:r w:rsidRPr="007D641B">
        <w:rPr>
          <w:i/>
          <w:iCs/>
          <w:color w:val="0E2841" w:themeColor="text2"/>
          <w:sz w:val="18"/>
          <w:szCs w:val="18"/>
        </w:rPr>
        <w:t xml:space="preserve">2 and </w:t>
      </w:r>
      <w:r>
        <w:rPr>
          <w:i/>
          <w:iCs/>
          <w:color w:val="0E2841" w:themeColor="text2"/>
          <w:sz w:val="18"/>
          <w:szCs w:val="18"/>
        </w:rPr>
        <w:t>Wm</w:t>
      </w:r>
      <w:r w:rsidRPr="007D641B">
        <w:rPr>
          <w:i/>
          <w:iCs/>
          <w:color w:val="0E2841" w:themeColor="text2"/>
          <w:sz w:val="18"/>
          <w:szCs w:val="18"/>
        </w:rPr>
        <w:t xml:space="preserve">3, and for </w:t>
      </w:r>
      <w:r>
        <w:rPr>
          <w:i/>
          <w:iCs/>
          <w:color w:val="0E2841" w:themeColor="text2"/>
          <w:sz w:val="18"/>
          <w:szCs w:val="18"/>
        </w:rPr>
        <w:t>Ti-</w:t>
      </w:r>
      <w:r w:rsidRPr="007D641B">
        <w:rPr>
          <w:i/>
          <w:iCs/>
          <w:color w:val="0E2841" w:themeColor="text2"/>
          <w:sz w:val="18"/>
          <w:szCs w:val="18"/>
        </w:rPr>
        <w:t xml:space="preserve">rich Bt1 and </w:t>
      </w:r>
      <w:r>
        <w:rPr>
          <w:i/>
          <w:iCs/>
          <w:color w:val="0E2841" w:themeColor="text2"/>
          <w:sz w:val="18"/>
          <w:szCs w:val="18"/>
        </w:rPr>
        <w:t>Ti</w:t>
      </w:r>
      <w:r w:rsidRPr="007D641B">
        <w:rPr>
          <w:i/>
          <w:iCs/>
          <w:color w:val="0E2841" w:themeColor="text2"/>
          <w:sz w:val="18"/>
          <w:szCs w:val="18"/>
        </w:rPr>
        <w:t xml:space="preserve">-poor Bt2 in D. E) An inverse isochron diagram with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Sr date</w:t>
      </w:r>
      <w:r>
        <w:rPr>
          <w:i/>
          <w:iCs/>
          <w:color w:val="0E2841" w:themeColor="text2"/>
          <w:sz w:val="18"/>
          <w:szCs w:val="18"/>
        </w:rPr>
        <w:t>s</w:t>
      </w:r>
      <w:r w:rsidRPr="007D641B">
        <w:rPr>
          <w:i/>
          <w:iCs/>
          <w:color w:val="0E2841" w:themeColor="text2"/>
          <w:sz w:val="18"/>
          <w:szCs w:val="18"/>
        </w:rPr>
        <w:t xml:space="preserve"> calculated on the basis of Wm alone and Wm + Ab + Bt. F) Inverse isochron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Sr dates for Bt1 (</w:t>
      </w:r>
      <w:r>
        <w:rPr>
          <w:i/>
          <w:iCs/>
          <w:color w:val="0E2841" w:themeColor="text2"/>
          <w:sz w:val="18"/>
          <w:szCs w:val="18"/>
        </w:rPr>
        <w:t>K</w:t>
      </w:r>
      <w:r w:rsidRPr="007D641B">
        <w:rPr>
          <w:i/>
          <w:iCs/>
          <w:color w:val="0E2841" w:themeColor="text2"/>
          <w:sz w:val="18"/>
          <w:szCs w:val="18"/>
        </w:rPr>
        <w:t>-rich) and Bt2 (</w:t>
      </w:r>
      <w:r>
        <w:rPr>
          <w:i/>
          <w:iCs/>
          <w:color w:val="0E2841" w:themeColor="text2"/>
          <w:sz w:val="18"/>
          <w:szCs w:val="18"/>
        </w:rPr>
        <w:t>K</w:t>
      </w:r>
      <w:r w:rsidRPr="007D641B">
        <w:rPr>
          <w:i/>
          <w:iCs/>
          <w:color w:val="0E2841" w:themeColor="text2"/>
          <w:sz w:val="18"/>
          <w:szCs w:val="18"/>
        </w:rPr>
        <w:t xml:space="preserve">-depleted).  </w:t>
      </w:r>
    </w:p>
    <w:p w14:paraId="6040FD76" w14:textId="77777777" w:rsidR="007D641B" w:rsidRDefault="007D641B" w:rsidP="007D641B">
      <w:pPr>
        <w:keepNext/>
      </w:pPr>
      <w:r>
        <w:rPr>
          <w:noProof/>
        </w:rPr>
        <w:drawing>
          <wp:inline distT="0" distB="0" distL="0" distR="0" wp14:anchorId="3007E91D" wp14:editId="69540EE8">
            <wp:extent cx="2440940" cy="2138680"/>
            <wp:effectExtent l="0" t="0" r="0" b="0"/>
            <wp:docPr id="19589192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0940" cy="2138680"/>
                    </a:xfrm>
                    <a:prstGeom prst="rect">
                      <a:avLst/>
                    </a:prstGeom>
                    <a:noFill/>
                    <a:ln>
                      <a:noFill/>
                    </a:ln>
                  </pic:spPr>
                </pic:pic>
              </a:graphicData>
            </a:graphic>
          </wp:inline>
        </w:drawing>
      </w:r>
    </w:p>
    <w:p w14:paraId="65430CB8" w14:textId="12DD1356" w:rsidR="007D641B" w:rsidRPr="007D641B" w:rsidRDefault="007D641B" w:rsidP="007D641B">
      <w:pPr>
        <w:rPr>
          <w:i/>
          <w:iCs/>
          <w:color w:val="0E2841" w:themeColor="text2"/>
          <w:sz w:val="18"/>
          <w:szCs w:val="18"/>
        </w:rPr>
      </w:pPr>
      <w:r w:rsidRPr="007D641B">
        <w:rPr>
          <w:i/>
          <w:iCs/>
          <w:color w:val="0E2841" w:themeColor="text2"/>
          <w:sz w:val="18"/>
          <w:szCs w:val="18"/>
        </w:rPr>
        <w:t xml:space="preserve">Fig. A5. Geochronology for the highly deformed meta-granite (EN-33). An inverse isochron diagram with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Sr date</w:t>
      </w:r>
      <w:r>
        <w:rPr>
          <w:i/>
          <w:iCs/>
          <w:color w:val="0E2841" w:themeColor="text2"/>
          <w:sz w:val="18"/>
          <w:szCs w:val="18"/>
        </w:rPr>
        <w:t>s</w:t>
      </w:r>
      <w:r w:rsidRPr="007D641B">
        <w:rPr>
          <w:i/>
          <w:iCs/>
          <w:color w:val="0E2841" w:themeColor="text2"/>
          <w:sz w:val="18"/>
          <w:szCs w:val="18"/>
        </w:rPr>
        <w:t xml:space="preserve"> calculated on the basis of Wm alone and Wm + </w:t>
      </w:r>
      <w:proofErr w:type="spellStart"/>
      <w:r w:rsidRPr="007D641B">
        <w:rPr>
          <w:i/>
          <w:iCs/>
          <w:color w:val="0E2841" w:themeColor="text2"/>
          <w:sz w:val="18"/>
          <w:szCs w:val="18"/>
        </w:rPr>
        <w:t>Ksp</w:t>
      </w:r>
      <w:proofErr w:type="spellEnd"/>
      <w:r w:rsidRPr="007D641B">
        <w:rPr>
          <w:i/>
          <w:iCs/>
          <w:color w:val="0E2841" w:themeColor="text2"/>
          <w:sz w:val="18"/>
          <w:szCs w:val="18"/>
        </w:rPr>
        <w:t>.</w:t>
      </w:r>
    </w:p>
    <w:p w14:paraId="2F47C739" w14:textId="77777777" w:rsidR="007D641B" w:rsidRDefault="007D641B" w:rsidP="007D641B">
      <w:pPr>
        <w:keepNext/>
      </w:pPr>
      <w:r>
        <w:rPr>
          <w:noProof/>
        </w:rPr>
        <w:lastRenderedPageBreak/>
        <w:drawing>
          <wp:inline distT="0" distB="0" distL="0" distR="0" wp14:anchorId="39060580" wp14:editId="5DB0F92D">
            <wp:extent cx="5725160" cy="3721100"/>
            <wp:effectExtent l="0" t="0" r="8890" b="0"/>
            <wp:docPr id="4124399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5160" cy="3721100"/>
                    </a:xfrm>
                    <a:prstGeom prst="rect">
                      <a:avLst/>
                    </a:prstGeom>
                    <a:noFill/>
                    <a:ln>
                      <a:noFill/>
                    </a:ln>
                  </pic:spPr>
                </pic:pic>
              </a:graphicData>
            </a:graphic>
          </wp:inline>
        </w:drawing>
      </w:r>
    </w:p>
    <w:p w14:paraId="31AC6BA9" w14:textId="233B7552" w:rsidR="007D641B" w:rsidRPr="007D641B" w:rsidRDefault="007D641B" w:rsidP="007D641B">
      <w:pPr>
        <w:rPr>
          <w:i/>
          <w:iCs/>
          <w:color w:val="0E2841" w:themeColor="text2"/>
          <w:sz w:val="18"/>
          <w:szCs w:val="18"/>
        </w:rPr>
        <w:sectPr w:rsidR="007D641B" w:rsidRPr="007D641B" w:rsidSect="007D641B">
          <w:pgSz w:w="11910" w:h="15820"/>
          <w:pgMar w:top="540" w:right="992" w:bottom="1040" w:left="850" w:header="0" w:footer="853" w:gutter="0"/>
          <w:cols w:space="284"/>
        </w:sectPr>
      </w:pPr>
      <w:r w:rsidRPr="007D641B">
        <w:rPr>
          <w:i/>
          <w:iCs/>
          <w:color w:val="0E2841" w:themeColor="text2"/>
          <w:sz w:val="18"/>
          <w:szCs w:val="18"/>
        </w:rPr>
        <w:t xml:space="preserve">Fig. A6. Geochronology for the mylonitic meta-granite (EN-31). A-C) </w:t>
      </w:r>
      <w:r w:rsidRPr="007D641B">
        <w:rPr>
          <w:i/>
          <w:iCs/>
          <w:color w:val="0E2841" w:themeColor="text2"/>
          <w:sz w:val="18"/>
          <w:szCs w:val="18"/>
          <w:vertAlign w:val="superscript"/>
        </w:rPr>
        <w:t>40</w:t>
      </w:r>
      <w:r w:rsidRPr="007D641B">
        <w:rPr>
          <w:i/>
          <w:iCs/>
          <w:color w:val="0E2841" w:themeColor="text2"/>
          <w:sz w:val="18"/>
          <w:szCs w:val="18"/>
        </w:rPr>
        <w:t>Ar/</w:t>
      </w:r>
      <w:r w:rsidRPr="007D641B">
        <w:rPr>
          <w:i/>
          <w:iCs/>
          <w:color w:val="0E2841" w:themeColor="text2"/>
          <w:sz w:val="18"/>
          <w:szCs w:val="18"/>
          <w:vertAlign w:val="superscript"/>
        </w:rPr>
        <w:t>39</w:t>
      </w:r>
      <w:r w:rsidRPr="007D641B">
        <w:rPr>
          <w:i/>
          <w:iCs/>
          <w:color w:val="0E2841" w:themeColor="text2"/>
          <w:sz w:val="18"/>
          <w:szCs w:val="18"/>
        </w:rPr>
        <w:t>Ar date populations for white mica generation P-</w:t>
      </w:r>
      <w:r>
        <w:rPr>
          <w:i/>
          <w:iCs/>
          <w:color w:val="0E2841" w:themeColor="text2"/>
          <w:sz w:val="18"/>
          <w:szCs w:val="18"/>
        </w:rPr>
        <w:t>Wm</w:t>
      </w:r>
      <w:r w:rsidRPr="007D641B">
        <w:rPr>
          <w:i/>
          <w:iCs/>
          <w:color w:val="0E2841" w:themeColor="text2"/>
          <w:sz w:val="18"/>
          <w:szCs w:val="18"/>
        </w:rPr>
        <w:t>2, S-</w:t>
      </w:r>
      <w:r>
        <w:rPr>
          <w:i/>
          <w:iCs/>
          <w:color w:val="0E2841" w:themeColor="text2"/>
          <w:sz w:val="18"/>
          <w:szCs w:val="18"/>
        </w:rPr>
        <w:t>Wm</w:t>
      </w:r>
      <w:r w:rsidRPr="007D641B">
        <w:rPr>
          <w:i/>
          <w:iCs/>
          <w:color w:val="0E2841" w:themeColor="text2"/>
          <w:sz w:val="18"/>
          <w:szCs w:val="18"/>
        </w:rPr>
        <w:t xml:space="preserve">2 and </w:t>
      </w:r>
      <w:r>
        <w:rPr>
          <w:i/>
          <w:iCs/>
          <w:color w:val="0E2841" w:themeColor="text2"/>
          <w:sz w:val="18"/>
          <w:szCs w:val="18"/>
        </w:rPr>
        <w:t>Wm</w:t>
      </w:r>
      <w:r w:rsidRPr="007D641B">
        <w:rPr>
          <w:i/>
          <w:iCs/>
          <w:color w:val="0E2841" w:themeColor="text2"/>
          <w:sz w:val="18"/>
          <w:szCs w:val="18"/>
        </w:rPr>
        <w:t xml:space="preserve">3.  D) A </w:t>
      </w:r>
      <w:r w:rsidRPr="007D641B">
        <w:rPr>
          <w:i/>
          <w:iCs/>
          <w:color w:val="0E2841" w:themeColor="text2"/>
          <w:sz w:val="18"/>
          <w:szCs w:val="18"/>
          <w:vertAlign w:val="superscript"/>
        </w:rPr>
        <w:t>40</w:t>
      </w:r>
      <w:r w:rsidRPr="007D641B">
        <w:rPr>
          <w:i/>
          <w:iCs/>
          <w:color w:val="0E2841" w:themeColor="text2"/>
          <w:sz w:val="18"/>
          <w:szCs w:val="18"/>
        </w:rPr>
        <w:t>Ar/</w:t>
      </w:r>
      <w:r w:rsidRPr="007D641B">
        <w:rPr>
          <w:i/>
          <w:iCs/>
          <w:color w:val="0E2841" w:themeColor="text2"/>
          <w:sz w:val="18"/>
          <w:szCs w:val="18"/>
          <w:vertAlign w:val="superscript"/>
        </w:rPr>
        <w:t>39</w:t>
      </w:r>
      <w:r w:rsidRPr="007D641B">
        <w:rPr>
          <w:i/>
          <w:iCs/>
          <w:color w:val="0E2841" w:themeColor="text2"/>
          <w:sz w:val="18"/>
          <w:szCs w:val="18"/>
        </w:rPr>
        <w:t xml:space="preserve">Ar date population for biotite (Bt2) and E) for Na-rich </w:t>
      </w:r>
      <w:proofErr w:type="spellStart"/>
      <w:r w:rsidRPr="007D641B">
        <w:rPr>
          <w:i/>
          <w:iCs/>
          <w:color w:val="0E2841" w:themeColor="text2"/>
          <w:sz w:val="18"/>
          <w:szCs w:val="18"/>
        </w:rPr>
        <w:t>Ksp</w:t>
      </w:r>
      <w:proofErr w:type="spellEnd"/>
      <w:r w:rsidRPr="007D641B">
        <w:rPr>
          <w:i/>
          <w:iCs/>
          <w:color w:val="0E2841" w:themeColor="text2"/>
          <w:sz w:val="18"/>
          <w:szCs w:val="18"/>
        </w:rPr>
        <w:t xml:space="preserve">. F) An inverse isochron diagram with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Sr date</w:t>
      </w:r>
      <w:r>
        <w:rPr>
          <w:i/>
          <w:iCs/>
          <w:color w:val="0E2841" w:themeColor="text2"/>
          <w:sz w:val="18"/>
          <w:szCs w:val="18"/>
        </w:rPr>
        <w:t>s</w:t>
      </w:r>
      <w:r w:rsidRPr="007D641B">
        <w:rPr>
          <w:i/>
          <w:iCs/>
          <w:color w:val="0E2841" w:themeColor="text2"/>
          <w:sz w:val="18"/>
          <w:szCs w:val="18"/>
        </w:rPr>
        <w:t xml:space="preserve"> calculated on the basis of Wm alone and Wm + Ab, with the maximum date given </w:t>
      </w:r>
      <w:r>
        <w:rPr>
          <w:i/>
          <w:iCs/>
          <w:color w:val="0E2841" w:themeColor="text2"/>
          <w:sz w:val="18"/>
          <w:szCs w:val="18"/>
        </w:rPr>
        <w:t xml:space="preserve">by Wm + </w:t>
      </w:r>
      <w:proofErr w:type="spellStart"/>
      <w:r>
        <w:rPr>
          <w:i/>
          <w:iCs/>
          <w:color w:val="0E2841" w:themeColor="text2"/>
          <w:sz w:val="18"/>
          <w:szCs w:val="18"/>
        </w:rPr>
        <w:t>Fsp</w:t>
      </w:r>
      <w:proofErr w:type="spellEnd"/>
      <w:r>
        <w:rPr>
          <w:i/>
          <w:iCs/>
          <w:color w:val="0E2841" w:themeColor="text2"/>
          <w:sz w:val="18"/>
          <w:szCs w:val="18"/>
        </w:rPr>
        <w:t xml:space="preserve"> </w:t>
      </w:r>
      <w:r w:rsidRPr="007D641B">
        <w:rPr>
          <w:i/>
          <w:iCs/>
          <w:color w:val="0E2841" w:themeColor="text2"/>
          <w:sz w:val="18"/>
          <w:szCs w:val="18"/>
        </w:rPr>
        <w:t>written in orange.</w:t>
      </w:r>
    </w:p>
    <w:p w14:paraId="164F7B22" w14:textId="77777777" w:rsidR="007D641B" w:rsidRDefault="007D641B" w:rsidP="007D641B">
      <w:pPr>
        <w:keepNext/>
      </w:pPr>
      <w:r>
        <w:rPr>
          <w:noProof/>
        </w:rPr>
        <w:lastRenderedPageBreak/>
        <w:drawing>
          <wp:inline distT="0" distB="0" distL="0" distR="0" wp14:anchorId="74AF9196" wp14:editId="04557688">
            <wp:extent cx="5725160" cy="5160645"/>
            <wp:effectExtent l="0" t="0" r="8890" b="1905"/>
            <wp:docPr id="6684752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5160" cy="5160645"/>
                    </a:xfrm>
                    <a:prstGeom prst="rect">
                      <a:avLst/>
                    </a:prstGeom>
                    <a:noFill/>
                    <a:ln>
                      <a:noFill/>
                    </a:ln>
                  </pic:spPr>
                </pic:pic>
              </a:graphicData>
            </a:graphic>
          </wp:inline>
        </w:drawing>
      </w:r>
    </w:p>
    <w:p w14:paraId="0B4FD3F9" w14:textId="77777777" w:rsidR="007D641B" w:rsidRPr="007D641B" w:rsidRDefault="007D641B" w:rsidP="007D641B">
      <w:pPr>
        <w:rPr>
          <w:i/>
          <w:iCs/>
          <w:color w:val="0E2841" w:themeColor="text2"/>
          <w:sz w:val="18"/>
          <w:szCs w:val="18"/>
        </w:rPr>
      </w:pPr>
    </w:p>
    <w:p w14:paraId="1083B99F" w14:textId="56E11F31" w:rsidR="007D641B" w:rsidRPr="007D641B" w:rsidRDefault="007D641B" w:rsidP="007D641B">
      <w:pPr>
        <w:rPr>
          <w:i/>
          <w:iCs/>
          <w:color w:val="0E2841" w:themeColor="text2"/>
          <w:sz w:val="18"/>
          <w:szCs w:val="18"/>
        </w:rPr>
      </w:pPr>
      <w:r w:rsidRPr="007D641B">
        <w:rPr>
          <w:i/>
          <w:iCs/>
          <w:color w:val="0E2841" w:themeColor="text2"/>
          <w:sz w:val="18"/>
          <w:szCs w:val="18"/>
        </w:rPr>
        <w:t xml:space="preserve">Fig. A7. Geochronology for the ultra-mylonitic meta-granite (Vj1-VP). A-B) </w:t>
      </w:r>
      <w:r w:rsidRPr="007D641B">
        <w:rPr>
          <w:i/>
          <w:iCs/>
          <w:color w:val="0E2841" w:themeColor="text2"/>
          <w:sz w:val="18"/>
          <w:szCs w:val="18"/>
          <w:vertAlign w:val="superscript"/>
        </w:rPr>
        <w:t>40</w:t>
      </w:r>
      <w:r w:rsidRPr="007D641B">
        <w:rPr>
          <w:i/>
          <w:iCs/>
          <w:color w:val="0E2841" w:themeColor="text2"/>
          <w:sz w:val="18"/>
          <w:szCs w:val="18"/>
        </w:rPr>
        <w:t>Ar/</w:t>
      </w:r>
      <w:r w:rsidRPr="007D641B">
        <w:rPr>
          <w:i/>
          <w:iCs/>
          <w:color w:val="0E2841" w:themeColor="text2"/>
          <w:sz w:val="18"/>
          <w:szCs w:val="18"/>
          <w:vertAlign w:val="superscript"/>
        </w:rPr>
        <w:t>39</w:t>
      </w:r>
      <w:r w:rsidRPr="007D641B">
        <w:rPr>
          <w:i/>
          <w:iCs/>
          <w:color w:val="0E2841" w:themeColor="text2"/>
          <w:sz w:val="18"/>
          <w:szCs w:val="18"/>
        </w:rPr>
        <w:t>Ar date populations for white mica generation S-</w:t>
      </w:r>
      <w:r>
        <w:rPr>
          <w:i/>
          <w:iCs/>
          <w:color w:val="0E2841" w:themeColor="text2"/>
          <w:sz w:val="18"/>
          <w:szCs w:val="18"/>
        </w:rPr>
        <w:t>Wm</w:t>
      </w:r>
      <w:r w:rsidRPr="007D641B">
        <w:rPr>
          <w:i/>
          <w:iCs/>
          <w:color w:val="0E2841" w:themeColor="text2"/>
          <w:sz w:val="18"/>
          <w:szCs w:val="18"/>
        </w:rPr>
        <w:t xml:space="preserve">2 and </w:t>
      </w:r>
      <w:r>
        <w:rPr>
          <w:i/>
          <w:iCs/>
          <w:color w:val="0E2841" w:themeColor="text2"/>
          <w:sz w:val="18"/>
          <w:szCs w:val="18"/>
        </w:rPr>
        <w:t>Wm</w:t>
      </w:r>
      <w:r w:rsidRPr="007D641B">
        <w:rPr>
          <w:i/>
          <w:iCs/>
          <w:color w:val="0E2841" w:themeColor="text2"/>
          <w:sz w:val="18"/>
          <w:szCs w:val="18"/>
        </w:rPr>
        <w:t>3, C) for Ksp1 (Na-</w:t>
      </w:r>
      <w:r>
        <w:rPr>
          <w:i/>
          <w:iCs/>
          <w:color w:val="0E2841" w:themeColor="text2"/>
          <w:sz w:val="18"/>
          <w:szCs w:val="18"/>
        </w:rPr>
        <w:t>depleted</w:t>
      </w:r>
      <w:r w:rsidRPr="007D641B">
        <w:rPr>
          <w:i/>
          <w:iCs/>
          <w:color w:val="0E2841" w:themeColor="text2"/>
          <w:sz w:val="18"/>
          <w:szCs w:val="18"/>
        </w:rPr>
        <w:t>) and Ksp2 (Na-</w:t>
      </w:r>
      <w:r>
        <w:rPr>
          <w:i/>
          <w:iCs/>
          <w:color w:val="0E2841" w:themeColor="text2"/>
          <w:sz w:val="18"/>
          <w:szCs w:val="18"/>
        </w:rPr>
        <w:t>rich</w:t>
      </w:r>
      <w:r w:rsidRPr="007D641B">
        <w:rPr>
          <w:i/>
          <w:iCs/>
          <w:color w:val="0E2841" w:themeColor="text2"/>
          <w:sz w:val="18"/>
          <w:szCs w:val="18"/>
        </w:rPr>
        <w:t>) and D) for biotite</w:t>
      </w:r>
      <w:r>
        <w:rPr>
          <w:i/>
          <w:iCs/>
          <w:color w:val="0E2841" w:themeColor="text2"/>
          <w:sz w:val="18"/>
          <w:szCs w:val="18"/>
        </w:rPr>
        <w:t xml:space="preserve"> (Bt2)</w:t>
      </w:r>
      <w:r w:rsidRPr="007D641B">
        <w:rPr>
          <w:i/>
          <w:iCs/>
          <w:color w:val="0E2841" w:themeColor="text2"/>
          <w:sz w:val="18"/>
          <w:szCs w:val="18"/>
        </w:rPr>
        <w:t xml:space="preserve">. E) An inverse isochron diagram with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Sr date</w:t>
      </w:r>
      <w:r>
        <w:rPr>
          <w:i/>
          <w:iCs/>
          <w:color w:val="0E2841" w:themeColor="text2"/>
          <w:sz w:val="18"/>
          <w:szCs w:val="18"/>
        </w:rPr>
        <w:t>s</w:t>
      </w:r>
      <w:r w:rsidRPr="007D641B">
        <w:rPr>
          <w:i/>
          <w:iCs/>
          <w:color w:val="0E2841" w:themeColor="text2"/>
          <w:sz w:val="18"/>
          <w:szCs w:val="18"/>
        </w:rPr>
        <w:t xml:space="preserve"> calculated on the Wm + </w:t>
      </w:r>
      <w:proofErr w:type="spellStart"/>
      <w:r w:rsidRPr="007D641B">
        <w:rPr>
          <w:i/>
          <w:iCs/>
          <w:color w:val="0E2841" w:themeColor="text2"/>
          <w:sz w:val="18"/>
          <w:szCs w:val="18"/>
        </w:rPr>
        <w:t>Ksp</w:t>
      </w:r>
      <w:proofErr w:type="spellEnd"/>
      <w:r w:rsidRPr="007D641B">
        <w:rPr>
          <w:i/>
          <w:iCs/>
          <w:color w:val="0E2841" w:themeColor="text2"/>
          <w:sz w:val="18"/>
          <w:szCs w:val="18"/>
        </w:rPr>
        <w:t xml:space="preserve">, with the maximum date given by </w:t>
      </w:r>
      <w:r>
        <w:rPr>
          <w:i/>
          <w:iCs/>
          <w:color w:val="0E2841" w:themeColor="text2"/>
          <w:sz w:val="18"/>
          <w:szCs w:val="18"/>
        </w:rPr>
        <w:t xml:space="preserve">Wm + </w:t>
      </w:r>
      <w:proofErr w:type="spellStart"/>
      <w:r>
        <w:rPr>
          <w:i/>
          <w:iCs/>
          <w:color w:val="0E2841" w:themeColor="text2"/>
          <w:sz w:val="18"/>
          <w:szCs w:val="18"/>
        </w:rPr>
        <w:t>Fsp</w:t>
      </w:r>
      <w:proofErr w:type="spellEnd"/>
      <w:r>
        <w:rPr>
          <w:i/>
          <w:iCs/>
          <w:color w:val="0E2841" w:themeColor="text2"/>
          <w:sz w:val="18"/>
          <w:szCs w:val="18"/>
        </w:rPr>
        <w:t xml:space="preserve"> </w:t>
      </w:r>
      <w:r w:rsidRPr="007D641B">
        <w:rPr>
          <w:i/>
          <w:iCs/>
          <w:color w:val="0E2841" w:themeColor="text2"/>
          <w:sz w:val="18"/>
          <w:szCs w:val="18"/>
        </w:rPr>
        <w:t xml:space="preserve">written in orange, and F) a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 xml:space="preserve">Sr date population for P-Wm2 and </w:t>
      </w:r>
      <w:r w:rsidR="005A4A3B">
        <w:rPr>
          <w:i/>
          <w:iCs/>
          <w:color w:val="0E2841" w:themeColor="text2"/>
          <w:sz w:val="18"/>
          <w:szCs w:val="18"/>
        </w:rPr>
        <w:t xml:space="preserve">G) </w:t>
      </w:r>
      <w:r w:rsidRPr="007D641B">
        <w:rPr>
          <w:i/>
          <w:iCs/>
          <w:color w:val="0E2841" w:themeColor="text2"/>
          <w:sz w:val="18"/>
          <w:szCs w:val="18"/>
        </w:rPr>
        <w:t xml:space="preserve">an inverse isochron </w:t>
      </w:r>
      <w:r w:rsidRPr="007D641B">
        <w:rPr>
          <w:i/>
          <w:iCs/>
          <w:color w:val="0E2841" w:themeColor="text2"/>
          <w:sz w:val="18"/>
          <w:szCs w:val="18"/>
          <w:vertAlign w:val="superscript"/>
        </w:rPr>
        <w:t>87</w:t>
      </w:r>
      <w:r w:rsidRPr="007D641B">
        <w:rPr>
          <w:i/>
          <w:iCs/>
          <w:color w:val="0E2841" w:themeColor="text2"/>
          <w:sz w:val="18"/>
          <w:szCs w:val="18"/>
        </w:rPr>
        <w:t>Rb-</w:t>
      </w:r>
      <w:r w:rsidRPr="007D641B">
        <w:rPr>
          <w:i/>
          <w:iCs/>
          <w:color w:val="0E2841" w:themeColor="text2"/>
          <w:sz w:val="18"/>
          <w:szCs w:val="18"/>
          <w:vertAlign w:val="superscript"/>
        </w:rPr>
        <w:t>87</w:t>
      </w:r>
      <w:r w:rsidRPr="007D641B">
        <w:rPr>
          <w:i/>
          <w:iCs/>
          <w:color w:val="0E2841" w:themeColor="text2"/>
          <w:sz w:val="18"/>
          <w:szCs w:val="18"/>
        </w:rPr>
        <w:t>Sr date for Bt2</w:t>
      </w:r>
      <w:r w:rsidR="005A4A3B">
        <w:rPr>
          <w:i/>
          <w:iCs/>
          <w:color w:val="0E2841" w:themeColor="text2"/>
          <w:sz w:val="18"/>
          <w:szCs w:val="18"/>
        </w:rPr>
        <w:t xml:space="preserve"> + </w:t>
      </w:r>
      <w:proofErr w:type="spellStart"/>
      <w:r w:rsidR="005A4A3B">
        <w:rPr>
          <w:i/>
          <w:iCs/>
          <w:color w:val="0E2841" w:themeColor="text2"/>
          <w:sz w:val="18"/>
          <w:szCs w:val="18"/>
        </w:rPr>
        <w:t>Fsp</w:t>
      </w:r>
      <w:proofErr w:type="spellEnd"/>
      <w:r w:rsidR="005A4A3B">
        <w:rPr>
          <w:i/>
          <w:iCs/>
          <w:color w:val="0E2841" w:themeColor="text2"/>
          <w:sz w:val="18"/>
          <w:szCs w:val="18"/>
        </w:rPr>
        <w:t>.</w:t>
      </w:r>
    </w:p>
    <w:p w14:paraId="1B0B5E7C" w14:textId="77777777" w:rsidR="005A4A3B" w:rsidRDefault="007D641B" w:rsidP="005A4A3B">
      <w:pPr>
        <w:keepNext/>
      </w:pPr>
      <w:r>
        <w:rPr>
          <w:noProof/>
        </w:rPr>
        <w:lastRenderedPageBreak/>
        <w:drawing>
          <wp:inline distT="0" distB="0" distL="0" distR="0" wp14:anchorId="26E4794C" wp14:editId="3B10889B">
            <wp:extent cx="4897755" cy="4834255"/>
            <wp:effectExtent l="0" t="0" r="0" b="4445"/>
            <wp:docPr id="805981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7755" cy="4834255"/>
                    </a:xfrm>
                    <a:prstGeom prst="rect">
                      <a:avLst/>
                    </a:prstGeom>
                    <a:noFill/>
                    <a:ln>
                      <a:noFill/>
                    </a:ln>
                  </pic:spPr>
                </pic:pic>
              </a:graphicData>
            </a:graphic>
          </wp:inline>
        </w:drawing>
      </w:r>
    </w:p>
    <w:p w14:paraId="60C7C5FA" w14:textId="3159C513" w:rsidR="00165439" w:rsidRPr="005A4A3B" w:rsidRDefault="005A4A3B" w:rsidP="005A4A3B">
      <w:pPr>
        <w:pStyle w:val="Caption"/>
        <w:rPr>
          <w:rFonts w:asciiTheme="majorBidi" w:hAnsiTheme="majorBidi" w:cstheme="majorBidi"/>
        </w:rPr>
      </w:pPr>
      <w:r w:rsidRPr="005A4A3B">
        <w:rPr>
          <w:rFonts w:asciiTheme="majorBidi" w:hAnsiTheme="majorBidi" w:cstheme="majorBidi"/>
        </w:rPr>
        <w:t>Fi</w:t>
      </w:r>
      <w:r>
        <w:rPr>
          <w:rFonts w:asciiTheme="majorBidi" w:hAnsiTheme="majorBidi" w:cstheme="majorBidi"/>
        </w:rPr>
        <w:t xml:space="preserve">g. A8. Geochronological pooled ages for the: A) metamorphic temperature (T) peak, B) maximum start of mylonitisation, C) end of mylonitisation, and D) retrogression. Sample names, weighted mean dates or inverse isochron dates that are included in each pooled age is indicated within each graph with A3 to A7 referring to the figures in the appendix. </w:t>
      </w:r>
    </w:p>
    <w:sectPr w:rsidR="00165439" w:rsidRPr="005A4A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EE"/>
    <w:rsid w:val="00165439"/>
    <w:rsid w:val="002214BD"/>
    <w:rsid w:val="002C69DC"/>
    <w:rsid w:val="00394255"/>
    <w:rsid w:val="003B57B9"/>
    <w:rsid w:val="004564AB"/>
    <w:rsid w:val="005A4A3B"/>
    <w:rsid w:val="006207E1"/>
    <w:rsid w:val="007D641B"/>
    <w:rsid w:val="008629C8"/>
    <w:rsid w:val="00BC21EE"/>
    <w:rsid w:val="00EE79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52CC"/>
  <w15:chartTrackingRefBased/>
  <w15:docId w15:val="{02FBDFDF-67FF-4EC6-8B44-3D6A46D32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1EE"/>
  </w:style>
  <w:style w:type="paragraph" w:styleId="Heading1">
    <w:name w:val="heading 1"/>
    <w:basedOn w:val="Normal"/>
    <w:next w:val="Normal"/>
    <w:link w:val="Heading1Char"/>
    <w:uiPriority w:val="9"/>
    <w:qFormat/>
    <w:rsid w:val="00BC2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1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1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1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1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1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1EE"/>
    <w:rPr>
      <w:rFonts w:eastAsiaTheme="majorEastAsia" w:cstheme="majorBidi"/>
      <w:color w:val="272727" w:themeColor="text1" w:themeTint="D8"/>
    </w:rPr>
  </w:style>
  <w:style w:type="paragraph" w:styleId="Title">
    <w:name w:val="Title"/>
    <w:basedOn w:val="Normal"/>
    <w:next w:val="Normal"/>
    <w:link w:val="TitleChar"/>
    <w:uiPriority w:val="10"/>
    <w:qFormat/>
    <w:rsid w:val="00BC2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1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1EE"/>
    <w:pPr>
      <w:spacing w:before="160"/>
      <w:jc w:val="center"/>
    </w:pPr>
    <w:rPr>
      <w:i/>
      <w:iCs/>
      <w:color w:val="404040" w:themeColor="text1" w:themeTint="BF"/>
    </w:rPr>
  </w:style>
  <w:style w:type="character" w:customStyle="1" w:styleId="QuoteChar">
    <w:name w:val="Quote Char"/>
    <w:basedOn w:val="DefaultParagraphFont"/>
    <w:link w:val="Quote"/>
    <w:uiPriority w:val="29"/>
    <w:rsid w:val="00BC21EE"/>
    <w:rPr>
      <w:i/>
      <w:iCs/>
      <w:color w:val="404040" w:themeColor="text1" w:themeTint="BF"/>
    </w:rPr>
  </w:style>
  <w:style w:type="paragraph" w:styleId="ListParagraph">
    <w:name w:val="List Paragraph"/>
    <w:basedOn w:val="Normal"/>
    <w:uiPriority w:val="34"/>
    <w:qFormat/>
    <w:rsid w:val="00BC21EE"/>
    <w:pPr>
      <w:ind w:left="720"/>
      <w:contextualSpacing/>
    </w:pPr>
  </w:style>
  <w:style w:type="character" w:styleId="IntenseEmphasis">
    <w:name w:val="Intense Emphasis"/>
    <w:basedOn w:val="DefaultParagraphFont"/>
    <w:uiPriority w:val="21"/>
    <w:qFormat/>
    <w:rsid w:val="00BC21EE"/>
    <w:rPr>
      <w:i/>
      <w:iCs/>
      <w:color w:val="0F4761" w:themeColor="accent1" w:themeShade="BF"/>
    </w:rPr>
  </w:style>
  <w:style w:type="paragraph" w:styleId="IntenseQuote">
    <w:name w:val="Intense Quote"/>
    <w:basedOn w:val="Normal"/>
    <w:next w:val="Normal"/>
    <w:link w:val="IntenseQuoteChar"/>
    <w:uiPriority w:val="30"/>
    <w:qFormat/>
    <w:rsid w:val="00BC2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1EE"/>
    <w:rPr>
      <w:i/>
      <w:iCs/>
      <w:color w:val="0F4761" w:themeColor="accent1" w:themeShade="BF"/>
    </w:rPr>
  </w:style>
  <w:style w:type="character" w:styleId="IntenseReference">
    <w:name w:val="Intense Reference"/>
    <w:basedOn w:val="DefaultParagraphFont"/>
    <w:uiPriority w:val="32"/>
    <w:qFormat/>
    <w:rsid w:val="00BC21EE"/>
    <w:rPr>
      <w:b/>
      <w:bCs/>
      <w:smallCaps/>
      <w:color w:val="0F4761" w:themeColor="accent1" w:themeShade="BF"/>
      <w:spacing w:val="5"/>
    </w:rPr>
  </w:style>
  <w:style w:type="paragraph" w:styleId="Caption">
    <w:name w:val="caption"/>
    <w:basedOn w:val="Normal"/>
    <w:next w:val="Normal"/>
    <w:uiPriority w:val="35"/>
    <w:unhideWhenUsed/>
    <w:qFormat/>
    <w:rsid w:val="00BC21EE"/>
    <w:pPr>
      <w:spacing w:after="200" w:line="240" w:lineRule="auto"/>
    </w:pPr>
    <w:rPr>
      <w:i/>
      <w:iCs/>
      <w:color w:val="0E2841" w:themeColor="text2"/>
      <w:sz w:val="18"/>
      <w:szCs w:val="18"/>
    </w:rPr>
  </w:style>
  <w:style w:type="paragraph" w:customStyle="1" w:styleId="EndNoteBibliography">
    <w:name w:val="EndNote Bibliography"/>
    <w:basedOn w:val="Normal"/>
    <w:link w:val="EndNoteBibliographyChar"/>
    <w:rsid w:val="00BC21EE"/>
    <w:pPr>
      <w:spacing w:line="240" w:lineRule="auto"/>
      <w:jc w:val="both"/>
    </w:pPr>
    <w:rPr>
      <w:rFonts w:ascii="Aptos" w:hAnsi="Aptos"/>
      <w:noProof/>
      <w:sz w:val="22"/>
      <w:szCs w:val="22"/>
      <w:lang w:val="en-US"/>
    </w:rPr>
  </w:style>
  <w:style w:type="character" w:customStyle="1" w:styleId="EndNoteBibliographyChar">
    <w:name w:val="EndNote Bibliography Char"/>
    <w:basedOn w:val="DefaultParagraphFont"/>
    <w:link w:val="EndNoteBibliography"/>
    <w:rsid w:val="00BC21EE"/>
    <w:rPr>
      <w:rFonts w:ascii="Aptos" w:hAnsi="Aptos"/>
      <w:noProo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8C88-F866-4ED6-A490-73DE4E7A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Vidar Jakobsson</dc:creator>
  <cp:keywords/>
  <dc:description/>
  <cp:lastModifiedBy>Vidar Jakobsson</cp:lastModifiedBy>
  <cp:revision>1</cp:revision>
  <dcterms:created xsi:type="dcterms:W3CDTF">2026-08-05T08:43:00Z</dcterms:created>
  <dcterms:modified xsi:type="dcterms:W3CDTF">2026-08-05T09:20:00Z</dcterms:modified>
</cp:coreProperties>
</file>